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LogInsight Analyzer</w:t>
      </w:r>
    </w:p>
    <w:p>
      <w:r>
        <w:t>Algorithm-Driven Log Analysis and Incident Investigation</w:t>
      </w:r>
    </w:p>
    <w:p>
      <w:r>
        <w:t>DATA STRUCTURES AND ALGORITHMS-3  ·  25CS2103E  ·  PBL</w:t>
      </w:r>
    </w:p>
    <w:p>
      <w:r>
        <w:t>Koneru Lakshmaiah Education Foundation  ·  2026-2027, Odd Semester</w:t>
      </w:r>
    </w:p>
    <w:p>
      <w:pPr>
        <w:pStyle w:val="Heading1"/>
      </w:pPr>
      <w:r>
        <w:t>Team</w:t>
      </w:r>
    </w:p>
    <w:p>
      <w:r>
        <w:t>KARKALA SHIVA REDDY — 2520030105</w:t>
      </w:r>
    </w:p>
    <w:p>
      <w:r>
        <w:t>PARIPALLI NAVADEEP — 2520030196</w:t>
      </w:r>
    </w:p>
    <w:p>
      <w:r>
        <w:t>Dr. J Sirisha Devi, Professor, Department of Computer Science and Engineering</w:t>
      </w:r>
    </w:p>
    <w:p>
      <w:pPr>
        <w:pStyle w:val="Heading1"/>
      </w:pPr>
      <w:r>
        <w:t>1. Problem statement</w:t>
      </w:r>
    </w:p>
    <w:p>
      <w:r>
        <w:t>During an outage the evidence required to explain what happened is spread across services, arrives interleaved and out of order, and is queried far faster than a human can read it. Substring search over the corpus is O(nm) and rescans on every attempt, so the engineer never learns which algorithm actually ran or what it measured.</w:t>
      </w:r>
    </w:p>
    <w:p>
      <w:r>
        <w:t>LogInsight applies classical data structures and algorithms to that work — multi-pattern and exact-substring search, bounded edit distance, streaming window aggregation and dependency-graph traversal — and presents the returned events, aggregates and algorithm evidence together with their source and scope.</w:t>
      </w:r>
    </w:p>
    <w:p>
      <w:pPr>
        <w:pStyle w:val="Heading1"/>
      </w:pPr>
      <w:r>
        <w:t>2. Architecture</w:t>
      </w:r>
    </w:p>
    <w:p>
      <w:r>
        <w:t>The application is three layers with one rule: telemetry is server-owned. The Spring Boot backend generates deterministic scenarios, computes product aggregates, executes the algorithm engines and manages process-local incident state. The React frontend renders API responses with their scope and provenance, and claims algorithm execution evidence only where a real endpoint produced it.</w:t>
      </w:r>
    </w:p>
    <w:p>
      <w:r>
        <w:t>Transport is HTTP REST plus three Server-Sent Event streams that are deliberately kept distinct: the generated simulation, the bounded dataset replay, and recorded trace replay. There is no WebSocket client and no external log collector.</w:t>
      </w:r>
    </w:p>
    <w:p>
      <w:pPr>
        <w:pStyle w:val="Heading1"/>
      </w:pPr>
      <w:r>
        <w:t>3. Data flow</w:t>
      </w:r>
    </w:p>
    <w:p>
      <w:pPr>
        <w:pStyle w:val="ListBullet"/>
      </w:pPr>
      <w:r>
        <w:t>A dataset is loaded from sample-data, uploaded, or generated by the backend.</w:t>
      </w:r>
    </w:p>
    <w:p>
      <w:pPr>
        <w:pStyle w:val="ListBullet"/>
      </w:pPr>
      <w:r>
        <w:t>DatasetService installs it as one immutable in-memory current dataset; readers take a consistent snapshot.</w:t>
      </w:r>
    </w:p>
    <w:p>
      <w:pPr>
        <w:pStyle w:val="ListBullet"/>
      </w:pPr>
      <w:r>
        <w:t>Analytics, incident detection, pattern extraction and search all derive from that dataset.</w:t>
      </w:r>
    </w:p>
    <w:p>
      <w:pPr>
        <w:pStyle w:val="ListBullet"/>
      </w:pPr>
      <w:r>
        <w:t>The frontend requests derived values and never recomputes backend analysis.</w:t>
      </w:r>
    </w:p>
    <w:p>
      <w:pPr>
        <w:pStyle w:val="ListBullet"/>
      </w:pPr>
      <w:r>
        <w:t>Mutating the dataset invalidates every cached view through a shared event.</w:t>
      </w:r>
    </w:p>
    <w:p>
      <w:pPr>
        <w:pStyle w:val="Heading1"/>
      </w:pPr>
      <w:r>
        <w:t>4. Algorithms and their actual roles</w:t>
      </w:r>
    </w:p>
    <w:p>
      <w:r>
        <w:t>The catalogue distinguishes algorithms exposed through an execution endpoint, algorithms that additionally emit a trace, and entries that exist as lab implementations. A wider repertoire — bitmask TSP, Needleman-Wunsch, Dinic flow, vertex-cover kernelization, parallel prefix scan and Miller-Rabin — is exposed as runnable lab entries rather than presented as product capability.</w:t>
      </w:r>
    </w:p>
    <w:p>
      <w:pPr>
        <w:pStyle w:val="Heading1"/>
      </w:pPr>
      <w:r>
        <w:t>5. 2D and 3D visualisation</w:t>
      </w:r>
    </w:p>
    <w:p>
      <w:pPr>
        <w:pStyle w:val="ListBullet"/>
      </w:pPr>
      <w:r>
        <w:t>The service topology renders as an accessible 2D SVG by default, with a paired service and edge list so the same data is available without WebGL. An optional Three.js view is code-split and loaded on demand.</w:t>
      </w:r>
    </w:p>
    <w:p>
      <w:pPr>
        <w:pStyle w:val="ListBullet"/>
      </w:pPr>
      <w:r>
        <w:t>The WebGL scene is rebuilt only when the graph content genuinely changes, not on every render.</w:t>
      </w:r>
    </w:p>
    <w:p>
      <w:pPr>
        <w:pStyle w:val="ListBullet"/>
      </w:pPr>
      <w:r>
        <w:t>Teardown disposes geometries, materials and controls, stops the animation loop, and explicitly releases the browser WebGL context, which renderer disposal alone does not do.</w:t>
      </w:r>
    </w:p>
    <w:p>
      <w:pPr>
        <w:pStyle w:val="ListBullet"/>
      </w:pPr>
      <w:r>
        <w:t>Context loss surfaces a usable 2D fallback; context restoration rebuilds the scene automatically.</w:t>
      </w:r>
    </w:p>
    <w:p>
      <w:pPr>
        <w:pStyle w:val="ListBullet"/>
      </w:pPr>
      <w:r>
        <w:t>Switching modes preserves the selected service and every active filter.</w:t>
      </w:r>
    </w:p>
    <w:p>
      <w:pPr>
        <w:pStyle w:val="ListBullet"/>
      </w:pPr>
      <w:r>
        <w:t>Node size follows observed event counts and health follows error-rate bands; neither implies causation.</w:t>
      </w:r>
    </w:p>
    <w:p>
      <w:pPr>
        <w:pStyle w:val="Heading1"/>
      </w:pPr>
      <w:r>
        <w:t>6. Error handling and data honesty</w:t>
      </w:r>
    </w:p>
    <w:p>
      <w:r>
        <w:t>Every dataset-backed request returns a structured error envelope. Validation and malformed input map to 400, a missing dataset to 404, and unexpected failures to a sanitised 500 that never carries a stack trace. When no dataset is loaded the interface shows onboarding rather than zeroed metrics, and unmeasured values render as an em dash instead of being coerced to zero.</w:t>
      </w:r>
    </w:p>
    <w:p>
      <w:pPr>
        <w:pStyle w:val="Heading1"/>
      </w:pPr>
      <w:r>
        <w:t>4.1 Algorithm catalogue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Algorithm</w:t>
            </w:r>
          </w:p>
        </w:tc>
        <w:tc>
          <w:tcPr>
            <w:tcW w:type="dxa" w:w="2880"/>
          </w:tcPr>
          <w:p>
            <w:r>
              <w:t>Complexity</w:t>
            </w:r>
          </w:p>
        </w:tc>
        <w:tc>
          <w:tcPr>
            <w:tcW w:type="dxa" w:w="2880"/>
          </w:tcPr>
          <w:p>
            <w:r>
              <w:t>Role in the product</w:t>
            </w:r>
          </w:p>
        </w:tc>
      </w:tr>
      <w:tr>
        <w:tc>
          <w:tcPr>
            <w:tcW w:type="dxa" w:w="2880"/>
          </w:tcPr>
          <w:p>
            <w:r>
              <w:t>KMP</w:t>
            </w:r>
          </w:p>
        </w:tc>
        <w:tc>
          <w:tcPr>
            <w:tcW w:type="dxa" w:w="2880"/>
          </w:tcPr>
          <w:p>
            <w:r>
              <w:t>O(n + m)</w:t>
            </w:r>
          </w:p>
        </w:tc>
        <w:tc>
          <w:tcPr>
            <w:tcW w:type="dxa" w:w="2880"/>
          </w:tcPr>
          <w:p>
            <w:r>
              <w:t>Linear exact substring search; no backtracking.</w:t>
            </w:r>
          </w:p>
        </w:tc>
      </w:tr>
      <w:tr>
        <w:tc>
          <w:tcPr>
            <w:tcW w:type="dxa" w:w="2880"/>
          </w:tcPr>
          <w:p>
            <w:r>
              <w:t>Aho-Corasick</w:t>
            </w:r>
          </w:p>
        </w:tc>
        <w:tc>
          <w:tcPr>
            <w:tcW w:type="dxa" w:w="2880"/>
          </w:tcPr>
          <w:p>
            <w:r>
              <w:t>O(n)</w:t>
            </w:r>
          </w:p>
        </w:tc>
        <w:tc>
          <w:tcPr>
            <w:tcW w:type="dxa" w:w="2880"/>
          </w:tcPr>
          <w:p>
            <w:r>
              <w:t>Every error signature matched in one left-to-right pass.</w:t>
            </w:r>
          </w:p>
        </w:tc>
      </w:tr>
      <w:tr>
        <w:tc>
          <w:tcPr>
            <w:tcW w:type="dxa" w:w="2880"/>
          </w:tcPr>
          <w:p>
            <w:r>
              <w:t>Levenshtein / Damerau</w:t>
            </w:r>
          </w:p>
        </w:tc>
        <w:tc>
          <w:tcPr>
            <w:tcW w:type="dxa" w:w="2880"/>
          </w:tcPr>
          <w:p>
            <w:r>
              <w:t>O(nm)</w:t>
            </w:r>
          </w:p>
        </w:tc>
        <w:tc>
          <w:tcPr>
            <w:tcW w:type="dxa" w:w="2880"/>
          </w:tcPr>
          <w:p>
            <w:r>
              <w:t>Edit-distance DP ranks a 'did you mean' suggestion.</w:t>
            </w:r>
          </w:p>
        </w:tc>
      </w:tr>
      <w:tr>
        <w:tc>
          <w:tcPr>
            <w:tcW w:type="dxa" w:w="2880"/>
          </w:tcPr>
          <w:p>
            <w:r>
              <w:t>BFS over dependency graph</w:t>
            </w:r>
          </w:p>
        </w:tc>
        <w:tc>
          <w:tcPr>
            <w:tcW w:type="dxa" w:w="2880"/>
          </w:tcPr>
          <w:p>
            <w:r>
              <w:t>O(V + E)</w:t>
            </w:r>
          </w:p>
        </w:tc>
        <w:tc>
          <w:tcPr>
            <w:tcW w:type="dxa" w:w="2880"/>
          </w:tcPr>
          <w:p>
            <w:r>
              <w:t>Blast radius reachable downstream of the failing service.</w:t>
            </w:r>
          </w:p>
        </w:tc>
      </w:tr>
      <w:tr>
        <w:tc>
          <w:tcPr>
            <w:tcW w:type="dxa" w:w="2880"/>
          </w:tcPr>
          <w:p>
            <w:r>
              <w:t>Fixed-window detection</w:t>
            </w:r>
          </w:p>
        </w:tc>
        <w:tc>
          <w:tcPr>
            <w:tcW w:type="dxa" w:w="2880"/>
          </w:tcPr>
          <w:p>
            <w:r>
              <w:t>O(n + W)</w:t>
            </w:r>
          </w:p>
        </w:tc>
        <w:tc>
          <w:tcPr>
            <w:tcW w:type="dxa" w:w="2880"/>
          </w:tcPr>
          <w:p>
            <w:r>
              <w:t>Bucketed, baseline-relative threshold, merged into one window.</w:t>
            </w:r>
          </w:p>
        </w:tc>
      </w:tr>
      <w:tr>
        <w:tc>
          <w:tcPr>
            <w:tcW w:type="dxa" w:w="2880"/>
          </w:tcPr>
          <w:p>
            <w:r>
              <w:t>Suffix array + Kasai LCP</w:t>
            </w:r>
          </w:p>
        </w:tc>
        <w:tc>
          <w:tcPr>
            <w:tcW w:type="dxa" w:w="2880"/>
          </w:tcPr>
          <w:p>
            <w:r>
              <w:t>O(n log n)</w:t>
            </w:r>
          </w:p>
        </w:tc>
        <w:tc>
          <w:tcPr>
            <w:tcW w:type="dxa" w:w="2880"/>
          </w:tcPr>
          <w:p>
            <w:r>
              <w:t>Traceable phrase search over the corpus.</w:t>
            </w:r>
          </w:p>
        </w:tc>
      </w:tr>
    </w:tbl>
    <w:p>
      <w:pPr>
        <w:pStyle w:val="Heading1"/>
      </w:pPr>
      <w:r>
        <w:t>7. Testing methodology and results</w:t>
      </w:r>
    </w:p>
    <w:p>
      <w:r>
        <w:t>The browser suite covers direct navigation to every documented route, route aliases, dataset loading and replacement, search and pagination, empty and failing states, repeated 2D/3D mode switching, the WebGL fallback, the guided walkthrough, reduced motion, console and failed network requests, and responsive overflow at six viewport sizes.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Command</w:t>
            </w:r>
          </w:p>
        </w:tc>
      </w:tr>
      <w:tr>
        <w:tc>
          <w:tcPr>
            <w:tcW w:type="dxa" w:w="2880"/>
          </w:tcPr>
          <w:p>
            <w:r>
              <w:t>Backend tests</w:t>
            </w:r>
          </w:p>
        </w:tc>
        <w:tc>
          <w:tcPr>
            <w:tcW w:type="dxa" w:w="2880"/>
          </w:tcPr>
          <w:p>
            <w:r>
              <w:t>910</w:t>
            </w:r>
          </w:p>
        </w:tc>
        <w:tc>
          <w:tcPr>
            <w:tcW w:type="dxa" w:w="2880"/>
          </w:tcPr>
          <w:p>
            <w:r>
              <w:t>mvnw -B verify — 0 failures, 0 errors, 0 skipped</w:t>
            </w:r>
          </w:p>
        </w:tc>
      </w:tr>
      <w:tr>
        <w:tc>
          <w:tcPr>
            <w:tcW w:type="dxa" w:w="2880"/>
          </w:tcPr>
          <w:p>
            <w:r>
              <w:t>Frontend unit tests</w:t>
            </w:r>
          </w:p>
        </w:tc>
        <w:tc>
          <w:tcPr>
            <w:tcW w:type="dxa" w:w="2880"/>
          </w:tcPr>
          <w:p>
            <w:r>
              <w:t>72</w:t>
            </w:r>
          </w:p>
        </w:tc>
        <w:tc>
          <w:tcPr>
            <w:tcW w:type="dxa" w:w="2880"/>
          </w:tcPr>
          <w:p>
            <w:r>
              <w:t>vitest run — 72 across 20 files, single aggregate run</w:t>
            </w:r>
          </w:p>
        </w:tc>
      </w:tr>
      <w:tr>
        <w:tc>
          <w:tcPr>
            <w:tcW w:type="dxa" w:w="2880"/>
          </w:tcPr>
          <w:p>
            <w:r>
              <w:t>Browser end-to-end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Playwright — all routes, 2D/3D round trip, reduced motion</w:t>
            </w:r>
          </w:p>
        </w:tc>
      </w:tr>
      <w:tr>
        <w:tc>
          <w:tcPr>
            <w:tcW w:type="dxa" w:w="2880"/>
          </w:tcPr>
          <w:p>
            <w:r>
              <w:t>Dependency audit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npm audit — no vulnerabilities</w:t>
            </w:r>
          </w:p>
        </w:tc>
      </w:tr>
      <w:tr>
        <w:tc>
          <w:tcPr>
            <w:tcW w:type="dxa" w:w="2880"/>
          </w:tcPr>
          <w:p>
            <w:r>
              <w:t>Production build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tsc &amp;&amp; vite build</w:t>
            </w:r>
          </w:p>
        </w:tc>
      </w:tr>
    </w:tbl>
    <w:p>
      <w:pPr>
        <w:pStyle w:val="Heading1"/>
      </w:pPr>
      <w:r>
        <w:t>8.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Measure</w:t>
            </w:r>
          </w:p>
        </w:tc>
        <w:tc>
          <w:tcPr>
            <w:tcW w:type="dxa" w:w="2880"/>
          </w:tcPr>
          <w:p>
            <w:r>
              <w:t>Before</w:t>
            </w:r>
          </w:p>
        </w:tc>
        <w:tc>
          <w:tcPr>
            <w:tcW w:type="dxa" w:w="2880"/>
          </w:tcPr>
          <w:p>
            <w:r>
              <w:t>After</w:t>
            </w:r>
          </w:p>
        </w:tc>
      </w:tr>
      <w:tr>
        <w:tc>
          <w:tcPr>
            <w:tcW w:type="dxa" w:w="2880"/>
          </w:tcPr>
          <w:p>
            <w:r>
              <w:t>First-load JS</w:t>
            </w:r>
          </w:p>
        </w:tc>
        <w:tc>
          <w:tcPr>
            <w:tcW w:type="dxa" w:w="2880"/>
          </w:tcPr>
          <w:p>
            <w:r>
              <w:t>before: shipped inside the entry chunk</w:t>
            </w:r>
          </w:p>
        </w:tc>
        <w:tc>
          <w:tcPr>
            <w:tcW w:type="dxa" w:w="2880"/>
          </w:tcPr>
          <w:p>
            <w:r>
              <w:t>after: 483 kB across four cacheable chunks</w:t>
            </w:r>
          </w:p>
        </w:tc>
      </w:tr>
      <w:tr>
        <w:tc>
          <w:tcPr>
            <w:tcW w:type="dxa" w:w="2880"/>
          </w:tcPr>
          <w:p>
            <w:r>
              <w:t>Three.js</w:t>
            </w:r>
          </w:p>
        </w:tc>
        <w:tc>
          <w:tcPr>
            <w:tcW w:type="dxa" w:w="2880"/>
          </w:tcPr>
          <w:p>
            <w:r>
              <w:t>before: loaded with the application</w:t>
            </w:r>
          </w:p>
        </w:tc>
        <w:tc>
          <w:tcPr>
            <w:tcW w:type="dxa" w:w="2880"/>
          </w:tcPr>
          <w:p>
            <w:r>
              <w:t>after: deferred until the 3D topology is opened</w:t>
            </w:r>
          </w:p>
        </w:tc>
      </w:tr>
    </w:tbl>
    <w:p>
      <w:pPr>
        <w:pStyle w:val="Heading1"/>
      </w:pPr>
      <w:r>
        <w:t>9. Screenshots from the final implementation</w:t>
      </w:r>
    </w:p>
    <w:p>
      <w:r>
        <w:drawing>
          <wp:inline xmlns:a="http://schemas.openxmlformats.org/drawingml/2006/main" xmlns:pic="http://schemas.openxmlformats.org/drawingml/2006/picture">
            <wp:extent cx="5577840" cy="34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and-center-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25C"/>
          <w:sz w:val="18"/>
        </w:rPr>
        <w:t>Command center with backend-derived selected-window values.</w:t>
      </w:r>
    </w:p>
    <w:p>
      <w:r>
        <w:drawing>
          <wp:inline xmlns:a="http://schemas.openxmlformats.org/drawingml/2006/main" xmlns:pic="http://schemas.openxmlformats.org/drawingml/2006/picture">
            <wp:extent cx="5577840" cy="34861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-workbench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25C"/>
          <w:sz w:val="18"/>
        </w:rPr>
        <w:t>Incident workbench: identity, measured context, blast radius, lifecycle.</w:t>
      </w:r>
    </w:p>
    <w:p>
      <w:r>
        <w:drawing>
          <wp:inline xmlns:a="http://schemas.openxmlformats.org/drawingml/2006/main" xmlns:pic="http://schemas.openxmlformats.org/drawingml/2006/picture">
            <wp:extent cx="5577840" cy="3486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-explorer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25C"/>
          <w:sz w:val="18"/>
        </w:rPr>
        <w:t>Log explorer with a server-side query and results.</w:t>
      </w:r>
    </w:p>
    <w:p>
      <w:r>
        <w:drawing>
          <wp:inline xmlns:a="http://schemas.openxmlformats.org/drawingml/2006/main" xmlns:pic="http://schemas.openxmlformats.org/drawingml/2006/picture">
            <wp:extent cx="5577840" cy="34861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25C"/>
          <w:sz w:val="18"/>
        </w:rPr>
        <w:t>Analytics computed for the selected range.</w:t>
      </w:r>
    </w:p>
    <w:p>
      <w:r>
        <w:drawing>
          <wp:inline xmlns:a="http://schemas.openxmlformats.org/drawingml/2006/main" xmlns:pic="http://schemas.openxmlformats.org/drawingml/2006/picture">
            <wp:extent cx="5577840" cy="34861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-selection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25C"/>
          <w:sz w:val="18"/>
        </w:rPr>
        <w:t>Service topology with a selected service.</w:t>
      </w:r>
    </w:p>
    <w:p>
      <w:r>
        <w:drawing>
          <wp:inline xmlns:a="http://schemas.openxmlformats.org/drawingml/2006/main" xmlns:pic="http://schemas.openxmlformats.org/drawingml/2006/picture">
            <wp:extent cx="5577840" cy="3486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rithms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25C"/>
          <w:sz w:val="18"/>
        </w:rPr>
        <w:t>Algorithm catalogue.</w:t>
      </w:r>
    </w:p>
    <w:p>
      <w:r>
        <w:drawing>
          <wp:inline xmlns:a="http://schemas.openxmlformats.org/drawingml/2006/main" xmlns:pic="http://schemas.openxmlformats.org/drawingml/2006/picture">
            <wp:extent cx="5577840" cy="34861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-dataset-st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25C"/>
          <w:sz w:val="18"/>
        </w:rPr>
        <w:t>No dataset: onboarding rather than fabricated metrics.</w:t>
      </w:r>
    </w:p>
    <w:p>
      <w:r>
        <w:drawing>
          <wp:inline xmlns:a="http://schemas.openxmlformats.org/drawingml/2006/main" xmlns:pic="http://schemas.openxmlformats.org/drawingml/2006/picture">
            <wp:extent cx="5577840" cy="120710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and-center-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207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25C"/>
          <w:sz w:val="18"/>
        </w:rPr>
        <w:t>Responsive mobile layout.</w:t>
      </w:r>
    </w:p>
    <w:p>
      <w:pPr>
        <w:pStyle w:val="Heading1"/>
      </w:pPr>
      <w:r>
        <w:t>10. Known limitations</w:t>
      </w:r>
    </w:p>
    <w:p>
      <w:pPr>
        <w:pStyle w:val="ListBullet"/>
      </w:pPr>
      <w:r>
        <w:t>In-memory, single-current-dataset state. No database, no durable uploads, no restart persistence.</w:t>
      </w:r>
    </w:p>
    <w:p>
      <w:pPr>
        <w:pStyle w:val="ListBullet"/>
      </w:pPr>
      <w:r>
        <w:t>No authentication or authorization. This is not a shared multi-user service.</w:t>
      </w:r>
    </w:p>
    <w:p>
      <w:pPr>
        <w:pStyle w:val="ListBullet"/>
      </w:pPr>
      <w:r>
        <w:t>Dataset Replay is a bounded replay of the loaded dataset, not a live collector.</w:t>
      </w:r>
    </w:p>
    <w:p>
      <w:pPr>
        <w:pStyle w:val="ListBullet"/>
      </w:pPr>
      <w:r>
        <w:t>Live Monitor is server-generated simulation from a scenario and seed, not captured telemetry.</w:t>
      </w:r>
    </w:p>
    <w:p>
      <w:pPr>
        <w:pStyle w:val="ListBullet"/>
      </w:pPr>
      <w:r>
        <w:t>Topology edges are request-trail adjacency inferred from requestId co-occurrence, not verified infrastructure.</w:t>
      </w:r>
    </w:p>
    <w:p>
      <w:pPr>
        <w:pStyle w:val="ListBullet"/>
      </w:pPr>
      <w:r>
        <w:t>Benchmarks are host- and input-dependent measurements, not universal performance claims.</w:t>
      </w:r>
    </w:p>
    <w:p>
      <w:pPr>
        <w:pStyle w:val="ListBullet"/>
      </w:pPr>
      <w:r>
        <w:t>The 3D topology requires WebGL and falls back to 2D where it is unavailable.</w:t>
      </w:r>
    </w:p>
    <w:p>
      <w:pPr>
        <w:pStyle w:val="ListBullet"/>
      </w:pPr>
      <w:r>
        <w:t>Generated traffic is not production telemetry and is labelled as such throughout the interface.</w:t>
      </w:r>
    </w:p>
    <w:p>
      <w:pPr>
        <w:pStyle w:val="Heading1"/>
      </w:pPr>
      <w:r>
        <w:t>11. Future work</w:t>
      </w:r>
    </w:p>
    <w:p>
      <w:pPr>
        <w:pStyle w:val="ListBullet"/>
      </w:pPr>
      <w:r>
        <w:t>Durable dataset storage so investigations survive a restart.</w:t>
      </w:r>
    </w:p>
    <w:p>
      <w:pPr>
        <w:pStyle w:val="ListBullet"/>
      </w:pPr>
      <w:r>
        <w:t>Authentication and authorisation, which the current deployment model does not provide.</w:t>
      </w:r>
    </w:p>
    <w:p>
      <w:pPr>
        <w:pStyle w:val="ListBullet"/>
      </w:pPr>
      <w:r>
        <w:t>Streaming ingestion from a real collector, replacing the generated simulation and bounded replay.</w:t>
      </w:r>
    </w:p>
    <w:p>
      <w:pPr>
        <w:pStyle w:val="ListBullet"/>
      </w:pPr>
      <w:r>
        <w:t>Distributed algorithm execution for the largest catalogue entries.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