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Comunicaciones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Renovación 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31/10/2023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Restricciones y Premisas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Comunicaciones de los Interesados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Tabla de Requerimientos de Comunicación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 asignados a actividades de comunicaciones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Proceso de Escalamiento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Flujo de Información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 la Actualización y Refinación del Plan de Comunicaciones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Farmacia Simple SPA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Renovación Tecnológica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30/10/2023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Farmacia Simple SPA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" w:right="0" w:hanging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General Mariela García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leader="none" w:pos="1352"/>
              </w:tabs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" w:right="0" w:hanging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Benjamín Castillo, Gerente de 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1352"/>
              </w:tabs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Restricciones y Premisas</w:t>
      </w:r>
    </w:p>
    <w:p w:rsidR="00000000" w:rsidDel="00000000" w:rsidP="00000000" w:rsidRDefault="00000000" w:rsidRPr="00000000" w14:paraId="000000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Restricciones: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Tiempo determinado para realizar todo tipo de comunicaciones.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Políticas y procedimientos de la empresa.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Presupuesto destinado a comunicaciones.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Ubicación y formato determinada por partes interesadas.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Acontecimientos imprevistos.</w:t>
      </w:r>
    </w:p>
    <w:p w:rsidR="00000000" w:rsidDel="00000000" w:rsidP="00000000" w:rsidRDefault="00000000" w:rsidRPr="00000000" w14:paraId="0000006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Premisas: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Las partes interesadas deben estar dispuesta a participar de todo tipo de comunicaciones requeridas y solicitadas.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Equipo tendrán habilidades y conocimientos necesarios para realizar las comunicaciones.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Partes interesadas estarán dispuestas a compartir y recibir la información necesaria.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Comunicaciones de los Interesados</w:t>
      </w:r>
    </w:p>
    <w:p w:rsidR="00000000" w:rsidDel="00000000" w:rsidP="00000000" w:rsidRDefault="00000000" w:rsidRPr="00000000" w14:paraId="0000007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Necesidades de información:</w:t>
      </w:r>
      <w:r w:rsidDel="00000000" w:rsidR="00000000" w:rsidRPr="00000000">
        <w:rPr>
          <w:vertAlign w:val="baseline"/>
          <w:rtl w:val="0"/>
        </w:rPr>
        <w:t xml:space="preserve"> Los interesados necesitan información sobre el proyecto, como su propósito, alcance, cronograma y presupuesto.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 de comunicación</w:t>
      </w:r>
      <w:r w:rsidDel="00000000" w:rsidR="00000000" w:rsidRPr="00000000">
        <w:rPr>
          <w:vertAlign w:val="baseline"/>
          <w:rtl w:val="0"/>
        </w:rPr>
        <w:t xml:space="preserve">: Los interesados necesitan recibir información con la frecuencia adecuada para sus necesidades, dichas informaciónes podrían ser a través de reuniones cada dos semanas.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 de comunicación:</w:t>
      </w:r>
      <w:r w:rsidDel="00000000" w:rsidR="00000000" w:rsidRPr="00000000">
        <w:rPr>
          <w:vertAlign w:val="baseline"/>
          <w:rtl w:val="0"/>
        </w:rPr>
        <w:t xml:space="preserve"> Los interesados necesitan recibir información en un formato que puedan entender, acomodar y utilizar.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Canales de comunicación:</w:t>
      </w:r>
      <w:r w:rsidDel="00000000" w:rsidR="00000000" w:rsidRPr="00000000">
        <w:rPr>
          <w:vertAlign w:val="baseline"/>
          <w:rtl w:val="0"/>
        </w:rPr>
        <w:t xml:space="preserve"> Los interesados necesitan recibir información a través de los canales que prefieren según acuerdo entre ambas partes..</w:t>
      </w:r>
    </w:p>
    <w:p w:rsidR="00000000" w:rsidDel="00000000" w:rsidP="00000000" w:rsidRDefault="00000000" w:rsidRPr="00000000" w14:paraId="0000007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Tabla de Requerimientos de Comunicación del Proyecto</w:t>
      </w:r>
    </w:p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2"/>
        <w:gridCol w:w="1846"/>
        <w:gridCol w:w="1152"/>
        <w:gridCol w:w="1542"/>
        <w:gridCol w:w="1454"/>
        <w:gridCol w:w="1217"/>
        <w:gridCol w:w="1111"/>
        <w:gridCol w:w="1845"/>
        <w:gridCol w:w="1184"/>
        <w:gridCol w:w="1353"/>
        <w:tblGridChange w:id="0">
          <w:tblGrid>
            <w:gridCol w:w="1542"/>
            <w:gridCol w:w="1846"/>
            <w:gridCol w:w="1152"/>
            <w:gridCol w:w="1542"/>
            <w:gridCol w:w="1454"/>
            <w:gridCol w:w="1217"/>
            <w:gridCol w:w="1111"/>
            <w:gridCol w:w="1845"/>
            <w:gridCol w:w="1184"/>
            <w:gridCol w:w="1353"/>
          </w:tblGrid>
        </w:tblGridChange>
      </w:tblGrid>
      <w:tr>
        <w:trPr>
          <w:cantSplit w:val="1"/>
          <w:trHeight w:val="1193" w:hRule="atLeast"/>
          <w:tblHeader w:val="1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Plazo para confirmar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Audiencia / Receptores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Minuta de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Documento que contiene información de lo detallado en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Doc. Impreso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Publicación electronica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Cada dos semanas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 dias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comunicaciones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Todos</w:t>
            </w:r>
          </w:p>
        </w:tc>
      </w:tr>
      <w:tr>
        <w:trPr>
          <w:cantSplit w:val="1"/>
          <w:trHeight w:val="222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Presentación de avances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Su fin es juntar a partes interesadas y demás, mediante exposición presentar los avances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Presentación 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llamada en conferencia.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Mensual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 dias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comunicaciones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Todos</w:t>
            </w:r>
          </w:p>
        </w:tc>
      </w:tr>
      <w:tr>
        <w:trPr>
          <w:cantSplit w:val="1"/>
          <w:trHeight w:val="36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Presentación de entregas de módulos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Su fin es juntar a partes interesadas y demás, mediante exposición presentar todo lo necesario para la entrega final del módulo correspondiente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Presentación ppt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llamada en conferencia.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 finalizar un modulo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 dias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Sponsor y Cliente</w:t>
            </w:r>
          </w:p>
        </w:tc>
      </w:tr>
      <w:tr>
        <w:trPr>
          <w:cantSplit w:val="1"/>
          <w:trHeight w:val="16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 mensual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Documento necesario para revisar mensualmente el avance del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Doc. Impreso.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Correo electrónico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distribución por correo empresarial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Mensual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 dias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comunicaciones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Todos</w:t>
            </w:r>
          </w:p>
        </w:tc>
      </w:tr>
      <w:tr>
        <w:trPr>
          <w:cantSplit w:val="1"/>
          <w:trHeight w:val="13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Registro de riesgos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Organizar un registro de riesgos, actualizables y revisables.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Doc. Impreso.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Correo electronico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distribución por correo empresarial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Mensual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 dias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comunicaciones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Integrantes del equipo y soporte</w:t>
            </w:r>
          </w:p>
        </w:tc>
      </w:tr>
      <w:tr>
        <w:trPr>
          <w:cantSplit w:val="1"/>
          <w:trHeight w:val="2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2240" w:w="15840" w:orient="landscape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Recursos asignados a actividades de comunicaciones</w:t>
      </w:r>
    </w:p>
    <w:p w:rsidR="00000000" w:rsidDel="00000000" w:rsidP="00000000" w:rsidRDefault="00000000" w:rsidRPr="00000000" w14:paraId="0000010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Los recursos humanos asignados a actividades de comunicaciones incluyen a las personas que son responsables de desarrollar, implementar y gestionar las comunicaciones del proyecto. Estos recursos pueden incluir a los miembros del equipo del proyecto, consultores externos y proveedores de servicios de comunicación.</w:t>
      </w:r>
    </w:p>
    <w:p w:rsidR="00000000" w:rsidDel="00000000" w:rsidP="00000000" w:rsidRDefault="00000000" w:rsidRPr="00000000" w14:paraId="0000010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Recursos materiales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Los recursos materiales asignados a actividades de comunicaciones son: documentos, presentaciones, informes, videos, etc.</w:t>
      </w:r>
    </w:p>
    <w:p w:rsidR="00000000" w:rsidDel="00000000" w:rsidP="00000000" w:rsidRDefault="00000000" w:rsidRPr="00000000" w14:paraId="0000010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Proceso de Escalamiento</w:t>
      </w:r>
    </w:p>
    <w:p w:rsidR="00000000" w:rsidDel="00000000" w:rsidP="00000000" w:rsidRDefault="00000000" w:rsidRPr="00000000" w14:paraId="0000010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Identificación del problema o la oportunidad:</w:t>
      </w:r>
      <w:r w:rsidDel="00000000" w:rsidR="00000000" w:rsidRPr="00000000">
        <w:rPr>
          <w:vertAlign w:val="baseline"/>
          <w:rtl w:val="0"/>
        </w:rPr>
        <w:t xml:space="preserve"> El primer paso es identificar el problema o la oportunidad que requiere una atención especial.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Evaluación de la gravedad del problema o la oportunidad:</w:t>
      </w:r>
      <w:r w:rsidDel="00000000" w:rsidR="00000000" w:rsidRPr="00000000">
        <w:rPr>
          <w:vertAlign w:val="baseline"/>
          <w:rtl w:val="0"/>
        </w:rPr>
        <w:t xml:space="preserve"> El segundo paso es evaluar la gravedad del problema o la oportunidad para determinar si requiere escalamiento.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Determinación del nivel de escalamiento:</w:t>
      </w:r>
      <w:r w:rsidDel="00000000" w:rsidR="00000000" w:rsidRPr="00000000">
        <w:rPr>
          <w:vertAlign w:val="baseline"/>
          <w:rtl w:val="0"/>
        </w:rPr>
        <w:t xml:space="preserve"> El tercer paso es determinar el nivel de escalamiento necesario para el problema o la oportunidad.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Comunicación del problema o la oportunidad:</w:t>
      </w:r>
      <w:r w:rsidDel="00000000" w:rsidR="00000000" w:rsidRPr="00000000">
        <w:rPr>
          <w:vertAlign w:val="baseline"/>
          <w:rtl w:val="0"/>
        </w:rPr>
        <w:t xml:space="preserve"> El cuarto paso es comunicar el problema o la oportunidad al nivel adecuado de gestión.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Seguimiento del problema o la oportunidad:</w:t>
      </w:r>
      <w:r w:rsidDel="00000000" w:rsidR="00000000" w:rsidRPr="00000000">
        <w:rPr>
          <w:vertAlign w:val="baseline"/>
          <w:rtl w:val="0"/>
        </w:rPr>
        <w:t xml:space="preserve"> El quinto paso es realizar un seguimiento del problema o la oportunidad para garantizar que se resuelva de forma eficaz.</w:t>
      </w:r>
    </w:p>
    <w:p w:rsidR="00000000" w:rsidDel="00000000" w:rsidP="00000000" w:rsidRDefault="00000000" w:rsidRPr="00000000" w14:paraId="0000011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cuanto al escalamiento de la información, toda información debe pasar por el Gerentes, sponsors y equipos de trabajo.</w:t>
      </w:r>
    </w:p>
    <w:p w:rsidR="00000000" w:rsidDel="00000000" w:rsidP="00000000" w:rsidRDefault="00000000" w:rsidRPr="00000000" w14:paraId="0000011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Flujo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286500" cy="3209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 la Actualización y Refinación del Plan de Comunicaciones</w:t>
      </w:r>
    </w:p>
    <w:p w:rsidR="00000000" w:rsidDel="00000000" w:rsidP="00000000" w:rsidRDefault="00000000" w:rsidRPr="00000000" w14:paraId="0000011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Cuando haya cambios en los interesados:</w:t>
      </w:r>
      <w:r w:rsidDel="00000000" w:rsidR="00000000" w:rsidRPr="00000000">
        <w:rPr>
          <w:vertAlign w:val="baseline"/>
          <w:rtl w:val="0"/>
        </w:rPr>
        <w:t xml:space="preserve"> Si se agregan nuevos interesados al proyecto o si los interesados existentes cambian sus roles o responsabilidades, el plan de comunicaciones debe actualizarse para reflejar estos cambios.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Cuando haya cambios en el proyecto:</w:t>
      </w:r>
      <w:r w:rsidDel="00000000" w:rsidR="00000000" w:rsidRPr="00000000">
        <w:rPr>
          <w:vertAlign w:val="baseline"/>
          <w:rtl w:val="0"/>
        </w:rPr>
        <w:t xml:space="preserve"> Si el proyecto se retrasa, se supera el presupuesto o se producen cambios en los requisitos, el plan de comunicaciones debe actualizarse para reflejar estos cambios.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Cuando haya cambios en el entorno:</w:t>
      </w:r>
      <w:r w:rsidDel="00000000" w:rsidR="00000000" w:rsidRPr="00000000">
        <w:rPr>
          <w:vertAlign w:val="baseline"/>
          <w:rtl w:val="0"/>
        </w:rPr>
        <w:t xml:space="preserve"> Si hay cambios en la tecnología, las leyes o las regulaciones, el plan de comunicaciones debe actualizarse para reflejar estos cambios.</w:t>
      </w:r>
    </w:p>
    <w:p w:rsidR="00000000" w:rsidDel="00000000" w:rsidP="00000000" w:rsidRDefault="00000000" w:rsidRPr="00000000" w14:paraId="0000012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tbl>
      <w:tblPr>
        <w:tblStyle w:val="Table3"/>
        <w:tblW w:w="10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8160"/>
        <w:tblGridChange w:id="0">
          <w:tblGrid>
            <w:gridCol w:w="241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Minutas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leader="none" w:pos="1019"/>
              </w:tabs>
              <w:spacing w:after="0"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Documento que refleja de manera ordenada cada uno de los puntos que se desarrollan en una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Escalamiento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Procedimiento que se implementa cuando no se ha conseguido un resultado esperado de una tarea dentro de un periodo de tiempo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9106535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11783" y="3698720"/>
                        <a:ext cx="906843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9106535" cy="2006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0653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CeHoAJrEN4f3NrlK6VxM2lkSNA==">CgMxLjAyCGguZ2pkZ3hzMgloLjMwajB6bGwyCWguMWZvYjl0ZTIJaC4zem55c2g3MgloLjJldDkycDAyCGgudHlqY3d0MgloLjNkeTZ2a20yCWguNGQzNG9nODgAciExWVQyMmZucHBzeHZiZWlIU1E0RTk2dy1oS2dXeG9sS3k=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