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CAPT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 – 04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Karla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Teams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Byte Mart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42.0" w:type="dxa"/>
        <w:tblLayout w:type="fixed"/>
        <w:tblLook w:val="0000"/>
      </w:tblPr>
      <w:tblGrid>
        <w:gridCol w:w="3970"/>
        <w:gridCol w:w="2409"/>
        <w:gridCol w:w="3969"/>
        <w:tblGridChange w:id="0">
          <w:tblGrid>
            <w:gridCol w:w="3970"/>
            <w:gridCol w:w="2409"/>
            <w:gridCol w:w="39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Cristian Ojeda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vertAlign w:val="baseline"/>
                  <w:rtl w:val="0"/>
                </w:rPr>
                <w:t xml:space="preserve">Cr.ojedam@duocuc.cl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vi.laguna@duocuc.cl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 Marin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Karla 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Mic.marin@duocuc.cl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kar.martinezv@duocuc.cl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bot automatizado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Detalle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presentan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muestra avance en el desarrollo del bot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APIs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designa integrante para avances de APIs.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bot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designa integrante para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bot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Avances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4C">
            <w:pPr>
              <w:ind w:left="360" w:firstLine="0"/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4740"/>
              </w:tabs>
              <w:spacing w:after="120" w:lineRule="auto"/>
              <w:ind w:left="720" w:firstLine="0"/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establece reunión de trabajo para el día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19/10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2428875" cy="74295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1">
          <w:pPr>
            <w:tabs>
              <w:tab w:val="left" w:leader="none" w:pos="459"/>
            </w:tabs>
            <w:rPr>
              <w:rFonts w:ascii="Tahoma" w:cs="Tahoma" w:eastAsia="Tahoma" w:hAnsi="Tahoma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2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CL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CL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CL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CL"/>
    </w:rPr>
  </w:style>
  <w:style w:type="paragraph" w:styleId="Textoindependiente20">
    <w:name w:val="Texto independiente 2"/>
    <w:basedOn w:val="Normal"/>
    <w:next w:val="Textoindependiente20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CL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left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L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numPr>
        <w:ilvl w:val="0"/>
        <w:numId w:val="0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color w:val="00000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ojedam@duocuc.cl" TargetMode="External"/><Relationship Id="rId8" Type="http://schemas.openxmlformats.org/officeDocument/2006/relationships/hyperlink" Target="mailto:Mic.marin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63rTrEDWsXj/ZVIf3T32G50MA==">CgMxLjA4AHIhMUR0V2U2NVJveFZLeUJuMWxUbTF4Umg0WWVlbHhYaHVt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2021-06-05T02:19:00Z</dcterms:created>
  <dc:creator>tisal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