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25/10/2024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2"/>
          <w:szCs w:val="2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2sbgi6tlur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futshbp0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Categorías de Riesgo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 Desglose de Riesgos (RBS)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 de Probabilidad e Impacto de 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 de Probabilidad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 de Impacto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de Probabilidad e Impacto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Amenazas (Riesgos)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i4cqmye96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Oportunidades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 la tolerancia de los interesados (Stakeholders)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Formatos de los Informes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Seguimiento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rPr>
          <w:rFonts w:ascii="Calibri" w:cs="Calibri" w:eastAsia="Calibri" w:hAnsi="Calibri"/>
          <w:color w:val="365f9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Calibri" w:cs="Calibri" w:eastAsia="Calibri" w:hAnsi="Calibri"/>
          <w:b w:val="1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2sbgi6tlurok" w:id="1"/>
      <w:bookmarkEnd w:id="1"/>
      <w:r w:rsidDel="00000000" w:rsidR="00000000" w:rsidRPr="00000000">
        <w:rPr>
          <w:sz w:val="26"/>
          <w:szCs w:val="26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30j0zll" w:id="2"/>
      <w:bookmarkEnd w:id="2"/>
      <w:r w:rsidDel="00000000" w:rsidR="00000000" w:rsidRPr="00000000">
        <w:rPr>
          <w:sz w:val="26"/>
          <w:szCs w:val="26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explicará la metodología tomada por el equipo de desarrollo para la gestión de riesgos del proyecto: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y Análisis de Riesgos: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 identifican, documentan y analizan los riesgos que podrían afectar al proyecto, comprendiendo sus características, métricas, etc. Esto incluye análisis tanto cuantitativo como cualitativo.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e Implementación de respuestas: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Desarrollar estrategias para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responder los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riesgos antes identificados para posteriormente implementar estrategias antes decretadas.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Monitoreo y Control: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Monitorear continuamente los riesgos a los largo de todo el proyecto, el control de efectividad de mitigación debe ser necesario para garantizar la eficiencia de lo implementado.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y comunicación: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Documentar y comunicar de manera efectiva a todas las partes interesadas, dentro de los plazos correctos y lo más detallado posible.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Documentar y compartir las lecciones aprendidas, para que en un futuro sirva como base para las siguientes mitigaciones a riesgos.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1fob9te" w:id="3"/>
      <w:bookmarkEnd w:id="3"/>
      <w:r w:rsidDel="00000000" w:rsidR="00000000" w:rsidRPr="00000000">
        <w:rPr>
          <w:sz w:val="26"/>
          <w:szCs w:val="26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Stakeholders: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Serán informados en todo el proceso de gestión de riesgos.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Jefe de Proyecto: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Presente en todo el proceso de gestión de riesgos, monitoreando los procesos y verificando los resultados obtenidos.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Equipo de Gestión de Riesgos/Control de calidad: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Equipo capaz de gestionar, informar y monitorear los riesgos. Serán los encargados de cumplir cada paso para la correcta gestión de los riesgos, sus resultados deberán presentarlos a las partes interesadas con los detalles correspondientes.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spacing w:after="280" w:before="280" w:line="240" w:lineRule="auto"/>
        <w:ind w:firstLine="0"/>
        <w:rPr>
          <w:sz w:val="26"/>
          <w:szCs w:val="26"/>
        </w:rPr>
      </w:pPr>
      <w:bookmarkStart w:colFirst="0" w:colLast="0" w:name="_heading=h.3znysh7" w:id="4"/>
      <w:bookmarkEnd w:id="4"/>
      <w:r w:rsidDel="00000000" w:rsidR="00000000" w:rsidRPr="00000000">
        <w:rPr>
          <w:sz w:val="26"/>
          <w:szCs w:val="26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Duración: 3 meses y 10 días.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Presupuesto Total: $...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Presupuesto total para la Gestión de Riesgos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presupuesto para la gestión de riesgos será …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Calibri" w:cs="Calibri" w:eastAsia="Calibri" w:hAnsi="Calibri"/>
          <w:b w:val="1"/>
          <w:color w:val="365f91"/>
        </w:rPr>
      </w:pPr>
      <w:bookmarkStart w:colFirst="0" w:colLast="0" w:name="_heading=h.fpbiqcslt8r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2et92p0" w:id="6"/>
      <w:bookmarkEnd w:id="6"/>
      <w:r w:rsidDel="00000000" w:rsidR="00000000" w:rsidRPr="00000000">
        <w:rPr>
          <w:sz w:val="26"/>
          <w:szCs w:val="26"/>
          <w:rtl w:val="0"/>
        </w:rPr>
        <w:t xml:space="preserve">Calendario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Frecuencia de la Gestión de Riesgos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gestión de riesgos será medida de manera frecuente por cada actividad completada, esto puede ser a través de reuniones con todas las partes interesadas.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Protocolos de Reservas de Cronograma (Holguras de Tiempo)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asignan holguras de tiempo adicionales del 5% a las actividades críticas del proyecto para mitigar los riesgos de retraso.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Actividades de Gestión de Riesgos en el Cronograma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Proyecto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y Análisis de Riesgos: 1 Semana en Fase: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Planificación.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e Implementación de respuestas: 2 Semanas en Fase: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Monitoreo y Control: 1 Semana en Fase: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Documentación: 1 Semana en Fase: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 continua: 1 Semana en Fase: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Marcha Blanca.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Calibri" w:cs="Calibri" w:eastAsia="Calibri" w:hAnsi="Calibri"/>
          <w:b w:val="1"/>
          <w:color w:val="365f91"/>
        </w:rPr>
      </w:pPr>
      <w:bookmarkStart w:colFirst="0" w:colLast="0" w:name="_heading=h.kpbyzmm70kx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Calibri" w:cs="Calibri" w:eastAsia="Calibri" w:hAnsi="Calibri"/>
          <w:b w:val="1"/>
          <w:color w:val="365f91"/>
        </w:rPr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ynfutshbp0ea" w:id="9"/>
      <w:bookmarkEnd w:id="9"/>
      <w:r w:rsidDel="00000000" w:rsidR="00000000" w:rsidRPr="00000000">
        <w:rPr>
          <w:sz w:val="26"/>
          <w:szCs w:val="26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continuación, serán definidos los distintos tipos de riesgos que podrían afectar durante cualquier fase a lo largo del proyecto.</w:t>
            </w:r>
          </w:p>
          <w:p w:rsidR="00000000" w:rsidDel="00000000" w:rsidP="00000000" w:rsidRDefault="00000000" w:rsidRPr="00000000" w14:paraId="00000092">
            <w:pPr>
              <w:pStyle w:val="Heading3"/>
              <w:keepNext w:val="0"/>
              <w:spacing w:after="80" w:before="280" w:line="240" w:lineRule="auto"/>
              <w:ind w:firstLine="0"/>
              <w:rPr>
                <w:rFonts w:ascii="Calibri" w:cs="Calibri" w:eastAsia="Calibri" w:hAnsi="Calibri"/>
              </w:rPr>
            </w:pPr>
            <w:bookmarkStart w:colFirst="0" w:colLast="0" w:name="_heading=h.c44s8qrxtpdo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Riesgos Operativos</w:t>
            </w:r>
          </w:p>
          <w:p w:rsidR="00000000" w:rsidDel="00000000" w:rsidP="00000000" w:rsidRDefault="00000000" w:rsidRPr="00000000" w14:paraId="00000093">
            <w:pPr>
              <w:spacing w:after="240" w:before="24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 categoría abarca riesgos relacionados con las operaciones internas del proyecto. Incluye posibles ineficiencias en los procesos de automatización y flujos de trabajo, así como problemas en la gestión de roles y responsabilidades.</w:t>
            </w:r>
          </w:p>
          <w:p w:rsidR="00000000" w:rsidDel="00000000" w:rsidP="00000000" w:rsidRDefault="00000000" w:rsidRPr="00000000" w14:paraId="00000094">
            <w:pPr>
              <w:pStyle w:val="Heading3"/>
              <w:keepNext w:val="0"/>
              <w:spacing w:after="80" w:before="280" w:line="240" w:lineRule="auto"/>
              <w:ind w:firstLine="0"/>
              <w:rPr>
                <w:rFonts w:ascii="Calibri" w:cs="Calibri" w:eastAsia="Calibri" w:hAnsi="Calibri"/>
              </w:rPr>
            </w:pPr>
            <w:bookmarkStart w:colFirst="0" w:colLast="0" w:name="_heading=h.2dfl11gmi0nq" w:id="11"/>
            <w:bookmarkEnd w:id="1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Riesgos de Calidad</w:t>
            </w:r>
          </w:p>
          <w:p w:rsidR="00000000" w:rsidDel="00000000" w:rsidP="00000000" w:rsidRDefault="00000000" w:rsidRPr="00000000" w14:paraId="00000095">
            <w:pPr>
              <w:spacing w:after="240" w:before="24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 categoría cubre los riesgos asociados con el cumplimiento de los estándares de calidad del proyecto y los requisitos del cliente. Los riesgos de calidad incluyen desviaciones de los estándares, errores no identificados durante las pruebas de funcionalidad, seguridad y datos.</w:t>
            </w:r>
          </w:p>
          <w:p w:rsidR="00000000" w:rsidDel="00000000" w:rsidP="00000000" w:rsidRDefault="00000000" w:rsidRPr="00000000" w14:paraId="00000096">
            <w:pPr>
              <w:pStyle w:val="Heading3"/>
              <w:keepNext w:val="0"/>
              <w:spacing w:after="80" w:before="280" w:line="240" w:lineRule="auto"/>
              <w:ind w:firstLine="0"/>
              <w:rPr>
                <w:rFonts w:ascii="Calibri" w:cs="Calibri" w:eastAsia="Calibri" w:hAnsi="Calibri"/>
              </w:rPr>
            </w:pPr>
            <w:bookmarkStart w:colFirst="0" w:colLast="0" w:name="_heading=h.tubmqhgjkh0n" w:id="12"/>
            <w:bookmarkEnd w:id="1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Riesgos Tecnológicos</w:t>
            </w:r>
          </w:p>
          <w:p w:rsidR="00000000" w:rsidDel="00000000" w:rsidP="00000000" w:rsidRDefault="00000000" w:rsidRPr="00000000" w14:paraId="00000097">
            <w:pPr>
              <w:spacing w:after="240" w:before="24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riesgos tecnológicos están relacionados con los problemas que pueden surgir de la tecnología utilizada en el proyecto. Esto incluye fallos en la infraestructura, como servidores y almacenamiento, incompatibilidades entre la plataforma web y de escritorio, y errores en la integración de APIs para sistemas de pago y manejo de información.</w:t>
            </w:r>
          </w:p>
          <w:p w:rsidR="00000000" w:rsidDel="00000000" w:rsidP="00000000" w:rsidRDefault="00000000" w:rsidRPr="00000000" w14:paraId="00000098">
            <w:pPr>
              <w:pStyle w:val="Heading3"/>
              <w:keepNext w:val="0"/>
              <w:spacing w:after="80" w:before="280" w:line="240" w:lineRule="auto"/>
              <w:ind w:firstLine="0"/>
              <w:rPr>
                <w:rFonts w:ascii="Calibri" w:cs="Calibri" w:eastAsia="Calibri" w:hAnsi="Calibri"/>
              </w:rPr>
            </w:pPr>
            <w:bookmarkStart w:colFirst="0" w:colLast="0" w:name="_heading=h.fxx8e2l39xm5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Riesgos de Seguridad</w:t>
            </w:r>
          </w:p>
          <w:p w:rsidR="00000000" w:rsidDel="00000000" w:rsidP="00000000" w:rsidRDefault="00000000" w:rsidRPr="00000000" w14:paraId="00000099">
            <w:pPr>
              <w:spacing w:after="240" w:before="24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riesgos de seguridad se refieren a posibles amenazas cibernéticas y vulnerabilidades que podrían exponer datos sensibles o permitir accesos no autorizados. También cubren el riesgo de no cumplir con las normativas de seguridad de la información, como ISO.</w:t>
            </w:r>
          </w:p>
          <w:p w:rsidR="00000000" w:rsidDel="00000000" w:rsidP="00000000" w:rsidRDefault="00000000" w:rsidRPr="00000000" w14:paraId="0000009A">
            <w:pPr>
              <w:pStyle w:val="Heading3"/>
              <w:keepNext w:val="0"/>
              <w:spacing w:after="80" w:before="280" w:line="240" w:lineRule="auto"/>
              <w:ind w:firstLine="0"/>
              <w:rPr>
                <w:rFonts w:ascii="Calibri" w:cs="Calibri" w:eastAsia="Calibri" w:hAnsi="Calibri"/>
              </w:rPr>
            </w:pPr>
            <w:bookmarkStart w:colFirst="0" w:colLast="0" w:name="_heading=h.o7alnwa21ci7" w:id="14"/>
            <w:bookmarkEnd w:id="1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Riesgos Técnicos</w:t>
            </w:r>
          </w:p>
          <w:p w:rsidR="00000000" w:rsidDel="00000000" w:rsidP="00000000" w:rsidRDefault="00000000" w:rsidRPr="00000000" w14:paraId="0000009B">
            <w:pPr>
              <w:spacing w:after="240" w:before="24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riesgos técnicos se refieren a desafíos específicos en el desarrollo y mantenimiento de las funcionalidades del sistema.</w:t>
            </w:r>
          </w:p>
          <w:p w:rsidR="00000000" w:rsidDel="00000000" w:rsidP="00000000" w:rsidRDefault="00000000" w:rsidRPr="00000000" w14:paraId="0000009C">
            <w:pPr>
              <w:pStyle w:val="Heading3"/>
              <w:keepNext w:val="0"/>
              <w:spacing w:after="80" w:before="280" w:line="240" w:lineRule="auto"/>
              <w:ind w:firstLine="0"/>
              <w:rPr>
                <w:rFonts w:ascii="Calibri" w:cs="Calibri" w:eastAsia="Calibri" w:hAnsi="Calibri"/>
              </w:rPr>
            </w:pPr>
            <w:bookmarkStart w:colFirst="0" w:colLast="0" w:name="_heading=h.8xob7yd9zj54" w:id="15"/>
            <w:bookmarkEnd w:id="1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Riesgos de Gestión</w:t>
            </w:r>
          </w:p>
          <w:p w:rsidR="00000000" w:rsidDel="00000000" w:rsidP="00000000" w:rsidRDefault="00000000" w:rsidRPr="00000000" w14:paraId="0000009D">
            <w:pPr>
              <w:spacing w:after="240" w:before="240" w:line="240" w:lineRule="auto"/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riesgos de gestión se relacionan con la planificación y coordinación del proyecto. Incluyen desviaciones en el cronograma y el presupuesto, lo que puede llevar a retrasos en la entrega del proyecto. También abordan la falta de comunicación efectiva entre los equipos y los stakeholders, la incapacidad para adaptarse a cambios en los requisitos o en el entorno del proyecto. Estos riesgos pueden comprometer la efectividad del equipo y el éxito general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Calibri" w:cs="Calibri" w:eastAsia="Calibri" w:hAnsi="Calibri"/>
          <w:b w:val="1"/>
          <w:color w:val="365f91"/>
          <w:sz w:val="22"/>
          <w:szCs w:val="22"/>
        </w:rPr>
      </w:pPr>
      <w:bookmarkStart w:colFirst="0" w:colLast="0" w:name="_heading=h.1qh28fc4j8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80" w:before="280" w:line="240" w:lineRule="auto"/>
        <w:ind w:hanging="2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3dy6vkm" w:id="17"/>
      <w:bookmarkEnd w:id="17"/>
      <w:r w:rsidDel="00000000" w:rsidR="00000000" w:rsidRPr="00000000">
        <w:rPr>
          <w:sz w:val="26"/>
          <w:szCs w:val="26"/>
          <w:rtl w:val="0"/>
        </w:rPr>
        <w:t xml:space="preserve">Estructura de Desglose de Riesgos (RBS)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Estructura de Desglose de Riesgos - Proyecto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ByteMart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5thato8mtxp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-222249</wp:posOffset>
            </wp:positionH>
            <wp:positionV relativeFrom="paragraph">
              <wp:posOffset>248568</wp:posOffset>
            </wp:positionV>
            <wp:extent cx="6200598" cy="3842476"/>
            <wp:effectExtent b="0" l="0" r="0" t="0"/>
            <wp:wrapSquare wrapText="bothSides" distB="114300" distT="114300" distL="114300" distR="114300"/>
            <wp:docPr id="20957730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598" cy="3842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1t3h5sf" w:id="19"/>
      <w:bookmarkEnd w:id="19"/>
      <w:r w:rsidDel="00000000" w:rsidR="00000000" w:rsidRPr="00000000">
        <w:rPr>
          <w:sz w:val="26"/>
          <w:szCs w:val="26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A9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4d34og8" w:id="20"/>
      <w:bookmarkEnd w:id="20"/>
      <w:r w:rsidDel="00000000" w:rsidR="00000000" w:rsidRPr="00000000">
        <w:rPr>
          <w:sz w:val="26"/>
          <w:szCs w:val="26"/>
          <w:rtl w:val="0"/>
        </w:rPr>
        <w:t xml:space="preserve">Definiciones de Probabilidad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Muy Alta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(&gt;90%)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 posible que esté el riesgo categorizado con esta probabilidad ocurra sí o sí.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Alta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(66% - 89%)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 probabilidad de que el riesgo detectado tiene un alto grado de que pueda ocurrir.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Media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(41% - 65%)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riesgo puede tener una probabilidad moderada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Baja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(11% - 40%)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Existe un bajo grado de que el riesgo pueda ocurrir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Muy Baja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(&lt;10%)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 esta categoría 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que seguro que el riesgo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lejos de materializarse.</w:t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2s8eyo1" w:id="21"/>
      <w:bookmarkEnd w:id="21"/>
      <w:r w:rsidDel="00000000" w:rsidR="00000000" w:rsidRPr="00000000">
        <w:rPr>
          <w:sz w:val="26"/>
          <w:szCs w:val="26"/>
          <w:rtl w:val="0"/>
        </w:rPr>
        <w:t xml:space="preserve">Definiciones de Impacto</w:t>
      </w:r>
    </w:p>
    <w:tbl>
      <w:tblPr>
        <w:tblStyle w:val="Table8"/>
        <w:tblW w:w="9720.0" w:type="dxa"/>
        <w:jc w:val="left"/>
        <w:tblInd w:w="-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905"/>
        <w:gridCol w:w="1545"/>
        <w:gridCol w:w="1455"/>
        <w:gridCol w:w="1575"/>
        <w:gridCol w:w="1905"/>
        <w:tblGridChange w:id="0">
          <w:tblGrid>
            <w:gridCol w:w="1335"/>
            <w:gridCol w:w="1905"/>
            <w:gridCol w:w="1545"/>
            <w:gridCol w:w="1455"/>
            <w:gridCol w:w="157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Objetivo de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bajo (0,05)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(0,10)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Medio 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(0,20)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(0,40)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Impacto mínimo en la funcionalidad, apenas perceptible.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Pequeños ajustes en características, sin afectar objetivos generales.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Cambios moderados en funcionalidades clave, posibles ajustes de objetivos.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Alteraciones significativas en el alcance general del proyecto, requiriendo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replanificación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Cambios drásticos en el alcance que comprometen la viabilidad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Desviación menor, sin afectar la entrega final.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Retrasos leves que requieren ajustes mínimos en la planificación.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Atrasos que impactan fases importantes, sin comprometer la entrega total.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Retrasos significativos en los plazos, afectando la entrega global del proyecto.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Demoras críticas que comprometen la fecha de finalización y el éxito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Costo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Incremento insignificante en los costos, dentro del margen de contingencia.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Aumento moderado, pero manejable dentro del presupuesto.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Incremento notable que exige reasignación de recursos.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Aumento considerable que puede requerir aprobación de financiación adicional.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Sobrecostos severos que ponen en riesgo la viabilidad financiera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Impacto imperceptible en la calidad final.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Cambios leves que no comprometen los estándares de calidad.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Afecta ciertos aspectos de calidad, pero se pueden solucionar.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Impacto importante que afecta la calidad general, requiriendo intervenciones importantes.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Desviarse significativamente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de la calidad, comprometiendo los entregables del proyecto.</w:t>
            </w:r>
          </w:p>
        </w:tc>
      </w:tr>
    </w:tbl>
    <w:p w:rsidR="00000000" w:rsidDel="00000000" w:rsidP="00000000" w:rsidRDefault="00000000" w:rsidRPr="00000000" w14:paraId="000000D6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17dp8vu" w:id="22"/>
      <w:bookmarkEnd w:id="22"/>
      <w:r w:rsidDel="00000000" w:rsidR="00000000" w:rsidRPr="00000000">
        <w:rPr>
          <w:sz w:val="26"/>
          <w:szCs w:val="26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D7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3rdcrjn" w:id="23"/>
      <w:bookmarkEnd w:id="23"/>
      <w:r w:rsidDel="00000000" w:rsidR="00000000" w:rsidRPr="00000000">
        <w:rPr>
          <w:sz w:val="26"/>
          <w:szCs w:val="26"/>
          <w:rtl w:val="0"/>
        </w:rPr>
        <w:t xml:space="preserve">Amenazas (Riesgos)</w:t>
      </w:r>
    </w:p>
    <w:tbl>
      <w:tblPr>
        <w:tblStyle w:val="Table9"/>
        <w:tblW w:w="9234.999999999998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5"/>
        <w:gridCol w:w="1279"/>
        <w:gridCol w:w="1364"/>
        <w:gridCol w:w="1365"/>
        <w:gridCol w:w="1364"/>
        <w:gridCol w:w="1364"/>
        <w:gridCol w:w="1364"/>
        <w:tblGridChange w:id="0">
          <w:tblGrid>
            <w:gridCol w:w="1135"/>
            <w:gridCol w:w="1279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&gt;0,90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0,66 - 0,89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Media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0,41 - 0,65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Baja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0,11 - 0,40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Baja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&lt;0,10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Mitigación obligatoria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Reglas para mitigar los riesgos en la Matriz de Probabilidad e Impacto.</w:t>
      </w:r>
    </w:p>
    <w:p w:rsidR="00000000" w:rsidDel="00000000" w:rsidP="00000000" w:rsidRDefault="00000000" w:rsidRPr="00000000" w14:paraId="0000010C">
      <w:pPr>
        <w:spacing w:after="280" w:before="280" w:line="240" w:lineRule="auto"/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Mitigación obligatoria: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Es para aquellos riesgos que consideran una probabilidad alta y muy alta e impacto alto y muy alto, con algunas excepciones. Estos riesgos deberán ser mitigados de manera inmediata y obligatoria.</w:t>
      </w:r>
    </w:p>
    <w:p w:rsidR="00000000" w:rsidDel="00000000" w:rsidP="00000000" w:rsidRDefault="00000000" w:rsidRPr="00000000" w14:paraId="0000010D">
      <w:pPr>
        <w:spacing w:after="280" w:before="280" w:line="240" w:lineRule="auto"/>
        <w:ind w:left="0" w:hanging="2"/>
        <w:rPr>
          <w:rFonts w:ascii="Calibri" w:cs="Calibri" w:eastAsia="Calibri" w:hAnsi="Calibri"/>
          <w:sz w:val="22"/>
          <w:szCs w:val="22"/>
        </w:rPr>
      </w:pPr>
      <w:bookmarkStart w:colFirst="0" w:colLast="0" w:name="_heading=h.54mjekr05n8j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Revisión: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Es para aquellos riesgos que tengan consideraciones de impacto y probabilidad bajos, estos riesgos al tener probabilidades bajas podrá solo ser revisados, sin la necesidad de mitigarlos de manera inmediata, pero sí debe ser obligatoria en su debido tiempo.</w:t>
      </w:r>
    </w:p>
    <w:p w:rsidR="00000000" w:rsidDel="00000000" w:rsidP="00000000" w:rsidRDefault="00000000" w:rsidRPr="00000000" w14:paraId="0000010E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ii4cqmye96pm" w:id="25"/>
      <w:bookmarkEnd w:id="25"/>
      <w:r w:rsidDel="00000000" w:rsidR="00000000" w:rsidRPr="00000000">
        <w:rPr>
          <w:sz w:val="26"/>
          <w:szCs w:val="26"/>
          <w:rtl w:val="0"/>
        </w:rPr>
        <w:t xml:space="preserve">Oportunidades</w:t>
      </w:r>
    </w:p>
    <w:tbl>
      <w:tblPr>
        <w:tblStyle w:val="Table10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1279"/>
        <w:gridCol w:w="1364"/>
        <w:gridCol w:w="1365"/>
        <w:gridCol w:w="1364"/>
        <w:gridCol w:w="1364"/>
        <w:gridCol w:w="1364"/>
        <w:tblGridChange w:id="0">
          <w:tblGrid>
            <w:gridCol w:w="846"/>
            <w:gridCol w:w="1279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left="0" w:hanging="2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0,10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0,20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0,40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&gt;0,90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Oportunidad prioritaria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Oportunidad prioritaria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Oportunidad prioritaria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0,66 - 0,89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Oportunidad prioritaria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Oportunidad prioritaria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280" w:before="28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0,41 - 0,65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280" w:before="28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280" w:before="28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280" w:before="28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Baja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0,11 - 0,40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Muy Baja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&lt;0,10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Monitoreo</w:t>
            </w:r>
          </w:p>
        </w:tc>
      </w:tr>
    </w:tbl>
    <w:p w:rsidR="00000000" w:rsidDel="00000000" w:rsidP="00000000" w:rsidRDefault="00000000" w:rsidRPr="00000000" w14:paraId="00000142">
      <w:pPr>
        <w:spacing w:after="280" w:before="280" w:line="240" w:lineRule="auto"/>
        <w:ind w:left="0" w:hanging="2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5flfyoaxzrd" w:id="26"/>
      <w:bookmarkEnd w:id="2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Reglas para el provecho de oportunidades en la Matriz de Probabilidad e Impacto.</w:t>
      </w:r>
    </w:p>
    <w:p w:rsidR="00000000" w:rsidDel="00000000" w:rsidP="00000000" w:rsidRDefault="00000000" w:rsidRPr="00000000" w14:paraId="00000143">
      <w:pPr>
        <w:spacing w:after="280" w:before="280" w:line="240" w:lineRule="auto"/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Prioritarias: Aquellas oportunidades que estén en esta categoría, deben ser de carácter obligatorio su priorización para aumentar su impacto y probabilidad, ya que es algo que puede atraer beneficios.</w:t>
      </w:r>
    </w:p>
    <w:p w:rsidR="00000000" w:rsidDel="00000000" w:rsidP="00000000" w:rsidRDefault="00000000" w:rsidRPr="00000000" w14:paraId="00000144">
      <w:pPr>
        <w:spacing w:after="280" w:before="280" w:line="240" w:lineRule="auto"/>
        <w:ind w:left="0" w:hanging="2"/>
        <w:rPr>
          <w:rFonts w:ascii="Calibri" w:cs="Calibri" w:eastAsia="Calibri" w:hAnsi="Calibri"/>
          <w:sz w:val="22"/>
          <w:szCs w:val="22"/>
        </w:rPr>
      </w:pPr>
      <w:bookmarkStart w:colFirst="0" w:colLast="0" w:name="_heading=h.4y580bdbyrxu" w:id="27"/>
      <w:bookmarkEnd w:id="2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Revisión: Son aquellas oportunidades que no son prioritarias, pero si ameritan una revisión para evaluar su nivel de oportunidad y poder priorizarla.</w:t>
      </w:r>
    </w:p>
    <w:p w:rsidR="00000000" w:rsidDel="00000000" w:rsidP="00000000" w:rsidRDefault="00000000" w:rsidRPr="00000000" w14:paraId="00000145">
      <w:pPr>
        <w:spacing w:after="280" w:before="280"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Monitoreo: Son oportunidades de bajo nivel, que son consideradas para monitorearlas, viendo su evolución.</w:t>
      </w:r>
    </w:p>
    <w:p w:rsidR="00000000" w:rsidDel="00000000" w:rsidP="00000000" w:rsidRDefault="00000000" w:rsidRPr="00000000" w14:paraId="00000146">
      <w:pPr>
        <w:spacing w:after="280" w:before="280"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80" w:before="280"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80" w:before="280"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lnxbz9" w:id="28"/>
      <w:bookmarkEnd w:id="28"/>
      <w:r w:rsidDel="00000000" w:rsidR="00000000" w:rsidRPr="00000000">
        <w:rPr>
          <w:sz w:val="26"/>
          <w:szCs w:val="26"/>
          <w:rtl w:val="0"/>
        </w:rPr>
        <w:t xml:space="preserve">Revisión de la tolerancia de los interesados (Stakeholders)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la revisión de la tolerancia de los stakeholders, se clasificaron según su nombre y nivel de tolerancia. A continuación, se muestra la tolerancia de los interesados: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Nivel de Tolerancia al Riesgo: Medio.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Equipo desarrollo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Nivel de Tolerancia al Riesgo: Medio.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Nivel de Tolerancia al Riesgo: Medio.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Usuarios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Nivel de Tolerancia al Riesgo: Medio.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Style w:val="Heading1"/>
        <w:spacing w:after="280" w:before="280" w:line="240" w:lineRule="auto"/>
        <w:ind w:hanging="2"/>
        <w:rPr>
          <w:sz w:val="26"/>
          <w:szCs w:val="26"/>
        </w:rPr>
      </w:pPr>
      <w:bookmarkStart w:colFirst="0" w:colLast="0" w:name="_heading=h.35nkun2" w:id="29"/>
      <w:bookmarkEnd w:id="29"/>
      <w:r w:rsidDel="00000000" w:rsidR="00000000" w:rsidRPr="00000000">
        <w:rPr>
          <w:sz w:val="26"/>
          <w:szCs w:val="26"/>
          <w:rtl w:val="0"/>
        </w:rPr>
        <w:t xml:space="preserve">Formatos de los Informes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Formato de Identificación de Riesgos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Para identificar y documentar un riesgo, se tendrá que utilizar el siguiente formato: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riesgo.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 del riesgo.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Categorización del riesgo.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Probabilidad (Según lo detallado en la matriz).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 (Según lo detallado en la matriz).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Oportunidad (Según lo detallado en la matriz).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mitigación.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Responsable.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registro.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monitoreo.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Comunicación.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Formato de Comunicación de Riesgos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Las comunicaciones sobre los riesgos deben ser a través de reuniones con todas las partes involucradas de forma mensual, con presentación de informes con los detalles.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Destinatarios de los Informes de Riesgos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Los destinatarios de los informes realizados por el equipo de gestión de riesgos es la gerencia del proyecto.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Frecuencia de los Informes de Riesgos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Los informes de riesgos serán de forma mensual, con presentación de los detalles.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Responsable de la Generación de Informes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El equipo de gestión de riesgos será el encargado de generar los reportes e informes necesarios en este proceso.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pStyle w:val="Heading1"/>
        <w:spacing w:after="280" w:before="280" w:line="240" w:lineRule="auto"/>
        <w:ind w:firstLine="0"/>
        <w:rPr>
          <w:sz w:val="26"/>
          <w:szCs w:val="26"/>
        </w:rPr>
      </w:pPr>
      <w:bookmarkStart w:colFirst="0" w:colLast="0" w:name="_heading=h.1ksv4uv" w:id="30"/>
      <w:bookmarkEnd w:id="30"/>
      <w:r w:rsidDel="00000000" w:rsidR="00000000" w:rsidRPr="00000000">
        <w:rPr>
          <w:sz w:val="26"/>
          <w:szCs w:val="26"/>
          <w:rtl w:val="0"/>
        </w:rPr>
        <w:t xml:space="preserve">Seguimiento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Para garantizar que los riesgos identificados logren una eficacia en el proyecto, se realiza el seguimiento de estos, el cual se desarrollará de la siguiente manera: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 una frecuencia regular para la revisión de los riesgos.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sobre las mitigaciones realizadas: Verificar si las acciones que se emplearon en los riesgos se llevan a cabo de la manera prevista o están teniendo el impacto esperado.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Comunicaciones con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stakeholders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proyecto.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Reportes de seguimiento: Desarrollo de informes de seguimiento que se presentarán a las partes interesadas, con detalle de estado actual, implementaciones, etc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Style w:val="Heading1"/>
        <w:spacing w:after="280" w:before="280" w:line="240" w:lineRule="auto"/>
        <w:ind w:firstLine="0"/>
        <w:rPr>
          <w:sz w:val="26"/>
          <w:szCs w:val="26"/>
        </w:rPr>
      </w:pPr>
      <w:bookmarkStart w:colFirst="0" w:colLast="0" w:name="_heading=h.44sinio" w:id="31"/>
      <w:bookmarkEnd w:id="31"/>
      <w:r w:rsidDel="00000000" w:rsidR="00000000" w:rsidRPr="00000000">
        <w:rPr>
          <w:sz w:val="26"/>
          <w:szCs w:val="26"/>
          <w:rtl w:val="0"/>
        </w:rPr>
        <w:t xml:space="preserve">Aprobaciones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Vicente Laguna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color w:val="365f91"/>
              </w:rPr>
              <w:drawing>
                <wp:inline distB="0" distT="0" distL="0" distR="0">
                  <wp:extent cx="1763395" cy="986790"/>
                  <wp:effectExtent b="0" l="0" r="0" t="0"/>
                  <wp:docPr id="209577309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395" cy="986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Julio Tapia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color w:val="365f91"/>
              </w:rPr>
              <w:drawing>
                <wp:inline distB="0" distT="0" distL="0" distR="0">
                  <wp:extent cx="1763395" cy="801370"/>
                  <wp:effectExtent b="0" l="0" r="0" t="0"/>
                  <wp:docPr id="209577309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395" cy="801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firstLine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09577309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09577309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1FD3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/R8hgl6YWKCXf74Wttp95KqUXA==">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2023-12-09T08:15:00Z</dcterms:created>
  <dc:creator>admin</dc:creator>
</cp:coreProperties>
</file>