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000000"/>
          <w:sz w:val="64"/>
          <w:szCs w:val="64"/>
        </w:rPr>
        <w:t xml:space="preserve">NGĀTI HIKAIRO</w:t>
      </w:r>
    </w:p>
    <w:p>
      <w:pPr>
        <w:spacing w:after="300" w:before="0"/>
        <w:jc w:val="center"/>
      </w:pPr>
      <w:r>
        <w:rPr>
          <w:rFonts w:ascii="Arial" w:cs="Arial" w:eastAsia="Arial" w:hAnsi="Arial"/>
          <w:b/>
          <w:bCs/>
          <w:color w:val="000000"/>
          <w:sz w:val="48"/>
          <w:szCs w:val="48"/>
        </w:rPr>
        <w:t xml:space="preserve">AHU WHENUA TRUST</w:t>
      </w:r>
    </w:p>
    <w:p>
      <w:pPr>
        <w:pBdr>
          <w:bottom w:val="single" w:color="000000" w:sz="8" w:space="1"/>
        </w:pBdr>
        <w:spacing w:after="300" w:before="0"/>
      </w:pPr>
      <w:r>
        <w:t xml:space="preserve"/>
      </w:r>
    </w:p>
    <w:p>
      <w:pPr>
        <w:spacing w:after="160" w:before="0"/>
        <w:jc w:val="center"/>
      </w:pPr>
      <w:r>
        <w:rPr>
          <w:rFonts w:ascii="Arial" w:cs="Arial" w:eastAsia="Arial" w:hAnsi="Arial"/>
          <w:color w:val="444444"/>
          <w:sz w:val="40"/>
          <w:szCs w:val="40"/>
        </w:rPr>
        <w:t xml:space="preserve">AI Operating Manual</w:t>
      </w:r>
    </w:p>
    <w:p>
      <w:pPr>
        <w:spacing w:after="120" w:before="0"/>
        <w:jc w:val="center"/>
      </w:pPr>
      <w:r>
        <w:rPr>
          <w:rFonts w:ascii="Arial" w:cs="Arial" w:eastAsia="Arial" w:hAnsi="Arial"/>
          <w:color w:val="666666"/>
          <w:sz w:val="20"/>
          <w:szCs w:val="20"/>
        </w:rPr>
        <w:t xml:space="preserve">COMPANY  •  BRAND  •  PROCESSES  •  GLOSSARY</w:t>
      </w:r>
    </w:p>
    <w:p>
      <w:pPr>
        <w:spacing w:after="200" w:before="0"/>
        <w:jc w:val="center"/>
      </w:pPr>
      <w:r>
        <w:rPr>
          <w:rFonts w:ascii="Arial" w:cs="Arial" w:eastAsia="Arial" w:hAnsi="Arial"/>
          <w:color w:val="666666"/>
          <w:sz w:val="20"/>
          <w:szCs w:val="20"/>
        </w:rPr>
        <w:t xml:space="preserve">Version 1.1  |  May 2026</w:t>
      </w:r>
    </w:p>
    <w:p>
      <w:pPr>
        <w:spacing w:after="80" w:before="80"/>
        <w:jc w:val="center"/>
      </w:pPr>
      <w:r>
        <w:rPr>
          <w:rFonts w:ascii="Arial" w:cs="Arial" w:eastAsia="Arial" w:hAnsi="Arial"/>
          <w:i/>
          <w:iCs/>
          <w:color w:val="666666"/>
          <w:sz w:val="22"/>
          <w:szCs w:val="22"/>
        </w:rPr>
        <w:t xml:space="preserve">He whenua, he oranga — Land is life, land is wellbeing.</w:t>
      </w:r>
    </w:p>
    <w:p>
      <w:pPr>
        <w:spacing w:after="0" w:before="0"/>
      </w:pPr>
      <w:r>
        <w:br w:type="page"/>
      </w:r>
    </w:p>
    <w:p>
      <w:pPr>
        <w:pStyle w:val="Heading1"/>
        <w:pBdr>
          <w:bottom w:val="single" w:color="000000" w:sz="8" w:space="1"/>
        </w:pBdr>
        <w:spacing w:after="200" w:before="480"/>
      </w:pPr>
      <w:r>
        <w:rPr>
          <w:rFonts w:ascii="Arial" w:cs="Arial" w:eastAsia="Arial" w:hAnsi="Arial"/>
          <w:b/>
          <w:bCs/>
          <w:color w:val="000000"/>
          <w:sz w:val="36"/>
          <w:szCs w:val="36"/>
        </w:rPr>
        <w:t xml:space="preserve">COMPANY.MD — Ko Wai Mātou / Who We Are</w:t>
      </w:r>
    </w:p>
    <w:p>
      <w:pPr>
        <w:pStyle w:val="Heading2"/>
        <w:spacing w:after="120" w:before="320"/>
      </w:pPr>
      <w:r>
        <w:rPr>
          <w:rFonts w:ascii="Arial" w:cs="Arial" w:eastAsia="Arial" w:hAnsi="Arial"/>
          <w:b/>
          <w:bCs/>
          <w:color w:val="000000"/>
          <w:sz w:val="28"/>
          <w:szCs w:val="28"/>
        </w:rPr>
        <w:t xml:space="preserve">Ko Wai Mātou — Our Identity</w:t>
      </w:r>
    </w:p>
    <w:p>
      <w:pPr>
        <w:spacing w:after="80" w:before="80"/>
      </w:pPr>
      <w:r>
        <w:rPr>
          <w:rFonts w:ascii="Arial" w:cs="Arial" w:eastAsia="Arial" w:hAnsi="Arial"/>
          <w:color w:val="000000"/>
          <w:sz w:val="22"/>
          <w:szCs w:val="22"/>
        </w:rPr>
        <w:t xml:space="preserve">Ngāti Hikairo Ahu Whenua Trust (formerly the Pakirarahi No.1B Trust) is an Ahu Whenua Trust constituted under section 215 of Te Ture Whenua Māori Act 1993 and registered with the Māori Land Court. The Trust is named for our tūpuna — Hone Hikairo, Keepa Mita Hikairo, and Te Rata Hikairo akā Te Rata Hohepa — whose descendants are the beneficiaries of this Trust.</w:t>
      </w:r>
    </w:p>
    <w:p>
      <w:pPr>
        <w:spacing w:after="80" w:before="80"/>
      </w:pPr>
      <w:r>
        <w:rPr>
          <w:rFonts w:ascii="Arial" w:cs="Arial" w:eastAsia="Arial" w:hAnsi="Arial"/>
          <w:color w:val="000000"/>
          <w:sz w:val="22"/>
          <w:szCs w:val="22"/>
        </w:rPr>
        <w:t xml:space="preserve">The Trust holds several blocks of Māori freehold land: Te Kakati No 1 (known as Urūpā), Te Kakati No 2, 4ML Te Kakati, Whakairipaoa No 2, and Pakirarahi No.1B. These lands are the foundation upon which the Trust operates and fulfils its obligations to present and future generations.</w:t>
      </w:r>
    </w:p>
    <w:p>
      <w:pPr>
        <w:pStyle w:val="Heading2"/>
        <w:spacing w:after="120" w:before="320"/>
      </w:pPr>
      <w:r>
        <w:rPr>
          <w:rFonts w:ascii="Arial" w:cs="Arial" w:eastAsia="Arial" w:hAnsi="Arial"/>
          <w:b/>
          <w:bCs/>
          <w:color w:val="000000"/>
          <w:sz w:val="28"/>
          <w:szCs w:val="28"/>
        </w:rPr>
        <w:t xml:space="preserve">Vision, Purpose, and Values</w:t>
      </w:r>
    </w:p>
    <w:p>
      <w:pPr>
        <w:spacing w:after="80" w:before="80"/>
      </w:pPr>
      <w:r>
        <w:rPr>
          <w:rFonts w:ascii="Arial" w:cs="Arial" w:eastAsia="Arial" w:hAnsi="Arial"/>
          <w:color w:val="000000"/>
          <w:sz w:val="22"/>
          <w:szCs w:val="22"/>
        </w:rPr>
        <w:t xml:space="preserve">The Trust aligns its vision (the roof), purpose (the pillars), and values (the foundation) to build trust, credibility, and strong whānau relationships for long-term success.</w:t>
      </w:r>
    </w:p>
    <w:p>
      <w:pPr>
        <w:spacing w:after="60" w:before="60"/>
      </w:pPr>
      <w:r>
        <w:t xml:space="preserve"/>
      </w:r>
    </w:p>
    <w:p>
      <w:pPr>
        <w:spacing w:after="60" w:before="60"/>
      </w:pPr>
      <w:r>
        <w:rPr>
          <w:rFonts w:ascii="Arial" w:cs="Arial" w:eastAsia="Arial" w:hAnsi="Arial"/>
          <w:b/>
          <w:bCs/>
          <w:color w:val="000000"/>
          <w:sz w:val="22"/>
          <w:szCs w:val="22"/>
        </w:rPr>
        <w:t xml:space="preserve">Vision (the roof): </w:t>
      </w:r>
      <w:r>
        <w:rPr>
          <w:rFonts w:ascii="Arial" w:cs="Arial" w:eastAsia="Arial" w:hAnsi="Arial"/>
          <w:color w:val="000000"/>
          <w:sz w:val="22"/>
          <w:szCs w:val="22"/>
        </w:rPr>
        <w:t xml:space="preserve">To manage, preserve, and develop the whēnua for the lasting benefit of all beneficiaries and future generations</w:t>
      </w:r>
    </w:p>
    <w:p>
      <w:pPr>
        <w:spacing w:after="60" w:before="60"/>
      </w:pPr>
      <w:r>
        <w:rPr>
          <w:rFonts w:ascii="Arial" w:cs="Arial" w:eastAsia="Arial" w:hAnsi="Arial"/>
          <w:b/>
          <w:bCs/>
          <w:color w:val="000000"/>
          <w:sz w:val="22"/>
          <w:szCs w:val="22"/>
        </w:rPr>
        <w:t xml:space="preserve">Purpose (the pillars): </w:t>
      </w:r>
      <w:r>
        <w:rPr>
          <w:rFonts w:ascii="Arial" w:cs="Arial" w:eastAsia="Arial" w:hAnsi="Arial"/>
          <w:color w:val="000000"/>
          <w:sz w:val="22"/>
          <w:szCs w:val="22"/>
        </w:rPr>
        <w:t xml:space="preserve">To ensure the whēnua provides meaningful economic, cultural, social, and housing outcomes for whānau</w:t>
      </w:r>
    </w:p>
    <w:p>
      <w:pPr>
        <w:spacing w:after="60" w:before="60"/>
      </w:pPr>
      <w:r>
        <w:rPr>
          <w:rFonts w:ascii="Arial" w:cs="Arial" w:eastAsia="Arial" w:hAnsi="Arial"/>
          <w:b/>
          <w:bCs/>
          <w:color w:val="000000"/>
          <w:sz w:val="22"/>
          <w:szCs w:val="22"/>
        </w:rPr>
        <w:t xml:space="preserve">Values (the foundation): </w:t>
      </w:r>
      <w:r>
        <w:rPr>
          <w:rFonts w:ascii="Arial" w:cs="Arial" w:eastAsia="Arial" w:hAnsi="Arial"/>
          <w:color w:val="000000"/>
          <w:sz w:val="22"/>
          <w:szCs w:val="22"/>
        </w:rPr>
        <w:t xml:space="preserve">Openness, honesty, transparency, and fairness in all decisions and communications</w:t>
      </w:r>
    </w:p>
    <w:p>
      <w:pPr>
        <w:pStyle w:val="Heading2"/>
        <w:spacing w:after="120" w:before="320"/>
      </w:pPr>
      <w:r>
        <w:rPr>
          <w:rFonts w:ascii="Arial" w:cs="Arial" w:eastAsia="Arial" w:hAnsi="Arial"/>
          <w:b/>
          <w:bCs/>
          <w:color w:val="000000"/>
          <w:sz w:val="28"/>
          <w:szCs w:val="28"/>
        </w:rPr>
        <w:t xml:space="preserve">What We Do</w:t>
      </w:r>
    </w:p>
    <w:p>
      <w:pPr>
        <w:spacing w:after="80" w:before="80"/>
      </w:pPr>
      <w:r>
        <w:rPr>
          <w:rFonts w:ascii="Arial" w:cs="Arial" w:eastAsia="Arial" w:hAnsi="Arial"/>
          <w:color w:val="000000"/>
          <w:sz w:val="22"/>
          <w:szCs w:val="22"/>
        </w:rPr>
        <w:t xml:space="preserve">The Trust manages Ngāti Hikairo whēnua for the collective benefit of all beneficiaries. Our core activities are:</w:t>
      </w:r>
    </w:p>
    <w:p>
      <w:pPr>
        <w:pStyle w:val="ListParagraph"/>
        <w:numPr>
          <w:ilvl w:val="0"/>
          <w:numId w:val="2"/>
        </w:numPr>
        <w:spacing w:after="60" w:before="60"/>
      </w:pPr>
      <w:r>
        <w:rPr>
          <w:rFonts w:ascii="Arial" w:cs="Arial" w:eastAsia="Arial" w:hAnsi="Arial"/>
          <w:color w:val="000000"/>
          <w:sz w:val="22"/>
          <w:szCs w:val="22"/>
        </w:rPr>
        <w:t xml:space="preserve">Papakāinga development — supporting the establishment of whānau housing on the whēnua</w:t>
      </w:r>
    </w:p>
    <w:p>
      <w:pPr>
        <w:pStyle w:val="ListParagraph"/>
        <w:numPr>
          <w:ilvl w:val="0"/>
          <w:numId w:val="2"/>
        </w:numPr>
        <w:spacing w:after="60" w:before="60"/>
      </w:pPr>
      <w:r>
        <w:rPr>
          <w:rFonts w:ascii="Arial" w:cs="Arial" w:eastAsia="Arial" w:hAnsi="Arial"/>
          <w:color w:val="000000"/>
          <w:sz w:val="22"/>
          <w:szCs w:val="22"/>
        </w:rPr>
        <w:t xml:space="preserve">Whēnua leasing — leasing Trust land for farming and other productive use</w:t>
      </w:r>
    </w:p>
    <w:p>
      <w:pPr>
        <w:pStyle w:val="ListParagraph"/>
        <w:numPr>
          <w:ilvl w:val="0"/>
          <w:numId w:val="2"/>
        </w:numPr>
        <w:spacing w:after="60" w:before="60"/>
      </w:pPr>
      <w:r>
        <w:rPr>
          <w:rFonts w:ascii="Arial" w:cs="Arial" w:eastAsia="Arial" w:hAnsi="Arial"/>
          <w:color w:val="000000"/>
          <w:sz w:val="22"/>
          <w:szCs w:val="22"/>
        </w:rPr>
        <w:t xml:space="preserve">Whēnua development — developing the land sustainably for future generations, including marae development</w:t>
      </w:r>
    </w:p>
    <w:p>
      <w:pPr>
        <w:pStyle w:val="ListParagraph"/>
        <w:numPr>
          <w:ilvl w:val="0"/>
          <w:numId w:val="2"/>
        </w:numPr>
        <w:spacing w:after="60" w:before="60"/>
      </w:pPr>
      <w:r>
        <w:rPr>
          <w:rFonts w:ascii="Arial" w:cs="Arial" w:eastAsia="Arial" w:hAnsi="Arial"/>
          <w:color w:val="000000"/>
          <w:sz w:val="22"/>
          <w:szCs w:val="22"/>
        </w:rPr>
        <w:t xml:space="preserve">Whānau grants — distributing income to support higher education, international sports representation, Kaumatua hauora, and tangihanga</w:t>
      </w:r>
    </w:p>
    <w:p>
      <w:pPr>
        <w:pStyle w:val="ListParagraph"/>
        <w:numPr>
          <w:ilvl w:val="0"/>
          <w:numId w:val="2"/>
        </w:numPr>
        <w:spacing w:after="60" w:before="60"/>
      </w:pPr>
      <w:r>
        <w:rPr>
          <w:rFonts w:ascii="Arial" w:cs="Arial" w:eastAsia="Arial" w:hAnsi="Arial"/>
          <w:color w:val="000000"/>
          <w:sz w:val="22"/>
          <w:szCs w:val="22"/>
        </w:rPr>
        <w:t xml:space="preserve">Governance — ensuring transparent, accountable, and culturally grounded administration of the Trust</w:t>
      </w:r>
    </w:p>
    <w:p>
      <w:pPr>
        <w:pStyle w:val="Heading2"/>
        <w:spacing w:after="120" w:before="320"/>
      </w:pPr>
      <w:r>
        <w:rPr>
          <w:rFonts w:ascii="Arial" w:cs="Arial" w:eastAsia="Arial" w:hAnsi="Arial"/>
          <w:b/>
          <w:bCs/>
          <w:color w:val="000000"/>
          <w:sz w:val="28"/>
          <w:szCs w:val="28"/>
        </w:rPr>
        <w:t xml:space="preserve">Who We Serve</w:t>
      </w:r>
    </w:p>
    <w:p>
      <w:pPr>
        <w:spacing w:after="80" w:before="80"/>
      </w:pPr>
      <w:r>
        <w:rPr>
          <w:rFonts w:ascii="Arial" w:cs="Arial" w:eastAsia="Arial" w:hAnsi="Arial"/>
          <w:color w:val="000000"/>
          <w:sz w:val="22"/>
          <w:szCs w:val="22"/>
        </w:rPr>
        <w:t xml:space="preserve">The beneficiaries of this Trust are all descendants of Hone Hikairo, Keepa Mita Hikairo, and Te Rata Hikairo akā Te Rata Hohepa, as recorded in the Beneficiaries Register (Schedule 0). The Trust represents eight tūpuna lines:</w:t>
      </w:r>
    </w:p>
    <w:p>
      <w:pPr>
        <w:pStyle w:val="ListParagraph"/>
        <w:numPr>
          <w:ilvl w:val="0"/>
          <w:numId w:val="2"/>
        </w:numPr>
        <w:spacing w:after="60" w:before="60"/>
      </w:pPr>
      <w:r>
        <w:rPr>
          <w:rFonts w:ascii="Arial" w:cs="Arial" w:eastAsia="Arial" w:hAnsi="Arial"/>
          <w:color w:val="000000"/>
          <w:sz w:val="22"/>
          <w:szCs w:val="22"/>
        </w:rPr>
        <w:t xml:space="preserve">Te Uruwehea</w:t>
      </w:r>
    </w:p>
    <w:p>
      <w:pPr>
        <w:pStyle w:val="ListParagraph"/>
        <w:numPr>
          <w:ilvl w:val="0"/>
          <w:numId w:val="2"/>
        </w:numPr>
        <w:spacing w:after="60" w:before="60"/>
      </w:pPr>
      <w:r>
        <w:rPr>
          <w:rFonts w:ascii="Arial" w:cs="Arial" w:eastAsia="Arial" w:hAnsi="Arial"/>
          <w:color w:val="000000"/>
          <w:sz w:val="22"/>
          <w:szCs w:val="22"/>
        </w:rPr>
        <w:t xml:space="preserve">Hura Hikairo</w:t>
      </w:r>
    </w:p>
    <w:p>
      <w:pPr>
        <w:pStyle w:val="ListParagraph"/>
        <w:numPr>
          <w:ilvl w:val="0"/>
          <w:numId w:val="2"/>
        </w:numPr>
        <w:spacing w:after="60" w:before="60"/>
      </w:pPr>
      <w:r>
        <w:rPr>
          <w:rFonts w:ascii="Arial" w:cs="Arial" w:eastAsia="Arial" w:hAnsi="Arial"/>
          <w:color w:val="000000"/>
          <w:sz w:val="22"/>
          <w:szCs w:val="22"/>
        </w:rPr>
        <w:t xml:space="preserve">Turuhira Tuhoe</w:t>
      </w:r>
    </w:p>
    <w:p>
      <w:pPr>
        <w:pStyle w:val="ListParagraph"/>
        <w:numPr>
          <w:ilvl w:val="0"/>
          <w:numId w:val="2"/>
        </w:numPr>
        <w:spacing w:after="60" w:before="60"/>
      </w:pPr>
      <w:r>
        <w:rPr>
          <w:rFonts w:ascii="Arial" w:cs="Arial" w:eastAsia="Arial" w:hAnsi="Arial"/>
          <w:color w:val="000000"/>
          <w:sz w:val="22"/>
          <w:szCs w:val="22"/>
        </w:rPr>
        <w:t xml:space="preserve">Paramataiti Rhind</w:t>
      </w:r>
    </w:p>
    <w:p>
      <w:pPr>
        <w:pStyle w:val="ListParagraph"/>
        <w:numPr>
          <w:ilvl w:val="0"/>
          <w:numId w:val="2"/>
        </w:numPr>
        <w:spacing w:after="60" w:before="60"/>
      </w:pPr>
      <w:r>
        <w:rPr>
          <w:rFonts w:ascii="Arial" w:cs="Arial" w:eastAsia="Arial" w:hAnsi="Arial"/>
          <w:color w:val="000000"/>
          <w:sz w:val="22"/>
          <w:szCs w:val="22"/>
        </w:rPr>
        <w:t xml:space="preserve">Poihipi Hikairo</w:t>
      </w:r>
    </w:p>
    <w:p>
      <w:pPr>
        <w:pStyle w:val="ListParagraph"/>
        <w:numPr>
          <w:ilvl w:val="0"/>
          <w:numId w:val="2"/>
        </w:numPr>
        <w:spacing w:after="60" w:before="60"/>
      </w:pPr>
      <w:r>
        <w:rPr>
          <w:rFonts w:ascii="Arial" w:cs="Arial" w:eastAsia="Arial" w:hAnsi="Arial"/>
          <w:color w:val="000000"/>
          <w:sz w:val="22"/>
          <w:szCs w:val="22"/>
        </w:rPr>
        <w:t xml:space="preserve">Hone Hikairo</w:t>
      </w:r>
    </w:p>
    <w:p>
      <w:pPr>
        <w:pStyle w:val="ListParagraph"/>
        <w:numPr>
          <w:ilvl w:val="0"/>
          <w:numId w:val="2"/>
        </w:numPr>
        <w:spacing w:after="60" w:before="60"/>
      </w:pPr>
      <w:r>
        <w:rPr>
          <w:rFonts w:ascii="Arial" w:cs="Arial" w:eastAsia="Arial" w:hAnsi="Arial"/>
          <w:color w:val="000000"/>
          <w:sz w:val="22"/>
          <w:szCs w:val="22"/>
        </w:rPr>
        <w:t xml:space="preserve">Keepa Hikairo</w:t>
      </w:r>
    </w:p>
    <w:p>
      <w:pPr>
        <w:pStyle w:val="ListParagraph"/>
        <w:numPr>
          <w:ilvl w:val="0"/>
          <w:numId w:val="2"/>
        </w:numPr>
        <w:spacing w:after="60" w:before="60"/>
      </w:pPr>
      <w:r>
        <w:rPr>
          <w:rFonts w:ascii="Arial" w:cs="Arial" w:eastAsia="Arial" w:hAnsi="Arial"/>
          <w:color w:val="000000"/>
          <w:sz w:val="22"/>
          <w:szCs w:val="22"/>
        </w:rPr>
        <w:t xml:space="preserve">Pareira Morehu</w:t>
      </w:r>
    </w:p>
    <w:p>
      <w:pPr>
        <w:spacing w:after="80" w:before="80"/>
      </w:pPr>
      <w:r>
        <w:rPr>
          <w:rFonts w:ascii="Arial" w:cs="Arial" w:eastAsia="Arial" w:hAnsi="Arial"/>
          <w:color w:val="000000"/>
          <w:sz w:val="22"/>
          <w:szCs w:val="22"/>
        </w:rPr>
        <w:t xml:space="preserve">Many of our whānau and beneficiaries live overseas. The Trust is committed to ensuring all beneficiaries — regardless of location — can participate in Trust affairs through digital and hybrid meeting options.</w:t>
      </w:r>
    </w:p>
    <w:p>
      <w:pPr>
        <w:pStyle w:val="Heading2"/>
        <w:spacing w:after="120" w:before="320"/>
      </w:pPr>
      <w:r>
        <w:rPr>
          <w:rFonts w:ascii="Arial" w:cs="Arial" w:eastAsia="Arial" w:hAnsi="Arial"/>
          <w:b/>
          <w:bCs/>
          <w:color w:val="000000"/>
          <w:sz w:val="28"/>
          <w:szCs w:val="28"/>
        </w:rPr>
        <w:t xml:space="preserve">How We Are Governed</w:t>
      </w:r>
    </w:p>
    <w:p>
      <w:pPr>
        <w:spacing w:after="80" w:before="80"/>
      </w:pPr>
      <w:r>
        <w:rPr>
          <w:rFonts w:ascii="Arial" w:cs="Arial" w:eastAsia="Arial" w:hAnsi="Arial"/>
          <w:color w:val="000000"/>
          <w:sz w:val="22"/>
          <w:szCs w:val="22"/>
        </w:rPr>
        <w:t xml:space="preserve">The Trust is governed by a board of between six and eight Trustees, each representing a tūpuna line and nominated by their respective whānau. Trustees are appointed at the Annual General Meeting and rotated on a four-year cycle. The Trustees are supported by Kaumatua and Kuia, whose wisdom and cultural guidance enrich decision-making.</w:t>
      </w:r>
    </w:p>
    <w:p>
      <w:pPr>
        <w:spacing w:after="80" w:before="80"/>
      </w:pPr>
      <w:r>
        <w:rPr>
          <w:rFonts w:ascii="Arial" w:cs="Arial" w:eastAsia="Arial" w:hAnsi="Arial"/>
          <w:color w:val="000000"/>
          <w:sz w:val="22"/>
          <w:szCs w:val="22"/>
        </w:rPr>
        <w:t xml:space="preserve">All decisions are made collectively, transparently, and in accordance with the Trust Deed and Te Ture Whenua Māori Act 1993. Only the Māori Land Court can remove trustees or vary the Trust Order.</w:t>
      </w:r>
    </w:p>
    <w:p>
      <w:pPr>
        <w:spacing w:after="60" w:before="60"/>
      </w:pPr>
      <w:r>
        <w:t xml:space="preserve"/>
      </w:r>
    </w:p>
    <w:p>
      <w:pPr>
        <w:spacing w:after="80" w:before="80"/>
      </w:pPr>
      <w:r>
        <w:rPr>
          <w:rFonts w:ascii="Arial" w:cs="Arial" w:eastAsia="Arial" w:hAnsi="Arial"/>
          <w:color w:val="000000"/>
          <w:sz w:val="22"/>
          <w:szCs w:val="22"/>
        </w:rPr>
        <w:t xml:space="preserve">Initial Trustee appointments (2026):</w:t>
      </w:r>
    </w:p>
    <w:p>
      <w:pPr>
        <w:pStyle w:val="ListParagraph"/>
        <w:numPr>
          <w:ilvl w:val="0"/>
          <w:numId w:val="2"/>
        </w:numPr>
        <w:spacing w:after="60" w:before="60"/>
      </w:pPr>
      <w:r>
        <w:rPr>
          <w:rFonts w:ascii="Arial" w:cs="Arial" w:eastAsia="Arial" w:hAnsi="Arial"/>
          <w:color w:val="000000"/>
          <w:sz w:val="22"/>
          <w:szCs w:val="22"/>
        </w:rPr>
        <w:t xml:space="preserve">Chairperson: Cathy Katene (Te Uruwehea)</w:t>
      </w:r>
    </w:p>
    <w:p>
      <w:pPr>
        <w:pStyle w:val="ListParagraph"/>
        <w:numPr>
          <w:ilvl w:val="0"/>
          <w:numId w:val="2"/>
        </w:numPr>
        <w:spacing w:after="60" w:before="60"/>
      </w:pPr>
      <w:r>
        <w:rPr>
          <w:rFonts w:ascii="Arial" w:cs="Arial" w:eastAsia="Arial" w:hAnsi="Arial"/>
          <w:color w:val="000000"/>
          <w:sz w:val="22"/>
          <w:szCs w:val="22"/>
        </w:rPr>
        <w:t xml:space="preserve">Vice Chairperson: Kevin Hikairo (Hura Hikairo)</w:t>
      </w:r>
    </w:p>
    <w:p>
      <w:pPr>
        <w:pStyle w:val="ListParagraph"/>
        <w:numPr>
          <w:ilvl w:val="0"/>
          <w:numId w:val="2"/>
        </w:numPr>
        <w:spacing w:after="60" w:before="60"/>
      </w:pPr>
      <w:r>
        <w:rPr>
          <w:rFonts w:ascii="Arial" w:cs="Arial" w:eastAsia="Arial" w:hAnsi="Arial"/>
          <w:color w:val="000000"/>
          <w:sz w:val="22"/>
          <w:szCs w:val="22"/>
        </w:rPr>
        <w:t xml:space="preserve">Secretary: Vacant (Turuhira Tuhoe)</w:t>
      </w:r>
    </w:p>
    <w:p>
      <w:pPr>
        <w:pStyle w:val="ListParagraph"/>
        <w:numPr>
          <w:ilvl w:val="0"/>
          <w:numId w:val="2"/>
        </w:numPr>
        <w:spacing w:after="60" w:before="60"/>
      </w:pPr>
      <w:r>
        <w:rPr>
          <w:rFonts w:ascii="Arial" w:cs="Arial" w:eastAsia="Arial" w:hAnsi="Arial"/>
          <w:color w:val="000000"/>
          <w:sz w:val="22"/>
          <w:szCs w:val="22"/>
        </w:rPr>
        <w:t xml:space="preserve">Treasurer: Karla Browning (Paramataiti Rhind)</w:t>
      </w:r>
    </w:p>
    <w:p>
      <w:pPr>
        <w:pStyle w:val="ListParagraph"/>
        <w:numPr>
          <w:ilvl w:val="0"/>
          <w:numId w:val="2"/>
        </w:numPr>
        <w:spacing w:after="60" w:before="60"/>
      </w:pPr>
      <w:r>
        <w:rPr>
          <w:rFonts w:ascii="Arial" w:cs="Arial" w:eastAsia="Arial" w:hAnsi="Arial"/>
          <w:color w:val="000000"/>
          <w:sz w:val="22"/>
          <w:szCs w:val="22"/>
        </w:rPr>
        <w:t xml:space="preserve">Trustee: Connie Forsman (Poihipi Hikairo)</w:t>
      </w:r>
    </w:p>
    <w:p>
      <w:pPr>
        <w:pStyle w:val="ListParagraph"/>
        <w:numPr>
          <w:ilvl w:val="0"/>
          <w:numId w:val="2"/>
        </w:numPr>
        <w:spacing w:after="60" w:before="60"/>
      </w:pPr>
      <w:r>
        <w:rPr>
          <w:rFonts w:ascii="Arial" w:cs="Arial" w:eastAsia="Arial" w:hAnsi="Arial"/>
          <w:color w:val="000000"/>
          <w:sz w:val="22"/>
          <w:szCs w:val="22"/>
        </w:rPr>
        <w:t xml:space="preserve">Trustee: George Wilson (Hone Hikairo)</w:t>
      </w:r>
    </w:p>
    <w:p>
      <w:pPr>
        <w:pStyle w:val="ListParagraph"/>
        <w:numPr>
          <w:ilvl w:val="0"/>
          <w:numId w:val="2"/>
        </w:numPr>
        <w:spacing w:after="60" w:before="60"/>
      </w:pPr>
      <w:r>
        <w:rPr>
          <w:rFonts w:ascii="Arial" w:cs="Arial" w:eastAsia="Arial" w:hAnsi="Arial"/>
          <w:color w:val="000000"/>
          <w:sz w:val="22"/>
          <w:szCs w:val="22"/>
        </w:rPr>
        <w:t xml:space="preserve">Trustee: Keepa Wilson (Keepa Hikairo)</w:t>
      </w:r>
    </w:p>
    <w:p>
      <w:pPr>
        <w:pStyle w:val="ListParagraph"/>
        <w:numPr>
          <w:ilvl w:val="0"/>
          <w:numId w:val="2"/>
        </w:numPr>
        <w:spacing w:after="60" w:before="60"/>
      </w:pPr>
      <w:r>
        <w:rPr>
          <w:rFonts w:ascii="Arial" w:cs="Arial" w:eastAsia="Arial" w:hAnsi="Arial"/>
          <w:color w:val="000000"/>
          <w:sz w:val="22"/>
          <w:szCs w:val="22"/>
        </w:rPr>
        <w:t xml:space="preserve">Trustee: Keith Morehu (Pareira Morehu)</w:t>
      </w:r>
    </w:p>
    <w:p>
      <w:pPr>
        <w:pStyle w:val="Heading2"/>
        <w:spacing w:after="120" w:before="320"/>
      </w:pPr>
      <w:r>
        <w:rPr>
          <w:rFonts w:ascii="Arial" w:cs="Arial" w:eastAsia="Arial" w:hAnsi="Arial"/>
          <w:b/>
          <w:bCs/>
          <w:color w:val="000000"/>
          <w:sz w:val="28"/>
          <w:szCs w:val="28"/>
        </w:rPr>
        <w:t xml:space="preserve">What We Are Not</w:t>
      </w:r>
    </w:p>
    <w:p>
      <w:pPr>
        <w:spacing w:after="80" w:before="80"/>
      </w:pPr>
      <w:r>
        <w:rPr>
          <w:rFonts w:ascii="Arial" w:cs="Arial" w:eastAsia="Arial" w:hAnsi="Arial"/>
          <w:color w:val="000000"/>
          <w:sz w:val="22"/>
          <w:szCs w:val="22"/>
        </w:rPr>
        <w:t xml:space="preserve">The Trust is not a commercial business operating for profit. We do not distribute funds to individual beneficiaries for personal gain. We do not sell Māori freehold land without proper process through the Māori Land Court. We do not make decisions on whēnua alienation through the Collective Voting Method — such decisions rest with the Owners and the Māori Land Court under Te Ture Whenua Māori Act 1993.</w:t>
      </w:r>
    </w:p>
    <w:p>
      <w:pPr>
        <w:pBdr>
          <w:bottom w:val="single" w:color="AAAAAA" w:sz="2" w:space="1"/>
        </w:pBdr>
        <w:spacing w:after="240" w:before="240"/>
      </w:pPr>
      <w:r>
        <w:t xml:space="preserve"/>
      </w:r>
    </w:p>
    <w:p>
      <w:pPr>
        <w:spacing w:after="0" w:before="0"/>
      </w:pPr>
      <w:r>
        <w:br w:type="page"/>
      </w:r>
    </w:p>
    <w:p>
      <w:pPr>
        <w:pStyle w:val="Heading1"/>
        <w:pBdr>
          <w:bottom w:val="single" w:color="000000" w:sz="8" w:space="1"/>
        </w:pBdr>
        <w:spacing w:after="200" w:before="480"/>
      </w:pPr>
      <w:r>
        <w:rPr>
          <w:rFonts w:ascii="Arial" w:cs="Arial" w:eastAsia="Arial" w:hAnsi="Arial"/>
          <w:b/>
          <w:bCs/>
          <w:color w:val="000000"/>
          <w:sz w:val="36"/>
          <w:szCs w:val="36"/>
        </w:rPr>
        <w:t xml:space="preserve">BRAND.MD — How We Communicate</w:t>
      </w:r>
    </w:p>
    <w:p>
      <w:pPr>
        <w:pStyle w:val="Heading2"/>
        <w:spacing w:after="120" w:before="320"/>
      </w:pPr>
      <w:r>
        <w:rPr>
          <w:rFonts w:ascii="Arial" w:cs="Arial" w:eastAsia="Arial" w:hAnsi="Arial"/>
          <w:b/>
          <w:bCs/>
          <w:color w:val="000000"/>
          <w:sz w:val="28"/>
          <w:szCs w:val="28"/>
        </w:rPr>
        <w:t xml:space="preserve">Visual Identity</w:t>
      </w:r>
    </w:p>
    <w:p>
      <w:pPr>
        <w:spacing w:after="80" w:before="80"/>
      </w:pPr>
      <w:r>
        <w:rPr>
          <w:rFonts w:ascii="Arial" w:cs="Arial" w:eastAsia="Arial" w:hAnsi="Arial"/>
          <w:color w:val="000000"/>
          <w:sz w:val="22"/>
          <w:szCs w:val="22"/>
        </w:rPr>
        <w:t xml:space="preserve">The Trust’s visual identity reflects our values: clean, honest, and grounded. Our materials should feel professional, respectful, and accessible to all whānau.</w:t>
      </w:r>
    </w:p>
    <w:p>
      <w:pPr>
        <w:spacing w:after="100" w:before="200"/>
      </w:pPr>
      <w:r>
        <w:rPr>
          <w:rFonts w:ascii="Arial" w:cs="Arial" w:eastAsia="Arial" w:hAnsi="Arial"/>
          <w:b/>
          <w:bCs/>
          <w:color w:val="000000"/>
          <w:sz w:val="24"/>
          <w:szCs w:val="24"/>
        </w:rPr>
        <w:t xml:space="preserve">Colour Palette</w:t>
      </w:r>
    </w:p>
    <w:p>
      <w:pPr>
        <w:spacing w:after="60" w:before="60"/>
      </w:pPr>
      <w:r>
        <w:rPr>
          <w:rFonts w:ascii="Arial" w:cs="Arial" w:eastAsia="Arial" w:hAnsi="Arial"/>
          <w:b/>
          <w:bCs/>
          <w:color w:val="000000"/>
          <w:sz w:val="22"/>
          <w:szCs w:val="22"/>
        </w:rPr>
        <w:t xml:space="preserve">Primary Black: </w:t>
      </w:r>
      <w:r>
        <w:rPr>
          <w:rFonts w:ascii="Arial" w:cs="Arial" w:eastAsia="Arial" w:hAnsi="Arial"/>
          <w:color w:val="000000"/>
          <w:sz w:val="22"/>
          <w:szCs w:val="22"/>
        </w:rPr>
        <w:t xml:space="preserve">#000000 — headings, borders, primary text</w:t>
      </w:r>
    </w:p>
    <w:p>
      <w:pPr>
        <w:spacing w:after="60" w:before="60"/>
      </w:pPr>
      <w:r>
        <w:rPr>
          <w:rFonts w:ascii="Arial" w:cs="Arial" w:eastAsia="Arial" w:hAnsi="Arial"/>
          <w:b/>
          <w:bCs/>
          <w:color w:val="000000"/>
          <w:sz w:val="22"/>
          <w:szCs w:val="22"/>
        </w:rPr>
        <w:t xml:space="preserve">White: </w:t>
      </w:r>
      <w:r>
        <w:rPr>
          <w:rFonts w:ascii="Arial" w:cs="Arial" w:eastAsia="Arial" w:hAnsi="Arial"/>
          <w:color w:val="000000"/>
          <w:sz w:val="22"/>
          <w:szCs w:val="22"/>
        </w:rPr>
        <w:t xml:space="preserve">#FFFFFF — background, clean space</w:t>
      </w:r>
    </w:p>
    <w:p>
      <w:pPr>
        <w:spacing w:after="60" w:before="60"/>
      </w:pPr>
      <w:r>
        <w:rPr>
          <w:rFonts w:ascii="Arial" w:cs="Arial" w:eastAsia="Arial" w:hAnsi="Arial"/>
          <w:b/>
          <w:bCs/>
          <w:color w:val="000000"/>
          <w:sz w:val="22"/>
          <w:szCs w:val="22"/>
        </w:rPr>
        <w:t xml:space="preserve">Dark Gray: </w:t>
      </w:r>
      <w:r>
        <w:rPr>
          <w:rFonts w:ascii="Arial" w:cs="Arial" w:eastAsia="Arial" w:hAnsi="Arial"/>
          <w:color w:val="000000"/>
          <w:sz w:val="22"/>
          <w:szCs w:val="22"/>
        </w:rPr>
        <w:t xml:space="preserve">#444444 — body text, secondary information</w:t>
      </w:r>
    </w:p>
    <w:p>
      <w:pPr>
        <w:spacing w:after="60" w:before="60"/>
      </w:pPr>
      <w:r>
        <w:rPr>
          <w:rFonts w:ascii="Arial" w:cs="Arial" w:eastAsia="Arial" w:hAnsi="Arial"/>
          <w:b/>
          <w:bCs/>
          <w:color w:val="000000"/>
          <w:sz w:val="22"/>
          <w:szCs w:val="22"/>
        </w:rPr>
        <w:t xml:space="preserve">Light Gray: </w:t>
      </w:r>
      <w:r>
        <w:rPr>
          <w:rFonts w:ascii="Arial" w:cs="Arial" w:eastAsia="Arial" w:hAnsi="Arial"/>
          <w:color w:val="000000"/>
          <w:sz w:val="22"/>
          <w:szCs w:val="22"/>
        </w:rPr>
        <w:t xml:space="preserve">#EEEEEE — dividers, table backgrounds, subtle structure</w:t>
      </w:r>
    </w:p>
    <w:p>
      <w:pPr>
        <w:spacing w:after="60" w:before="60"/>
      </w:pPr>
      <w:r>
        <w:t xml:space="preserve"/>
      </w:r>
    </w:p>
    <w:p>
      <w:pPr>
        <w:spacing w:after="80" w:before="80"/>
      </w:pPr>
      <w:r>
        <w:rPr>
          <w:rFonts w:ascii="Arial" w:cs="Arial" w:eastAsia="Arial" w:hAnsi="Arial"/>
          <w:color w:val="000000"/>
          <w:sz w:val="22"/>
          <w:szCs w:val="22"/>
        </w:rPr>
        <w:t xml:space="preserve">Rule: Black text on white background. No gradients or decorative colour. Clean and uncluttered.</w:t>
      </w:r>
    </w:p>
    <w:p>
      <w:pPr>
        <w:spacing w:after="100" w:before="200"/>
      </w:pPr>
      <w:r>
        <w:rPr>
          <w:rFonts w:ascii="Arial" w:cs="Arial" w:eastAsia="Arial" w:hAnsi="Arial"/>
          <w:b/>
          <w:bCs/>
          <w:color w:val="000000"/>
          <w:sz w:val="24"/>
          <w:szCs w:val="24"/>
        </w:rPr>
        <w:t xml:space="preserve">Typography</w:t>
      </w:r>
    </w:p>
    <w:p>
      <w:pPr>
        <w:spacing w:after="60" w:before="60"/>
      </w:pPr>
      <w:r>
        <w:rPr>
          <w:rFonts w:ascii="Arial" w:cs="Arial" w:eastAsia="Arial" w:hAnsi="Arial"/>
          <w:b/>
          <w:bCs/>
          <w:color w:val="000000"/>
          <w:sz w:val="22"/>
          <w:szCs w:val="22"/>
        </w:rPr>
        <w:t xml:space="preserve">Headlines: </w:t>
      </w:r>
      <w:r>
        <w:rPr>
          <w:rFonts w:ascii="Arial" w:cs="Arial" w:eastAsia="Arial" w:hAnsi="Arial"/>
          <w:color w:val="000000"/>
          <w:sz w:val="22"/>
          <w:szCs w:val="22"/>
        </w:rPr>
        <w:t xml:space="preserve">Arial Bold — clear and universally readable</w:t>
      </w:r>
    </w:p>
    <w:p>
      <w:pPr>
        <w:spacing w:after="60" w:before="60"/>
      </w:pPr>
      <w:r>
        <w:rPr>
          <w:rFonts w:ascii="Arial" w:cs="Arial" w:eastAsia="Arial" w:hAnsi="Arial"/>
          <w:b/>
          <w:bCs/>
          <w:color w:val="000000"/>
          <w:sz w:val="22"/>
          <w:szCs w:val="22"/>
        </w:rPr>
        <w:t xml:space="preserve">Body: </w:t>
      </w:r>
      <w:r>
        <w:rPr>
          <w:rFonts w:ascii="Arial" w:cs="Arial" w:eastAsia="Arial" w:hAnsi="Arial"/>
          <w:color w:val="000000"/>
          <w:sz w:val="22"/>
          <w:szCs w:val="22"/>
        </w:rPr>
        <w:t xml:space="preserve">Arial Regular</w:t>
      </w:r>
    </w:p>
    <w:p>
      <w:pPr>
        <w:spacing w:after="60" w:before="60"/>
      </w:pPr>
      <w:r>
        <w:rPr>
          <w:rFonts w:ascii="Arial" w:cs="Arial" w:eastAsia="Arial" w:hAnsi="Arial"/>
          <w:b/>
          <w:bCs/>
          <w:color w:val="000000"/>
          <w:sz w:val="22"/>
          <w:szCs w:val="22"/>
        </w:rPr>
        <w:t xml:space="preserve">Te reo Māori: </w:t>
      </w:r>
      <w:r>
        <w:rPr>
          <w:rFonts w:ascii="Arial" w:cs="Arial" w:eastAsia="Arial" w:hAnsi="Arial"/>
          <w:color w:val="000000"/>
          <w:sz w:val="22"/>
          <w:szCs w:val="22"/>
        </w:rPr>
        <w:t xml:space="preserve">Always spell correctly with macrons — ngā, whēnua, tūpuna, whānau, papakāinga</w:t>
      </w:r>
    </w:p>
    <w:p>
      <w:pPr>
        <w:pStyle w:val="Heading2"/>
        <w:spacing w:after="120" w:before="320"/>
      </w:pPr>
      <w:r>
        <w:rPr>
          <w:rFonts w:ascii="Arial" w:cs="Arial" w:eastAsia="Arial" w:hAnsi="Arial"/>
          <w:b/>
          <w:bCs/>
          <w:color w:val="000000"/>
          <w:sz w:val="28"/>
          <w:szCs w:val="28"/>
        </w:rPr>
        <w:t xml:space="preserve">Voice and Writing Style</w:t>
      </w:r>
    </w:p>
    <w:p>
      <w:pPr>
        <w:spacing w:after="100" w:before="200"/>
      </w:pPr>
      <w:r>
        <w:rPr>
          <w:rFonts w:ascii="Arial" w:cs="Arial" w:eastAsia="Arial" w:hAnsi="Arial"/>
          <w:b/>
          <w:bCs/>
          <w:color w:val="000000"/>
          <w:sz w:val="24"/>
          <w:szCs w:val="24"/>
        </w:rPr>
        <w:t xml:space="preserve">Three Words for Our Tone</w:t>
      </w:r>
    </w:p>
    <w:p>
      <w:pPr>
        <w:spacing w:after="80" w:before="80"/>
      </w:pPr>
      <w:r>
        <w:rPr>
          <w:rFonts w:ascii="Arial" w:cs="Arial" w:eastAsia="Arial" w:hAnsi="Arial"/>
          <w:color w:val="000000"/>
          <w:sz w:val="22"/>
          <w:szCs w:val="22"/>
        </w:rPr>
        <w:t xml:space="preserve">Open. Honest. Transparent.</w:t>
      </w:r>
    </w:p>
    <w:p>
      <w:pPr>
        <w:spacing w:after="80" w:before="80"/>
      </w:pPr>
      <w:r>
        <w:rPr>
          <w:rFonts w:ascii="Arial" w:cs="Arial" w:eastAsia="Arial" w:hAnsi="Arial"/>
          <w:color w:val="000000"/>
          <w:sz w:val="22"/>
          <w:szCs w:val="22"/>
        </w:rPr>
        <w:t xml:space="preserve">We write with respect for our whānau and the responsibility placed in us as kaitiaki of the whēnua. Our communications are warm but clear. We name things plainly. We do not obscure information or use language that puts distance between the Trust and our beneficiaries.</w:t>
      </w:r>
    </w:p>
    <w:p>
      <w:pPr>
        <w:spacing w:after="100" w:before="200"/>
      </w:pPr>
      <w:r>
        <w:rPr>
          <w:rFonts w:ascii="Arial" w:cs="Arial" w:eastAsia="Arial" w:hAnsi="Arial"/>
          <w:b/>
          <w:bCs/>
          <w:color w:val="000000"/>
          <w:sz w:val="24"/>
          <w:szCs w:val="24"/>
        </w:rPr>
        <w:t xml:space="preserve">Core Principles</w:t>
      </w:r>
    </w:p>
    <w:p>
      <w:pPr>
        <w:pStyle w:val="ListParagraph"/>
        <w:numPr>
          <w:ilvl w:val="0"/>
          <w:numId w:val="2"/>
        </w:numPr>
        <w:spacing w:after="60" w:before="60"/>
      </w:pPr>
      <w:r>
        <w:rPr>
          <w:rFonts w:ascii="Arial" w:cs="Arial" w:eastAsia="Arial" w:hAnsi="Arial"/>
          <w:color w:val="000000"/>
          <w:sz w:val="22"/>
          <w:szCs w:val="22"/>
        </w:rPr>
        <w:t xml:space="preserve">Open and transparent. Share information freely and proactively. Beneficiaries should never have to chase the Trust for updates on matters that affect them.</w:t>
      </w:r>
    </w:p>
    <w:p>
      <w:pPr>
        <w:pStyle w:val="ListParagraph"/>
        <w:numPr>
          <w:ilvl w:val="0"/>
          <w:numId w:val="2"/>
        </w:numPr>
        <w:spacing w:after="60" w:before="60"/>
      </w:pPr>
      <w:r>
        <w:rPr>
          <w:rFonts w:ascii="Arial" w:cs="Arial" w:eastAsia="Arial" w:hAnsi="Arial"/>
          <w:color w:val="000000"/>
          <w:sz w:val="22"/>
          <w:szCs w:val="22"/>
        </w:rPr>
        <w:t xml:space="preserve">Plain language. Write in clear, simple English (and te reo Māori where appropriate). Avoid legal or bureaucratic language when plain words will do.</w:t>
      </w:r>
    </w:p>
    <w:p>
      <w:pPr>
        <w:pStyle w:val="ListParagraph"/>
        <w:numPr>
          <w:ilvl w:val="0"/>
          <w:numId w:val="2"/>
        </w:numPr>
        <w:spacing w:after="60" w:before="60"/>
      </w:pPr>
      <w:r>
        <w:rPr>
          <w:rFonts w:ascii="Arial" w:cs="Arial" w:eastAsia="Arial" w:hAnsi="Arial"/>
          <w:color w:val="000000"/>
          <w:sz w:val="22"/>
          <w:szCs w:val="22"/>
        </w:rPr>
        <w:t xml:space="preserve">Respectful and warm. We are communicating with whānau. Every letter, email, and notice should feel like it comes from people who care about the people reading it.</w:t>
      </w:r>
    </w:p>
    <w:p>
      <w:pPr>
        <w:pStyle w:val="ListParagraph"/>
        <w:numPr>
          <w:ilvl w:val="0"/>
          <w:numId w:val="2"/>
        </w:numPr>
        <w:spacing w:after="60" w:before="60"/>
      </w:pPr>
      <w:r>
        <w:rPr>
          <w:rFonts w:ascii="Arial" w:cs="Arial" w:eastAsia="Arial" w:hAnsi="Arial"/>
          <w:color w:val="000000"/>
          <w:sz w:val="22"/>
          <w:szCs w:val="22"/>
        </w:rPr>
        <w:t xml:space="preserve">Specific and accurate. Name the land block, the amount, the date, the decision. Vague language causes confusion and erodes trust.</w:t>
      </w:r>
    </w:p>
    <w:p>
      <w:pPr>
        <w:pStyle w:val="ListParagraph"/>
        <w:numPr>
          <w:ilvl w:val="0"/>
          <w:numId w:val="2"/>
        </w:numPr>
        <w:spacing w:after="60" w:before="60"/>
      </w:pPr>
      <w:r>
        <w:rPr>
          <w:rFonts w:ascii="Arial" w:cs="Arial" w:eastAsia="Arial" w:hAnsi="Arial"/>
          <w:color w:val="000000"/>
          <w:sz w:val="22"/>
          <w:szCs w:val="22"/>
        </w:rPr>
        <w:t xml:space="preserve">Culturally grounded. Use te reo Māori terms where they reflect the kaupapa of the Trust. Always spell with correct macrons.</w:t>
      </w:r>
    </w:p>
    <w:p>
      <w:pPr>
        <w:pStyle w:val="ListParagraph"/>
        <w:numPr>
          <w:ilvl w:val="0"/>
          <w:numId w:val="2"/>
        </w:numPr>
        <w:spacing w:after="60" w:before="60"/>
      </w:pPr>
      <w:r>
        <w:rPr>
          <w:rFonts w:ascii="Arial" w:cs="Arial" w:eastAsia="Arial" w:hAnsi="Arial"/>
          <w:color w:val="000000"/>
          <w:sz w:val="22"/>
          <w:szCs w:val="22"/>
        </w:rPr>
        <w:t xml:space="preserve">Honest about challenges. If the Trust faces difficulties, name them clearly and explain what is being done.</w:t>
      </w:r>
    </w:p>
    <w:p>
      <w:pPr>
        <w:spacing w:after="100" w:before="200"/>
      </w:pPr>
      <w:r>
        <w:rPr>
          <w:rFonts w:ascii="Arial" w:cs="Arial" w:eastAsia="Arial" w:hAnsi="Arial"/>
          <w:b/>
          <w:bCs/>
          <w:color w:val="000000"/>
          <w:sz w:val="24"/>
          <w:szCs w:val="24"/>
        </w:rPr>
        <w:t xml:space="preserve">Banned Words and Phrases</w:t>
      </w:r>
    </w:p>
    <w:p>
      <w:pPr>
        <w:pStyle w:val="ListParagraph"/>
        <w:numPr>
          <w:ilvl w:val="0"/>
          <w:numId w:val="2"/>
        </w:numPr>
        <w:spacing w:after="60" w:before="60"/>
      </w:pPr>
      <w:r>
        <w:rPr>
          <w:rFonts w:ascii="Arial" w:cs="Arial" w:eastAsia="Arial" w:hAnsi="Arial"/>
          <w:color w:val="000000"/>
          <w:sz w:val="22"/>
          <w:szCs w:val="22"/>
        </w:rPr>
        <w:t xml:space="preserve">'Going forward' — say what will actually happen and when</w:t>
      </w:r>
    </w:p>
    <w:p>
      <w:pPr>
        <w:pStyle w:val="ListParagraph"/>
        <w:numPr>
          <w:ilvl w:val="0"/>
          <w:numId w:val="2"/>
        </w:numPr>
        <w:spacing w:after="60" w:before="60"/>
      </w:pPr>
      <w:r>
        <w:rPr>
          <w:rFonts w:ascii="Arial" w:cs="Arial" w:eastAsia="Arial" w:hAnsi="Arial"/>
          <w:color w:val="000000"/>
          <w:sz w:val="22"/>
          <w:szCs w:val="22"/>
        </w:rPr>
        <w:t xml:space="preserve">'Leverage' — say 'use' or 'make the most of'</w:t>
      </w:r>
    </w:p>
    <w:p>
      <w:pPr>
        <w:pStyle w:val="ListParagraph"/>
        <w:numPr>
          <w:ilvl w:val="0"/>
          <w:numId w:val="2"/>
        </w:numPr>
        <w:spacing w:after="60" w:before="60"/>
      </w:pPr>
      <w:r>
        <w:rPr>
          <w:rFonts w:ascii="Arial" w:cs="Arial" w:eastAsia="Arial" w:hAnsi="Arial"/>
          <w:color w:val="000000"/>
          <w:sz w:val="22"/>
          <w:szCs w:val="22"/>
        </w:rPr>
        <w:t xml:space="preserve">'Stakeholders' — say 'whānau' or 'beneficiaries'</w:t>
      </w:r>
    </w:p>
    <w:p>
      <w:pPr>
        <w:pStyle w:val="ListParagraph"/>
        <w:numPr>
          <w:ilvl w:val="0"/>
          <w:numId w:val="2"/>
        </w:numPr>
        <w:spacing w:after="60" w:before="60"/>
      </w:pPr>
      <w:r>
        <w:rPr>
          <w:rFonts w:ascii="Arial" w:cs="Arial" w:eastAsia="Arial" w:hAnsi="Arial"/>
          <w:color w:val="000000"/>
          <w:sz w:val="22"/>
          <w:szCs w:val="22"/>
        </w:rPr>
        <w:t xml:space="preserve">'Synergies' or 'outcomes' used as filler — say what you actually mean</w:t>
      </w:r>
    </w:p>
    <w:p>
      <w:pPr>
        <w:pStyle w:val="ListParagraph"/>
        <w:numPr>
          <w:ilvl w:val="0"/>
          <w:numId w:val="2"/>
        </w:numPr>
        <w:spacing w:after="60" w:before="60"/>
      </w:pPr>
      <w:r>
        <w:rPr>
          <w:rFonts w:ascii="Arial" w:cs="Arial" w:eastAsia="Arial" w:hAnsi="Arial"/>
          <w:color w:val="000000"/>
          <w:sz w:val="22"/>
          <w:szCs w:val="22"/>
        </w:rPr>
        <w:t xml:space="preserve">'Circle back' or 'touch base' — say 'follow up'</w:t>
      </w:r>
    </w:p>
    <w:p>
      <w:pPr>
        <w:pStyle w:val="ListParagraph"/>
        <w:numPr>
          <w:ilvl w:val="0"/>
          <w:numId w:val="2"/>
        </w:numPr>
        <w:spacing w:after="60" w:before="60"/>
      </w:pPr>
      <w:r>
        <w:rPr>
          <w:rFonts w:ascii="Arial" w:cs="Arial" w:eastAsia="Arial" w:hAnsi="Arial"/>
          <w:color w:val="000000"/>
          <w:sz w:val="22"/>
          <w:szCs w:val="22"/>
        </w:rPr>
        <w:t xml:space="preserve">'World-class' without evidence — show it, don’t say it</w:t>
      </w:r>
    </w:p>
    <w:p>
      <w:pPr>
        <w:spacing w:after="100" w:before="200"/>
      </w:pPr>
      <w:r>
        <w:rPr>
          <w:rFonts w:ascii="Arial" w:cs="Arial" w:eastAsia="Arial" w:hAnsi="Arial"/>
          <w:b/>
          <w:bCs/>
          <w:color w:val="000000"/>
          <w:sz w:val="24"/>
          <w:szCs w:val="24"/>
        </w:rPr>
        <w:t xml:space="preserve">Before / After Example</w:t>
      </w:r>
    </w:p>
    <w:p>
      <w:pPr>
        <w:spacing w:after="60" w:before="60"/>
      </w:pPr>
      <w:r>
        <w:t xml:space="preserve"/>
      </w:r>
    </w:p>
    <w:p>
      <w:pPr>
        <w:spacing w:after="100" w:before="200"/>
      </w:pPr>
      <w:r>
        <w:rPr>
          <w:rFonts w:ascii="Arial" w:cs="Arial" w:eastAsia="Arial" w:hAnsi="Arial"/>
          <w:b/>
          <w:bCs/>
          <w:color w:val="000000"/>
          <w:sz w:val="24"/>
          <w:szCs w:val="24"/>
        </w:rPr>
        <w:t xml:space="preserve">Generic version:</w:t>
      </w:r>
    </w:p>
    <w:p>
      <w:pPr>
        <w:spacing w:after="80" w:before="80"/>
      </w:pPr>
      <w:r>
        <w:rPr>
          <w:rFonts w:ascii="Arial" w:cs="Arial" w:eastAsia="Arial" w:hAnsi="Arial"/>
          <w:color w:val="000000"/>
          <w:sz w:val="22"/>
          <w:szCs w:val="22"/>
        </w:rPr>
        <w:t xml:space="preserve">“Going forward, the Trust will leverage available resources to deliver world-class outcomes for all stakeholders in alignment with our strategic vision.”</w:t>
      </w:r>
    </w:p>
    <w:p>
      <w:pPr>
        <w:spacing w:after="60" w:before="60"/>
      </w:pPr>
      <w:r>
        <w:t xml:space="preserve"/>
      </w:r>
    </w:p>
    <w:p>
      <w:pPr>
        <w:spacing w:after="100" w:before="200"/>
      </w:pPr>
      <w:r>
        <w:rPr>
          <w:rFonts w:ascii="Arial" w:cs="Arial" w:eastAsia="Arial" w:hAnsi="Arial"/>
          <w:b/>
          <w:bCs/>
          <w:color w:val="000000"/>
          <w:sz w:val="24"/>
          <w:szCs w:val="24"/>
        </w:rPr>
        <w:t xml:space="preserve">Ngāti Hikairo Ahu Whenua Trust voice:</w:t>
      </w:r>
    </w:p>
    <w:p>
      <w:pPr>
        <w:spacing w:after="80" w:before="80"/>
      </w:pPr>
      <w:r>
        <w:rPr>
          <w:rFonts w:ascii="Arial" w:cs="Arial" w:eastAsia="Arial" w:hAnsi="Arial"/>
          <w:color w:val="000000"/>
          <w:sz w:val="22"/>
          <w:szCs w:val="22"/>
        </w:rPr>
        <w:t xml:space="preserve">“This year, the Trust will focus on three things: progressing the papakāinga plan, completing the whēnua lease review, and distributing the education and Kaumatua grants. We will update whānau at each AGM and in our quarterly newsletters.”</w:t>
      </w:r>
    </w:p>
    <w:p>
      <w:pPr>
        <w:spacing w:after="60" w:before="60"/>
      </w:pPr>
      <w:r>
        <w:t xml:space="preserve"/>
      </w:r>
    </w:p>
    <w:p>
      <w:pPr>
        <w:spacing w:after="80" w:before="80"/>
      </w:pPr>
      <w:r>
        <w:rPr>
          <w:rFonts w:ascii="Arial" w:cs="Arial" w:eastAsia="Arial" w:hAnsi="Arial"/>
          <w:color w:val="000000"/>
          <w:sz w:val="22"/>
          <w:szCs w:val="22"/>
        </w:rPr>
        <w:t xml:space="preserve">What changed: specific, names the actual actions, tells whānau when they will hear more.</w:t>
      </w:r>
    </w:p>
    <w:p>
      <w:pPr>
        <w:spacing w:after="100" w:before="200"/>
      </w:pPr>
      <w:r>
        <w:rPr>
          <w:rFonts w:ascii="Arial" w:cs="Arial" w:eastAsia="Arial" w:hAnsi="Arial"/>
          <w:b/>
          <w:bCs/>
          <w:color w:val="000000"/>
          <w:sz w:val="24"/>
          <w:szCs w:val="24"/>
        </w:rPr>
        <w:t xml:space="preserve">When In Doubt</w:t>
      </w:r>
    </w:p>
    <w:p>
      <w:pPr>
        <w:spacing w:after="80" w:before="80"/>
      </w:pPr>
      <w:r>
        <w:rPr>
          <w:rFonts w:ascii="Arial" w:cs="Arial" w:eastAsia="Arial" w:hAnsi="Arial"/>
          <w:color w:val="000000"/>
          <w:sz w:val="22"/>
          <w:szCs w:val="22"/>
        </w:rPr>
        <w:t xml:space="preserve">Read it aloud. Would you say this to a kaumatua at a whānau hui? If it sounds too formal, too vague, or too corporate — rewrite it.</w:t>
      </w:r>
    </w:p>
    <w:p>
      <w:pPr>
        <w:pBdr>
          <w:bottom w:val="single" w:color="AAAAAA" w:sz="2" w:space="1"/>
        </w:pBdr>
        <w:spacing w:after="240" w:before="240"/>
      </w:pPr>
      <w:r>
        <w:t xml:space="preserve"/>
      </w:r>
    </w:p>
    <w:p>
      <w:pPr>
        <w:spacing w:after="0" w:before="0"/>
      </w:pPr>
      <w:r>
        <w:br w:type="page"/>
      </w:r>
    </w:p>
    <w:p>
      <w:pPr>
        <w:pStyle w:val="Heading1"/>
        <w:pBdr>
          <w:bottom w:val="single" w:color="000000" w:sz="8" w:space="1"/>
        </w:pBdr>
        <w:spacing w:after="200" w:before="480"/>
      </w:pPr>
      <w:r>
        <w:rPr>
          <w:rFonts w:ascii="Arial" w:cs="Arial" w:eastAsia="Arial" w:hAnsi="Arial"/>
          <w:b/>
          <w:bCs/>
          <w:color w:val="000000"/>
          <w:sz w:val="36"/>
          <w:szCs w:val="36"/>
        </w:rPr>
        <w:t xml:space="preserve">PROCESSES.MD — How We Do Things</w:t>
      </w:r>
    </w:p>
    <w:p>
      <w:pPr>
        <w:pStyle w:val="Heading2"/>
        <w:spacing w:after="120" w:before="320"/>
      </w:pPr>
      <w:r>
        <w:rPr>
          <w:rFonts w:ascii="Arial" w:cs="Arial" w:eastAsia="Arial" w:hAnsi="Arial"/>
          <w:b/>
          <w:bCs/>
          <w:color w:val="000000"/>
          <w:sz w:val="28"/>
          <w:szCs w:val="28"/>
        </w:rPr>
        <w:t xml:space="preserve">Process 1: Running an Annual General Meeting (AGM)</w:t>
      </w:r>
    </w:p>
    <w:p>
      <w:pPr>
        <w:spacing w:after="80" w:before="80"/>
      </w:pPr>
      <w:r>
        <w:rPr>
          <w:rFonts w:ascii="Arial" w:cs="Arial" w:eastAsia="Arial" w:hAnsi="Arial"/>
          <w:color w:val="000000"/>
          <w:sz w:val="22"/>
          <w:szCs w:val="22"/>
        </w:rPr>
        <w:t xml:space="preserve">The AGM is the most important annual event for the Trust. It is where we report to whānau, present accounts, distribute grants, and — every fourth year — rotate trustees and audit accounts. The Trust must hold an AGM every 12 months.</w:t>
      </w:r>
    </w:p>
    <w:p>
      <w:pPr>
        <w:spacing w:after="100" w:before="200"/>
      </w:pPr>
      <w:r>
        <w:rPr>
          <w:rFonts w:ascii="Arial" w:cs="Arial" w:eastAsia="Arial" w:hAnsi="Arial"/>
          <w:b/>
          <w:bCs/>
          <w:color w:val="000000"/>
          <w:sz w:val="24"/>
          <w:szCs w:val="24"/>
        </w:rPr>
        <w:t xml:space="preserve">Before the AGM</w:t>
      </w:r>
    </w:p>
    <w:p>
      <w:pPr>
        <w:pStyle w:val="ListParagraph"/>
        <w:numPr>
          <w:ilvl w:val="0"/>
          <w:numId w:val="2"/>
        </w:numPr>
        <w:spacing w:after="60" w:before="60"/>
      </w:pPr>
      <w:r>
        <w:rPr>
          <w:rFonts w:ascii="Arial" w:cs="Arial" w:eastAsia="Arial" w:hAnsi="Arial"/>
          <w:color w:val="000000"/>
          <w:sz w:val="22"/>
          <w:szCs w:val="22"/>
        </w:rPr>
        <w:t xml:space="preserve">Set the AGM date — give at least 4 weeks’ notice to beneficiaries</w:t>
      </w:r>
    </w:p>
    <w:p>
      <w:pPr>
        <w:pStyle w:val="ListParagraph"/>
        <w:numPr>
          <w:ilvl w:val="0"/>
          <w:numId w:val="2"/>
        </w:numPr>
        <w:spacing w:after="60" w:before="60"/>
      </w:pPr>
      <w:r>
        <w:rPr>
          <w:rFonts w:ascii="Arial" w:cs="Arial" w:eastAsia="Arial" w:hAnsi="Arial"/>
          <w:color w:val="000000"/>
          <w:sz w:val="22"/>
          <w:szCs w:val="22"/>
        </w:rPr>
        <w:t xml:space="preserve">Post notice on the Trust’s nominated social media platform (Schedule 7)</w:t>
      </w:r>
    </w:p>
    <w:p>
      <w:pPr>
        <w:pStyle w:val="ListParagraph"/>
        <w:numPr>
          <w:ilvl w:val="0"/>
          <w:numId w:val="2"/>
        </w:numPr>
        <w:spacing w:after="60" w:before="60"/>
      </w:pPr>
      <w:r>
        <w:rPr>
          <w:rFonts w:ascii="Arial" w:cs="Arial" w:eastAsia="Arial" w:hAnsi="Arial"/>
          <w:color w:val="000000"/>
          <w:sz w:val="22"/>
          <w:szCs w:val="22"/>
        </w:rPr>
        <w:t xml:space="preserve">Prepare AGM pack: financial report, Chairperson’s report, whēnua update, grant outcomes, agenda</w:t>
      </w:r>
    </w:p>
    <w:p>
      <w:pPr>
        <w:pStyle w:val="ListParagraph"/>
        <w:numPr>
          <w:ilvl w:val="0"/>
          <w:numId w:val="2"/>
        </w:numPr>
        <w:spacing w:after="60" w:before="60"/>
      </w:pPr>
      <w:r>
        <w:rPr>
          <w:rFonts w:ascii="Arial" w:cs="Arial" w:eastAsia="Arial" w:hAnsi="Arial"/>
          <w:color w:val="000000"/>
          <w:sz w:val="22"/>
          <w:szCs w:val="22"/>
        </w:rPr>
        <w:t xml:space="preserve">Confirm venue or digital platform (hybrid supported for overseas whānau)</w:t>
      </w:r>
    </w:p>
    <w:p>
      <w:pPr>
        <w:pStyle w:val="ListParagraph"/>
        <w:numPr>
          <w:ilvl w:val="0"/>
          <w:numId w:val="2"/>
        </w:numPr>
        <w:spacing w:after="60" w:before="60"/>
      </w:pPr>
      <w:r>
        <w:rPr>
          <w:rFonts w:ascii="Arial" w:cs="Arial" w:eastAsia="Arial" w:hAnsi="Arial"/>
          <w:color w:val="000000"/>
          <w:sz w:val="22"/>
          <w:szCs w:val="22"/>
        </w:rPr>
        <w:t xml:space="preserve">Receive proxy forms from any beneficiary unable to attend — must be received 2 weeks before AGM</w:t>
      </w:r>
    </w:p>
    <w:p>
      <w:pPr>
        <w:pStyle w:val="ListParagraph"/>
        <w:numPr>
          <w:ilvl w:val="0"/>
          <w:numId w:val="2"/>
        </w:numPr>
        <w:spacing w:after="60" w:before="60"/>
      </w:pPr>
      <w:r>
        <w:rPr>
          <w:rFonts w:ascii="Arial" w:cs="Arial" w:eastAsia="Arial" w:hAnsi="Arial"/>
          <w:color w:val="000000"/>
          <w:sz w:val="22"/>
          <w:szCs w:val="22"/>
        </w:rPr>
        <w:t xml:space="preserve">4th AGM only: prepare 4-year audit of accounts, trustee rotation nominations, and any trust deed changes</w:t>
      </w:r>
    </w:p>
    <w:p>
      <w:pPr>
        <w:spacing w:after="100" w:before="200"/>
      </w:pPr>
      <w:r>
        <w:rPr>
          <w:rFonts w:ascii="Arial" w:cs="Arial" w:eastAsia="Arial" w:hAnsi="Arial"/>
          <w:b/>
          <w:bCs/>
          <w:color w:val="000000"/>
          <w:sz w:val="24"/>
          <w:szCs w:val="24"/>
        </w:rPr>
        <w:t xml:space="preserve">During the AGM</w:t>
      </w:r>
    </w:p>
    <w:p>
      <w:pPr>
        <w:pStyle w:val="ListParagraph"/>
        <w:numPr>
          <w:ilvl w:val="0"/>
          <w:numId w:val="2"/>
        </w:numPr>
        <w:spacing w:after="60" w:before="60"/>
      </w:pPr>
      <w:r>
        <w:rPr>
          <w:rFonts w:ascii="Arial" w:cs="Arial" w:eastAsia="Arial" w:hAnsi="Arial"/>
          <w:color w:val="000000"/>
          <w:sz w:val="22"/>
          <w:szCs w:val="22"/>
        </w:rPr>
        <w:t xml:space="preserve">Confirm quorum (minimum 6 Trustees)</w:t>
      </w:r>
    </w:p>
    <w:p>
      <w:pPr>
        <w:pStyle w:val="ListParagraph"/>
        <w:numPr>
          <w:ilvl w:val="0"/>
          <w:numId w:val="2"/>
        </w:numPr>
        <w:spacing w:after="60" w:before="60"/>
      </w:pPr>
      <w:r>
        <w:rPr>
          <w:rFonts w:ascii="Arial" w:cs="Arial" w:eastAsia="Arial" w:hAnsi="Arial"/>
          <w:color w:val="000000"/>
          <w:sz w:val="22"/>
          <w:szCs w:val="22"/>
        </w:rPr>
        <w:t xml:space="preserve">Chairperson opens with karakia</w:t>
      </w:r>
    </w:p>
    <w:p>
      <w:pPr>
        <w:pStyle w:val="ListParagraph"/>
        <w:numPr>
          <w:ilvl w:val="0"/>
          <w:numId w:val="2"/>
        </w:numPr>
        <w:spacing w:after="60" w:before="60"/>
      </w:pPr>
      <w:r>
        <w:rPr>
          <w:rFonts w:ascii="Arial" w:cs="Arial" w:eastAsia="Arial" w:hAnsi="Arial"/>
          <w:color w:val="000000"/>
          <w:sz w:val="22"/>
          <w:szCs w:val="22"/>
        </w:rPr>
        <w:t xml:space="preserve">Confirm and adopt minutes of previous AGM</w:t>
      </w:r>
    </w:p>
    <w:p>
      <w:pPr>
        <w:pStyle w:val="ListParagraph"/>
        <w:numPr>
          <w:ilvl w:val="0"/>
          <w:numId w:val="2"/>
        </w:numPr>
        <w:spacing w:after="60" w:before="60"/>
      </w:pPr>
      <w:r>
        <w:rPr>
          <w:rFonts w:ascii="Arial" w:cs="Arial" w:eastAsia="Arial" w:hAnsi="Arial"/>
          <w:color w:val="000000"/>
          <w:sz w:val="22"/>
          <w:szCs w:val="22"/>
        </w:rPr>
        <w:t xml:space="preserve">Chairperson’s report — overview of the year</w:t>
      </w:r>
    </w:p>
    <w:p>
      <w:pPr>
        <w:pStyle w:val="ListParagraph"/>
        <w:numPr>
          <w:ilvl w:val="0"/>
          <w:numId w:val="2"/>
        </w:numPr>
        <w:spacing w:after="60" w:before="60"/>
      </w:pPr>
      <w:r>
        <w:rPr>
          <w:rFonts w:ascii="Arial" w:cs="Arial" w:eastAsia="Arial" w:hAnsi="Arial"/>
          <w:color w:val="000000"/>
          <w:sz w:val="22"/>
          <w:szCs w:val="22"/>
        </w:rPr>
        <w:t xml:space="preserve">Treasurer’s report — financial accounts presented and adopted</w:t>
      </w:r>
    </w:p>
    <w:p>
      <w:pPr>
        <w:pStyle w:val="ListParagraph"/>
        <w:numPr>
          <w:ilvl w:val="0"/>
          <w:numId w:val="2"/>
        </w:numPr>
        <w:spacing w:after="60" w:before="60"/>
      </w:pPr>
      <w:r>
        <w:rPr>
          <w:rFonts w:ascii="Arial" w:cs="Arial" w:eastAsia="Arial" w:hAnsi="Arial"/>
          <w:color w:val="000000"/>
          <w:sz w:val="22"/>
          <w:szCs w:val="22"/>
        </w:rPr>
        <w:t xml:space="preserve">Whēnua update — land, papakāinga, and lease updates</w:t>
      </w:r>
    </w:p>
    <w:p>
      <w:pPr>
        <w:pStyle w:val="ListParagraph"/>
        <w:numPr>
          <w:ilvl w:val="0"/>
          <w:numId w:val="2"/>
        </w:numPr>
        <w:spacing w:after="60" w:before="60"/>
      </w:pPr>
      <w:r>
        <w:rPr>
          <w:rFonts w:ascii="Arial" w:cs="Arial" w:eastAsia="Arial" w:hAnsi="Arial"/>
          <w:color w:val="000000"/>
          <w:sz w:val="22"/>
          <w:szCs w:val="22"/>
        </w:rPr>
        <w:t xml:space="preserve">Grant announcements — education, sports, Kaumatua, tangihanga</w:t>
      </w:r>
    </w:p>
    <w:p>
      <w:pPr>
        <w:pStyle w:val="ListParagraph"/>
        <w:numPr>
          <w:ilvl w:val="0"/>
          <w:numId w:val="2"/>
        </w:numPr>
        <w:spacing w:after="60" w:before="60"/>
      </w:pPr>
      <w:r>
        <w:rPr>
          <w:rFonts w:ascii="Arial" w:cs="Arial" w:eastAsia="Arial" w:hAnsi="Arial"/>
          <w:color w:val="000000"/>
          <w:sz w:val="22"/>
          <w:szCs w:val="22"/>
        </w:rPr>
        <w:t xml:space="preserve">General business</w:t>
      </w:r>
    </w:p>
    <w:p>
      <w:pPr>
        <w:pStyle w:val="ListParagraph"/>
        <w:numPr>
          <w:ilvl w:val="0"/>
          <w:numId w:val="2"/>
        </w:numPr>
        <w:spacing w:after="60" w:before="60"/>
      </w:pPr>
      <w:r>
        <w:rPr>
          <w:rFonts w:ascii="Arial" w:cs="Arial" w:eastAsia="Arial" w:hAnsi="Arial"/>
          <w:color w:val="000000"/>
          <w:sz w:val="22"/>
          <w:szCs w:val="22"/>
        </w:rPr>
        <w:t xml:space="preserve">4th AGM only: trustee rotations, audit of accounts, trust deed changes endorsed by whānau</w:t>
      </w:r>
    </w:p>
    <w:p>
      <w:pPr>
        <w:pStyle w:val="ListParagraph"/>
        <w:numPr>
          <w:ilvl w:val="0"/>
          <w:numId w:val="2"/>
        </w:numPr>
        <w:spacing w:after="60" w:before="60"/>
      </w:pPr>
      <w:r>
        <w:rPr>
          <w:rFonts w:ascii="Arial" w:cs="Arial" w:eastAsia="Arial" w:hAnsi="Arial"/>
          <w:color w:val="000000"/>
          <w:sz w:val="22"/>
          <w:szCs w:val="22"/>
        </w:rPr>
        <w:t xml:space="preserve">Close with karakia</w:t>
      </w:r>
    </w:p>
    <w:p>
      <w:pPr>
        <w:spacing w:after="100" w:before="200"/>
      </w:pPr>
      <w:r>
        <w:rPr>
          <w:rFonts w:ascii="Arial" w:cs="Arial" w:eastAsia="Arial" w:hAnsi="Arial"/>
          <w:b/>
          <w:bCs/>
          <w:color w:val="000000"/>
          <w:sz w:val="24"/>
          <w:szCs w:val="24"/>
        </w:rPr>
        <w:t xml:space="preserve">After the AGM</w:t>
      </w:r>
    </w:p>
    <w:p>
      <w:pPr>
        <w:pStyle w:val="ListParagraph"/>
        <w:numPr>
          <w:ilvl w:val="0"/>
          <w:numId w:val="2"/>
        </w:numPr>
        <w:spacing w:after="60" w:before="60"/>
      </w:pPr>
      <w:r>
        <w:rPr>
          <w:rFonts w:ascii="Arial" w:cs="Arial" w:eastAsia="Arial" w:hAnsi="Arial"/>
          <w:color w:val="000000"/>
          <w:sz w:val="22"/>
          <w:szCs w:val="22"/>
        </w:rPr>
        <w:t xml:space="preserve">Minutes drafted and circulated to trustees within 10 working days</w:t>
      </w:r>
    </w:p>
    <w:p>
      <w:pPr>
        <w:pStyle w:val="ListParagraph"/>
        <w:numPr>
          <w:ilvl w:val="0"/>
          <w:numId w:val="2"/>
        </w:numPr>
        <w:spacing w:after="60" w:before="60"/>
      </w:pPr>
      <w:r>
        <w:rPr>
          <w:rFonts w:ascii="Arial" w:cs="Arial" w:eastAsia="Arial" w:hAnsi="Arial"/>
          <w:color w:val="000000"/>
          <w:sz w:val="22"/>
          <w:szCs w:val="22"/>
        </w:rPr>
        <w:t xml:space="preserve">Minutes posted to whānau via the Trust’s communication platform</w:t>
      </w:r>
    </w:p>
    <w:p>
      <w:pPr>
        <w:pStyle w:val="ListParagraph"/>
        <w:numPr>
          <w:ilvl w:val="0"/>
          <w:numId w:val="2"/>
        </w:numPr>
        <w:spacing w:after="60" w:before="60"/>
      </w:pPr>
      <w:r>
        <w:rPr>
          <w:rFonts w:ascii="Arial" w:cs="Arial" w:eastAsia="Arial" w:hAnsi="Arial"/>
          <w:color w:val="000000"/>
          <w:sz w:val="22"/>
          <w:szCs w:val="22"/>
        </w:rPr>
        <w:t xml:space="preserve">Any trustee appointments lodged with the Māori Land Court as soon as practicable</w:t>
      </w:r>
    </w:p>
    <w:p>
      <w:pPr>
        <w:pStyle w:val="ListParagraph"/>
        <w:numPr>
          <w:ilvl w:val="0"/>
          <w:numId w:val="2"/>
        </w:numPr>
        <w:spacing w:after="60" w:before="60"/>
      </w:pPr>
      <w:r>
        <w:rPr>
          <w:rFonts w:ascii="Arial" w:cs="Arial" w:eastAsia="Arial" w:hAnsi="Arial"/>
          <w:color w:val="000000"/>
          <w:sz w:val="22"/>
          <w:szCs w:val="22"/>
        </w:rPr>
        <w:t xml:space="preserve">Grant payments processed within 20 working days of AGM</w:t>
      </w:r>
    </w:p>
    <w:p>
      <w:pPr>
        <w:spacing w:after="100" w:before="200"/>
      </w:pPr>
      <w:r>
        <w:rPr>
          <w:rFonts w:ascii="Arial" w:cs="Arial" w:eastAsia="Arial" w:hAnsi="Arial"/>
          <w:b/>
          <w:bCs/>
          <w:color w:val="000000"/>
          <w:sz w:val="24"/>
          <w:szCs w:val="24"/>
        </w:rPr>
        <w:t xml:space="preserve">Rules</w:t>
      </w:r>
    </w:p>
    <w:p>
      <w:pPr>
        <w:pStyle w:val="ListParagraph"/>
        <w:numPr>
          <w:ilvl w:val="0"/>
          <w:numId w:val="2"/>
        </w:numPr>
        <w:spacing w:after="60" w:before="60"/>
      </w:pPr>
      <w:r>
        <w:rPr>
          <w:rFonts w:ascii="Arial" w:cs="Arial" w:eastAsia="Arial" w:hAnsi="Arial"/>
          <w:color w:val="000000"/>
          <w:sz w:val="22"/>
          <w:szCs w:val="22"/>
        </w:rPr>
        <w:t xml:space="preserve">The AGM must be held every 12 months without fail</w:t>
      </w:r>
    </w:p>
    <w:p>
      <w:pPr>
        <w:pStyle w:val="ListParagraph"/>
        <w:numPr>
          <w:ilvl w:val="0"/>
          <w:numId w:val="2"/>
        </w:numPr>
        <w:spacing w:after="60" w:before="60"/>
      </w:pPr>
      <w:r>
        <w:rPr>
          <w:rFonts w:ascii="Arial" w:cs="Arial" w:eastAsia="Arial" w:hAnsi="Arial"/>
          <w:color w:val="000000"/>
          <w:sz w:val="22"/>
          <w:szCs w:val="22"/>
        </w:rPr>
        <w:t xml:space="preserve">All decisions must be recorded in minutes including mover and seconder</w:t>
      </w:r>
    </w:p>
    <w:p>
      <w:pPr>
        <w:pStyle w:val="ListParagraph"/>
        <w:numPr>
          <w:ilvl w:val="0"/>
          <w:numId w:val="2"/>
        </w:numPr>
        <w:spacing w:after="60" w:before="60"/>
      </w:pPr>
      <w:r>
        <w:rPr>
          <w:rFonts w:ascii="Arial" w:cs="Arial" w:eastAsia="Arial" w:hAnsi="Arial"/>
          <w:color w:val="000000"/>
          <w:sz w:val="22"/>
          <w:szCs w:val="22"/>
        </w:rPr>
        <w:t xml:space="preserve">4th AGM packs must include the 4-year financial audit, bank statement, whēnua updates, and trust deed changes highlighted in yellow</w:t>
      </w:r>
    </w:p>
    <w:p>
      <w:pPr>
        <w:pStyle w:val="ListParagraph"/>
        <w:numPr>
          <w:ilvl w:val="0"/>
          <w:numId w:val="2"/>
        </w:numPr>
        <w:spacing w:after="60" w:before="60"/>
      </w:pPr>
      <w:r>
        <w:rPr>
          <w:rFonts w:ascii="Arial" w:cs="Arial" w:eastAsia="Arial" w:hAnsi="Arial"/>
          <w:color w:val="000000"/>
          <w:sz w:val="22"/>
          <w:szCs w:val="22"/>
        </w:rPr>
        <w:t xml:space="preserve">Use plain language in all AGM materials</w:t>
      </w:r>
    </w:p>
    <w:p>
      <w:pPr>
        <w:pBdr>
          <w:bottom w:val="single" w:color="AAAAAA" w:sz="2" w:space="1"/>
        </w:pBdr>
        <w:spacing w:after="240" w:before="240"/>
      </w:pPr>
      <w:r>
        <w:t xml:space="preserve"/>
      </w:r>
    </w:p>
    <w:p>
      <w:pPr>
        <w:pStyle w:val="Heading2"/>
        <w:spacing w:after="120" w:before="320"/>
      </w:pPr>
      <w:r>
        <w:rPr>
          <w:rFonts w:ascii="Arial" w:cs="Arial" w:eastAsia="Arial" w:hAnsi="Arial"/>
          <w:b/>
          <w:bCs/>
          <w:color w:val="000000"/>
          <w:sz w:val="28"/>
          <w:szCs w:val="28"/>
        </w:rPr>
        <w:t xml:space="preserve">Process 2: Processing a Grant Application</w:t>
      </w:r>
    </w:p>
    <w:p>
      <w:pPr>
        <w:spacing w:after="80" w:before="80"/>
      </w:pPr>
      <w:r>
        <w:rPr>
          <w:rFonts w:ascii="Arial" w:cs="Arial" w:eastAsia="Arial" w:hAnsi="Arial"/>
          <w:color w:val="000000"/>
          <w:sz w:val="22"/>
          <w:szCs w:val="22"/>
        </w:rPr>
        <w:t xml:space="preserve">The Trust distributes grants in four categories: Higher Education, International Sports Representation, Kaumatua (70+ years), and Tangihanga. All grants except Tangihanga require a written application by 31 May each year.</w:t>
      </w:r>
    </w:p>
    <w:p>
      <w:pPr>
        <w:spacing w:after="100" w:before="200"/>
      </w:pPr>
      <w:r>
        <w:rPr>
          <w:rFonts w:ascii="Arial" w:cs="Arial" w:eastAsia="Arial" w:hAnsi="Arial"/>
          <w:b/>
          <w:bCs/>
          <w:color w:val="000000"/>
          <w:sz w:val="24"/>
          <w:szCs w:val="24"/>
        </w:rPr>
        <w:t xml:space="preserve">Grant Categories and Eligibility</w:t>
      </w:r>
    </w:p>
    <w:p>
      <w:pPr>
        <w:pStyle w:val="ListParagraph"/>
        <w:numPr>
          <w:ilvl w:val="0"/>
          <w:numId w:val="2"/>
        </w:numPr>
        <w:spacing w:after="60" w:before="60"/>
      </w:pPr>
      <w:r>
        <w:rPr>
          <w:rFonts w:ascii="Arial" w:cs="Arial" w:eastAsia="Arial" w:hAnsi="Arial"/>
          <w:color w:val="000000"/>
          <w:sz w:val="22"/>
          <w:szCs w:val="22"/>
        </w:rPr>
        <w:t xml:space="preserve">Higher Education — direct whakapapa; application by 31 May; Whānau hui Tāutoko letter required</w:t>
      </w:r>
    </w:p>
    <w:p>
      <w:pPr>
        <w:pStyle w:val="ListParagraph"/>
        <w:numPr>
          <w:ilvl w:val="0"/>
          <w:numId w:val="2"/>
        </w:numPr>
        <w:spacing w:after="60" w:before="60"/>
      </w:pPr>
      <w:r>
        <w:rPr>
          <w:rFonts w:ascii="Arial" w:cs="Arial" w:eastAsia="Arial" w:hAnsi="Arial"/>
          <w:color w:val="000000"/>
          <w:sz w:val="22"/>
          <w:szCs w:val="22"/>
        </w:rPr>
        <w:t xml:space="preserve">International Sports Representation — direct whakapapa; application by 31 May; Whānau Tāutoko letter required</w:t>
      </w:r>
    </w:p>
    <w:p>
      <w:pPr>
        <w:pStyle w:val="ListParagraph"/>
        <w:numPr>
          <w:ilvl w:val="0"/>
          <w:numId w:val="2"/>
        </w:numPr>
        <w:spacing w:after="60" w:before="60"/>
      </w:pPr>
      <w:r>
        <w:rPr>
          <w:rFonts w:ascii="Arial" w:cs="Arial" w:eastAsia="Arial" w:hAnsi="Arial"/>
          <w:color w:val="000000"/>
          <w:sz w:val="22"/>
          <w:szCs w:val="22"/>
        </w:rPr>
        <w:t xml:space="preserve">Kaumatua grant — 70+ years old; direct whakapapa; paid annually as per Schedule 8</w:t>
      </w:r>
    </w:p>
    <w:p>
      <w:pPr>
        <w:pStyle w:val="ListParagraph"/>
        <w:numPr>
          <w:ilvl w:val="0"/>
          <w:numId w:val="2"/>
        </w:numPr>
        <w:spacing w:after="60" w:before="60"/>
      </w:pPr>
      <w:r>
        <w:rPr>
          <w:rFonts w:ascii="Arial" w:cs="Arial" w:eastAsia="Arial" w:hAnsi="Arial"/>
          <w:color w:val="000000"/>
          <w:sz w:val="22"/>
          <w:szCs w:val="22"/>
        </w:rPr>
        <w:t xml:space="preserve">Tangihanga grant — direct whakapapa; notified to Chairperson/Secretary/Treasurer upon passing; credited directly to whānau nominated bank account</w:t>
      </w:r>
    </w:p>
    <w:p>
      <w:pPr>
        <w:spacing w:after="100" w:before="200"/>
      </w:pPr>
      <w:r>
        <w:rPr>
          <w:rFonts w:ascii="Arial" w:cs="Arial" w:eastAsia="Arial" w:hAnsi="Arial"/>
          <w:b/>
          <w:bCs/>
          <w:color w:val="000000"/>
          <w:sz w:val="24"/>
          <w:szCs w:val="24"/>
        </w:rPr>
        <w:t xml:space="preserve">Steps — Higher Education and Sports Applications</w:t>
      </w:r>
    </w:p>
    <w:p>
      <w:pPr>
        <w:pStyle w:val="ListParagraph"/>
        <w:numPr>
          <w:ilvl w:val="0"/>
          <w:numId w:val="2"/>
        </w:numPr>
        <w:spacing w:after="60" w:before="60"/>
      </w:pPr>
      <w:r>
        <w:rPr>
          <w:rFonts w:ascii="Arial" w:cs="Arial" w:eastAsia="Arial" w:hAnsi="Arial"/>
          <w:color w:val="000000"/>
          <w:sz w:val="22"/>
          <w:szCs w:val="22"/>
        </w:rPr>
        <w:t xml:space="preserve">Applicant submits written application by 31 May including: tohu/subject, institution, dates, Whānau Tāutoko letter</w:t>
      </w:r>
    </w:p>
    <w:p>
      <w:pPr>
        <w:pStyle w:val="ListParagraph"/>
        <w:numPr>
          <w:ilvl w:val="0"/>
          <w:numId w:val="2"/>
        </w:numPr>
        <w:spacing w:after="60" w:before="60"/>
      </w:pPr>
      <w:r>
        <w:rPr>
          <w:rFonts w:ascii="Arial" w:cs="Arial" w:eastAsia="Arial" w:hAnsi="Arial"/>
          <w:color w:val="000000"/>
          <w:sz w:val="22"/>
          <w:szCs w:val="22"/>
        </w:rPr>
        <w:t xml:space="preserve">Trustees review applications at the next Trustee meeting</w:t>
      </w:r>
    </w:p>
    <w:p>
      <w:pPr>
        <w:pStyle w:val="ListParagraph"/>
        <w:numPr>
          <w:ilvl w:val="0"/>
          <w:numId w:val="2"/>
        </w:numPr>
        <w:spacing w:after="60" w:before="60"/>
      </w:pPr>
      <w:r>
        <w:rPr>
          <w:rFonts w:ascii="Arial" w:cs="Arial" w:eastAsia="Arial" w:hAnsi="Arial"/>
          <w:color w:val="000000"/>
          <w:sz w:val="22"/>
          <w:szCs w:val="22"/>
        </w:rPr>
        <w:t xml:space="preserve">Decision made by majority vote and recorded in minutes</w:t>
      </w:r>
    </w:p>
    <w:p>
      <w:pPr>
        <w:pStyle w:val="ListParagraph"/>
        <w:numPr>
          <w:ilvl w:val="0"/>
          <w:numId w:val="2"/>
        </w:numPr>
        <w:spacing w:after="60" w:before="60"/>
      </w:pPr>
      <w:r>
        <w:rPr>
          <w:rFonts w:ascii="Arial" w:cs="Arial" w:eastAsia="Arial" w:hAnsi="Arial"/>
          <w:color w:val="000000"/>
          <w:sz w:val="22"/>
          <w:szCs w:val="22"/>
        </w:rPr>
        <w:t xml:space="preserve">All applicants notified of outcome directly</w:t>
      </w:r>
    </w:p>
    <w:p>
      <w:pPr>
        <w:pStyle w:val="ListParagraph"/>
        <w:numPr>
          <w:ilvl w:val="0"/>
          <w:numId w:val="2"/>
        </w:numPr>
        <w:spacing w:after="60" w:before="60"/>
      </w:pPr>
      <w:r>
        <w:rPr>
          <w:rFonts w:ascii="Arial" w:cs="Arial" w:eastAsia="Arial" w:hAnsi="Arial"/>
          <w:color w:val="000000"/>
          <w:sz w:val="22"/>
          <w:szCs w:val="22"/>
        </w:rPr>
        <w:t xml:space="preserve">Successful applicants present their journey and outcomes at the following AGM</w:t>
      </w:r>
    </w:p>
    <w:p>
      <w:pPr>
        <w:pStyle w:val="ListParagraph"/>
        <w:numPr>
          <w:ilvl w:val="0"/>
          <w:numId w:val="2"/>
        </w:numPr>
        <w:spacing w:after="60" w:before="60"/>
      </w:pPr>
      <w:r>
        <w:rPr>
          <w:rFonts w:ascii="Arial" w:cs="Arial" w:eastAsia="Arial" w:hAnsi="Arial"/>
          <w:color w:val="000000"/>
          <w:sz w:val="22"/>
          <w:szCs w:val="22"/>
        </w:rPr>
        <w:t xml:space="preserve">Funds not claimed in any year are accrued for the following year</w:t>
      </w:r>
    </w:p>
    <w:p>
      <w:pPr>
        <w:spacing w:after="100" w:before="200"/>
      </w:pPr>
      <w:r>
        <w:rPr>
          <w:rFonts w:ascii="Arial" w:cs="Arial" w:eastAsia="Arial" w:hAnsi="Arial"/>
          <w:b/>
          <w:bCs/>
          <w:color w:val="000000"/>
          <w:sz w:val="24"/>
          <w:szCs w:val="24"/>
        </w:rPr>
        <w:t xml:space="preserve">Rules</w:t>
      </w:r>
    </w:p>
    <w:p>
      <w:pPr>
        <w:pStyle w:val="ListParagraph"/>
        <w:numPr>
          <w:ilvl w:val="0"/>
          <w:numId w:val="2"/>
        </w:numPr>
        <w:spacing w:after="60" w:before="60"/>
      </w:pPr>
      <w:r>
        <w:rPr>
          <w:rFonts w:ascii="Arial" w:cs="Arial" w:eastAsia="Arial" w:hAnsi="Arial"/>
          <w:color w:val="000000"/>
          <w:sz w:val="22"/>
          <w:szCs w:val="22"/>
        </w:rPr>
        <w:t xml:space="preserve">All grant decisions must be fair, equitable, and in the best interests of all beneficiaries</w:t>
      </w:r>
    </w:p>
    <w:p>
      <w:pPr>
        <w:pStyle w:val="ListParagraph"/>
        <w:numPr>
          <w:ilvl w:val="0"/>
          <w:numId w:val="2"/>
        </w:numPr>
        <w:spacing w:after="60" w:before="60"/>
      </w:pPr>
      <w:r>
        <w:rPr>
          <w:rFonts w:ascii="Arial" w:cs="Arial" w:eastAsia="Arial" w:hAnsi="Arial"/>
          <w:color w:val="000000"/>
          <w:sz w:val="22"/>
          <w:szCs w:val="22"/>
        </w:rPr>
        <w:t xml:space="preserve">Grants are not individual distributions for personal gain</w:t>
      </w:r>
    </w:p>
    <w:p>
      <w:pPr>
        <w:pStyle w:val="ListParagraph"/>
        <w:numPr>
          <w:ilvl w:val="0"/>
          <w:numId w:val="2"/>
        </w:numPr>
        <w:spacing w:after="60" w:before="60"/>
      </w:pPr>
      <w:r>
        <w:rPr>
          <w:rFonts w:ascii="Arial" w:cs="Arial" w:eastAsia="Arial" w:hAnsi="Arial"/>
          <w:color w:val="000000"/>
          <w:sz w:val="22"/>
          <w:szCs w:val="22"/>
        </w:rPr>
        <w:t xml:space="preserve">If education is not completed within 365 days of established incompletion date, funds must be reimbursed</w:t>
      </w:r>
    </w:p>
    <w:p>
      <w:pPr>
        <w:pStyle w:val="ListParagraph"/>
        <w:numPr>
          <w:ilvl w:val="0"/>
          <w:numId w:val="2"/>
        </w:numPr>
        <w:spacing w:after="60" w:before="60"/>
      </w:pPr>
      <w:r>
        <w:rPr>
          <w:rFonts w:ascii="Arial" w:cs="Arial" w:eastAsia="Arial" w:hAnsi="Arial"/>
          <w:color w:val="000000"/>
          <w:sz w:val="22"/>
          <w:szCs w:val="22"/>
        </w:rPr>
        <w:t xml:space="preserve">No travel, meeting, or catering funds are available from the grant pool</w:t>
      </w:r>
    </w:p>
    <w:p>
      <w:pPr>
        <w:pBdr>
          <w:bottom w:val="single" w:color="AAAAAA" w:sz="2" w:space="1"/>
        </w:pBdr>
        <w:spacing w:after="240" w:before="240"/>
      </w:pPr>
      <w:r>
        <w:t xml:space="preserve"/>
      </w:r>
    </w:p>
    <w:p>
      <w:pPr>
        <w:pStyle w:val="Heading2"/>
        <w:spacing w:after="120" w:before="320"/>
      </w:pPr>
      <w:r>
        <w:rPr>
          <w:rFonts w:ascii="Arial" w:cs="Arial" w:eastAsia="Arial" w:hAnsi="Arial"/>
          <w:b/>
          <w:bCs/>
          <w:color w:val="000000"/>
          <w:sz w:val="28"/>
          <w:szCs w:val="28"/>
        </w:rPr>
        <w:t xml:space="preserve">Process 3: Trustee Meeting (Quarterly)</w:t>
      </w:r>
    </w:p>
    <w:p>
      <w:pPr>
        <w:spacing w:after="80" w:before="80"/>
      </w:pPr>
      <w:r>
        <w:rPr>
          <w:rFonts w:ascii="Arial" w:cs="Arial" w:eastAsia="Arial" w:hAnsi="Arial"/>
          <w:color w:val="000000"/>
          <w:sz w:val="22"/>
          <w:szCs w:val="22"/>
        </w:rPr>
        <w:t xml:space="preserve">Trustees must meet at least four times a year. Meetings can be held in person or by electronic means. A quorum of six Trustees is required.</w:t>
      </w:r>
    </w:p>
    <w:p>
      <w:pPr>
        <w:spacing w:after="100" w:before="200"/>
      </w:pPr>
      <w:r>
        <w:rPr>
          <w:rFonts w:ascii="Arial" w:cs="Arial" w:eastAsia="Arial" w:hAnsi="Arial"/>
          <w:b/>
          <w:bCs/>
          <w:color w:val="000000"/>
          <w:sz w:val="24"/>
          <w:szCs w:val="24"/>
        </w:rPr>
        <w:t xml:space="preserve">Standard Agenda</w:t>
      </w:r>
    </w:p>
    <w:p>
      <w:pPr>
        <w:pStyle w:val="ListParagraph"/>
        <w:numPr>
          <w:ilvl w:val="0"/>
          <w:numId w:val="2"/>
        </w:numPr>
        <w:spacing w:after="60" w:before="60"/>
      </w:pPr>
      <w:r>
        <w:rPr>
          <w:rFonts w:ascii="Arial" w:cs="Arial" w:eastAsia="Arial" w:hAnsi="Arial"/>
          <w:color w:val="000000"/>
          <w:sz w:val="22"/>
          <w:szCs w:val="22"/>
        </w:rPr>
        <w:t xml:space="preserve">Karakia</w:t>
      </w:r>
    </w:p>
    <w:p>
      <w:pPr>
        <w:pStyle w:val="ListParagraph"/>
        <w:numPr>
          <w:ilvl w:val="0"/>
          <w:numId w:val="2"/>
        </w:numPr>
        <w:spacing w:after="60" w:before="60"/>
      </w:pPr>
      <w:r>
        <w:rPr>
          <w:rFonts w:ascii="Arial" w:cs="Arial" w:eastAsia="Arial" w:hAnsi="Arial"/>
          <w:color w:val="000000"/>
          <w:sz w:val="22"/>
          <w:szCs w:val="22"/>
        </w:rPr>
        <w:t xml:space="preserve">Confirm quorum and apologies</w:t>
      </w:r>
    </w:p>
    <w:p>
      <w:pPr>
        <w:pStyle w:val="ListParagraph"/>
        <w:numPr>
          <w:ilvl w:val="0"/>
          <w:numId w:val="2"/>
        </w:numPr>
        <w:spacing w:after="60" w:before="60"/>
      </w:pPr>
      <w:r>
        <w:rPr>
          <w:rFonts w:ascii="Arial" w:cs="Arial" w:eastAsia="Arial" w:hAnsi="Arial"/>
          <w:color w:val="000000"/>
          <w:sz w:val="22"/>
          <w:szCs w:val="22"/>
        </w:rPr>
        <w:t xml:space="preserve">Confirm minutes of previous meeting</w:t>
      </w:r>
    </w:p>
    <w:p>
      <w:pPr>
        <w:pStyle w:val="ListParagraph"/>
        <w:numPr>
          <w:ilvl w:val="0"/>
          <w:numId w:val="2"/>
        </w:numPr>
        <w:spacing w:after="60" w:before="60"/>
      </w:pPr>
      <w:r>
        <w:rPr>
          <w:rFonts w:ascii="Arial" w:cs="Arial" w:eastAsia="Arial" w:hAnsi="Arial"/>
          <w:color w:val="000000"/>
          <w:sz w:val="22"/>
          <w:szCs w:val="22"/>
        </w:rPr>
        <w:t xml:space="preserve">Financial update — income, expenses, bank balance</w:t>
      </w:r>
    </w:p>
    <w:p>
      <w:pPr>
        <w:pStyle w:val="ListParagraph"/>
        <w:numPr>
          <w:ilvl w:val="0"/>
          <w:numId w:val="2"/>
        </w:numPr>
        <w:spacing w:after="60" w:before="60"/>
      </w:pPr>
      <w:r>
        <w:rPr>
          <w:rFonts w:ascii="Arial" w:cs="Arial" w:eastAsia="Arial" w:hAnsi="Arial"/>
          <w:color w:val="000000"/>
          <w:sz w:val="22"/>
          <w:szCs w:val="22"/>
        </w:rPr>
        <w:t xml:space="preserve">Papakāinga update</w:t>
      </w:r>
    </w:p>
    <w:p>
      <w:pPr>
        <w:pStyle w:val="ListParagraph"/>
        <w:numPr>
          <w:ilvl w:val="0"/>
          <w:numId w:val="2"/>
        </w:numPr>
        <w:spacing w:after="60" w:before="60"/>
      </w:pPr>
      <w:r>
        <w:rPr>
          <w:rFonts w:ascii="Arial" w:cs="Arial" w:eastAsia="Arial" w:hAnsi="Arial"/>
          <w:color w:val="000000"/>
          <w:sz w:val="22"/>
          <w:szCs w:val="22"/>
        </w:rPr>
        <w:t xml:space="preserve">Whēnua lease and rental update</w:t>
      </w:r>
    </w:p>
    <w:p>
      <w:pPr>
        <w:pStyle w:val="ListParagraph"/>
        <w:numPr>
          <w:ilvl w:val="0"/>
          <w:numId w:val="2"/>
        </w:numPr>
        <w:spacing w:after="60" w:before="60"/>
      </w:pPr>
      <w:r>
        <w:rPr>
          <w:rFonts w:ascii="Arial" w:cs="Arial" w:eastAsia="Arial" w:hAnsi="Arial"/>
          <w:color w:val="000000"/>
          <w:sz w:val="22"/>
          <w:szCs w:val="22"/>
        </w:rPr>
        <w:t xml:space="preserve">Whēnua maintenance update</w:t>
      </w:r>
    </w:p>
    <w:p>
      <w:pPr>
        <w:pStyle w:val="ListParagraph"/>
        <w:numPr>
          <w:ilvl w:val="0"/>
          <w:numId w:val="2"/>
        </w:numPr>
        <w:spacing w:after="60" w:before="60"/>
      </w:pPr>
      <w:r>
        <w:rPr>
          <w:rFonts w:ascii="Arial" w:cs="Arial" w:eastAsia="Arial" w:hAnsi="Arial"/>
          <w:color w:val="000000"/>
          <w:sz w:val="22"/>
          <w:szCs w:val="22"/>
        </w:rPr>
        <w:t xml:space="preserve">Correspondence received and sent</w:t>
      </w:r>
    </w:p>
    <w:p>
      <w:pPr>
        <w:pStyle w:val="ListParagraph"/>
        <w:numPr>
          <w:ilvl w:val="0"/>
          <w:numId w:val="2"/>
        </w:numPr>
        <w:spacing w:after="60" w:before="60"/>
      </w:pPr>
      <w:r>
        <w:rPr>
          <w:rFonts w:ascii="Arial" w:cs="Arial" w:eastAsia="Arial" w:hAnsi="Arial"/>
          <w:color w:val="000000"/>
          <w:sz w:val="22"/>
          <w:szCs w:val="22"/>
        </w:rPr>
        <w:t xml:space="preserve">Matters arising</w:t>
      </w:r>
    </w:p>
    <w:p>
      <w:pPr>
        <w:pStyle w:val="ListParagraph"/>
        <w:numPr>
          <w:ilvl w:val="0"/>
          <w:numId w:val="2"/>
        </w:numPr>
        <w:spacing w:after="60" w:before="60"/>
      </w:pPr>
      <w:r>
        <w:rPr>
          <w:rFonts w:ascii="Arial" w:cs="Arial" w:eastAsia="Arial" w:hAnsi="Arial"/>
          <w:color w:val="000000"/>
          <w:sz w:val="22"/>
          <w:szCs w:val="22"/>
        </w:rPr>
        <w:t xml:space="preserve">Date of next meeting</w:t>
      </w:r>
    </w:p>
    <w:p>
      <w:pPr>
        <w:pStyle w:val="ListParagraph"/>
        <w:numPr>
          <w:ilvl w:val="0"/>
          <w:numId w:val="2"/>
        </w:numPr>
        <w:spacing w:after="60" w:before="60"/>
      </w:pPr>
      <w:r>
        <w:rPr>
          <w:rFonts w:ascii="Arial" w:cs="Arial" w:eastAsia="Arial" w:hAnsi="Arial"/>
          <w:color w:val="000000"/>
          <w:sz w:val="22"/>
          <w:szCs w:val="22"/>
        </w:rPr>
        <w:t xml:space="preserve">Karakia</w:t>
      </w:r>
    </w:p>
    <w:p>
      <w:pPr>
        <w:spacing w:after="100" w:before="200"/>
      </w:pPr>
      <w:r>
        <w:rPr>
          <w:rFonts w:ascii="Arial" w:cs="Arial" w:eastAsia="Arial" w:hAnsi="Arial"/>
          <w:b/>
          <w:bCs/>
          <w:color w:val="000000"/>
          <w:sz w:val="24"/>
          <w:szCs w:val="24"/>
        </w:rPr>
        <w:t xml:space="preserve">Decision-Making Rules</w:t>
      </w:r>
    </w:p>
    <w:p>
      <w:pPr>
        <w:pStyle w:val="ListParagraph"/>
        <w:numPr>
          <w:ilvl w:val="0"/>
          <w:numId w:val="2"/>
        </w:numPr>
        <w:spacing w:after="60" w:before="60"/>
      </w:pPr>
      <w:r>
        <w:rPr>
          <w:rFonts w:ascii="Arial" w:cs="Arial" w:eastAsia="Arial" w:hAnsi="Arial"/>
          <w:color w:val="000000"/>
          <w:sz w:val="22"/>
          <w:szCs w:val="22"/>
        </w:rPr>
        <w:t xml:space="preserve">A motion must be moved and seconded</w:t>
      </w:r>
    </w:p>
    <w:p>
      <w:pPr>
        <w:pStyle w:val="ListParagraph"/>
        <w:numPr>
          <w:ilvl w:val="0"/>
          <w:numId w:val="2"/>
        </w:numPr>
        <w:spacing w:after="60" w:before="60"/>
      </w:pPr>
      <w:r>
        <w:rPr>
          <w:rFonts w:ascii="Arial" w:cs="Arial" w:eastAsia="Arial" w:hAnsi="Arial"/>
          <w:color w:val="000000"/>
          <w:sz w:val="22"/>
          <w:szCs w:val="22"/>
        </w:rPr>
        <w:t xml:space="preserve">A majority of trustees present carries the motion</w:t>
      </w:r>
    </w:p>
    <w:p>
      <w:pPr>
        <w:pStyle w:val="ListParagraph"/>
        <w:numPr>
          <w:ilvl w:val="0"/>
          <w:numId w:val="2"/>
        </w:numPr>
        <w:spacing w:after="60" w:before="60"/>
      </w:pPr>
      <w:r>
        <w:rPr>
          <w:rFonts w:ascii="Arial" w:cs="Arial" w:eastAsia="Arial" w:hAnsi="Arial"/>
          <w:color w:val="000000"/>
          <w:sz w:val="22"/>
          <w:szCs w:val="22"/>
        </w:rPr>
        <w:t xml:space="preserve">All decisions recorded in minutes including names of mover and seconder</w:t>
      </w:r>
    </w:p>
    <w:p>
      <w:pPr>
        <w:pStyle w:val="ListParagraph"/>
        <w:numPr>
          <w:ilvl w:val="0"/>
          <w:numId w:val="2"/>
        </w:numPr>
        <w:spacing w:after="60" w:before="60"/>
      </w:pPr>
      <w:r>
        <w:rPr>
          <w:rFonts w:ascii="Arial" w:cs="Arial" w:eastAsia="Arial" w:hAnsi="Arial"/>
          <w:color w:val="000000"/>
          <w:sz w:val="22"/>
          <w:szCs w:val="22"/>
        </w:rPr>
        <w:t xml:space="preserve">Substantial matters — trust deed changes, asset disposal, trustee appointments — must use the Collective Voting Method</w:t>
      </w:r>
    </w:p>
    <w:p>
      <w:pPr>
        <w:pStyle w:val="ListParagraph"/>
        <w:numPr>
          <w:ilvl w:val="0"/>
          <w:numId w:val="2"/>
        </w:numPr>
        <w:spacing w:after="60" w:before="60"/>
      </w:pPr>
      <w:r>
        <w:rPr>
          <w:rFonts w:ascii="Arial" w:cs="Arial" w:eastAsia="Arial" w:hAnsi="Arial"/>
          <w:color w:val="000000"/>
          <w:sz w:val="22"/>
          <w:szCs w:val="22"/>
        </w:rPr>
        <w:t xml:space="preserve">Trustees may attend by electronic means provided they remain in contact throughout</w:t>
      </w:r>
    </w:p>
    <w:p>
      <w:pPr>
        <w:pBdr>
          <w:bottom w:val="single" w:color="AAAAAA" w:sz="2" w:space="1"/>
        </w:pBdr>
        <w:spacing w:after="240" w:before="240"/>
      </w:pPr>
      <w:r>
        <w:t xml:space="preserve"/>
      </w:r>
    </w:p>
    <w:p>
      <w:pPr>
        <w:spacing w:after="0" w:before="0"/>
      </w:pPr>
      <w:r>
        <w:br w:type="page"/>
      </w:r>
    </w:p>
    <w:p>
      <w:pPr>
        <w:pStyle w:val="Heading1"/>
        <w:pBdr>
          <w:bottom w:val="single" w:color="000000" w:sz="8" w:space="1"/>
        </w:pBdr>
        <w:spacing w:after="200" w:before="480"/>
      </w:pPr>
      <w:r>
        <w:rPr>
          <w:rFonts w:ascii="Arial" w:cs="Arial" w:eastAsia="Arial" w:hAnsi="Arial"/>
          <w:b/>
          <w:bCs/>
          <w:color w:val="000000"/>
          <w:sz w:val="36"/>
          <w:szCs w:val="36"/>
        </w:rPr>
        <w:t xml:space="preserve">GLOSSARY.MD — Kuputaka / Key Terms</w:t>
      </w:r>
    </w:p>
    <w:p>
      <w:pPr>
        <w:spacing w:after="80" w:before="80"/>
      </w:pPr>
      <w:r>
        <w:rPr>
          <w:rFonts w:ascii="Arial" w:cs="Arial" w:eastAsia="Arial" w:hAnsi="Arial"/>
          <w:color w:val="000000"/>
          <w:sz w:val="22"/>
          <w:szCs w:val="22"/>
        </w:rPr>
        <w:t xml:space="preserve">This file lists the te reo Māori terms, legal terms, and internal language used by Ngāti Hikairo Ahu Whenua Trust. All trustees and AI tools should use these terms consistently and spell te reo Māori correctly with macrons at all times.</w:t>
      </w:r>
    </w:p>
    <w:p>
      <w:pPr>
        <w:pStyle w:val="Heading2"/>
        <w:spacing w:after="120" w:before="320"/>
      </w:pPr>
      <w:r>
        <w:rPr>
          <w:rFonts w:ascii="Arial" w:cs="Arial" w:eastAsia="Arial" w:hAnsi="Arial"/>
          <w:b/>
          <w:bCs/>
          <w:color w:val="000000"/>
          <w:sz w:val="28"/>
          <w:szCs w:val="28"/>
        </w:rPr>
        <w:t xml:space="preserve">Te Reo Māori Terms</w:t>
      </w:r>
    </w:p>
    <w:p>
      <w:pPr>
        <w:spacing w:after="60" w:before="60"/>
      </w:pPr>
      <w:r>
        <w:rPr>
          <w:rFonts w:ascii="Arial" w:cs="Arial" w:eastAsia="Arial" w:hAnsi="Arial"/>
          <w:b/>
          <w:bCs/>
          <w:color w:val="000000"/>
          <w:sz w:val="22"/>
          <w:szCs w:val="22"/>
        </w:rPr>
        <w:t xml:space="preserve">Ahu Whenua Trust: </w:t>
      </w:r>
      <w:r>
        <w:rPr>
          <w:rFonts w:ascii="Arial" w:cs="Arial" w:eastAsia="Arial" w:hAnsi="Arial"/>
          <w:color w:val="000000"/>
          <w:sz w:val="22"/>
          <w:szCs w:val="22"/>
        </w:rPr>
        <w:t xml:space="preserve">A form of Māori land trust constituted under Te Ture Whenua Māori Act 1993</w:t>
      </w:r>
    </w:p>
    <w:p>
      <w:pPr>
        <w:spacing w:after="60" w:before="60"/>
      </w:pPr>
      <w:r>
        <w:rPr>
          <w:rFonts w:ascii="Arial" w:cs="Arial" w:eastAsia="Arial" w:hAnsi="Arial"/>
          <w:b/>
          <w:bCs/>
          <w:color w:val="000000"/>
          <w:sz w:val="22"/>
          <w:szCs w:val="22"/>
        </w:rPr>
        <w:t xml:space="preserve">Whēnua / Whenua: </w:t>
      </w:r>
      <w:r>
        <w:rPr>
          <w:rFonts w:ascii="Arial" w:cs="Arial" w:eastAsia="Arial" w:hAnsi="Arial"/>
          <w:color w:val="000000"/>
          <w:sz w:val="22"/>
          <w:szCs w:val="22"/>
        </w:rPr>
        <w:t xml:space="preserve">Land — specifically the Māori freehold land held by the Trust</w:t>
      </w:r>
    </w:p>
    <w:p>
      <w:pPr>
        <w:spacing w:after="60" w:before="60"/>
      </w:pPr>
      <w:r>
        <w:rPr>
          <w:rFonts w:ascii="Arial" w:cs="Arial" w:eastAsia="Arial" w:hAnsi="Arial"/>
          <w:b/>
          <w:bCs/>
          <w:color w:val="000000"/>
          <w:sz w:val="22"/>
          <w:szCs w:val="22"/>
        </w:rPr>
        <w:t xml:space="preserve">Whānau: </w:t>
      </w:r>
      <w:r>
        <w:rPr>
          <w:rFonts w:ascii="Arial" w:cs="Arial" w:eastAsia="Arial" w:hAnsi="Arial"/>
          <w:color w:val="000000"/>
          <w:sz w:val="22"/>
          <w:szCs w:val="22"/>
        </w:rPr>
        <w:t xml:space="preserve">Extended family; the broader community of beneficiaries connected through whakapapa</w:t>
      </w:r>
    </w:p>
    <w:p>
      <w:pPr>
        <w:spacing w:after="60" w:before="60"/>
      </w:pPr>
      <w:r>
        <w:rPr>
          <w:rFonts w:ascii="Arial" w:cs="Arial" w:eastAsia="Arial" w:hAnsi="Arial"/>
          <w:b/>
          <w:bCs/>
          <w:color w:val="000000"/>
          <w:sz w:val="22"/>
          <w:szCs w:val="22"/>
        </w:rPr>
        <w:t xml:space="preserve">Tūpuna / Tupuna: </w:t>
      </w:r>
      <w:r>
        <w:rPr>
          <w:rFonts w:ascii="Arial" w:cs="Arial" w:eastAsia="Arial" w:hAnsi="Arial"/>
          <w:color w:val="000000"/>
          <w:sz w:val="22"/>
          <w:szCs w:val="22"/>
        </w:rPr>
        <w:t xml:space="preserve">Ancestors; the eight tūpuna lines from whom beneficiaries descend</w:t>
      </w:r>
    </w:p>
    <w:p>
      <w:pPr>
        <w:spacing w:after="60" w:before="60"/>
      </w:pPr>
      <w:r>
        <w:rPr>
          <w:rFonts w:ascii="Arial" w:cs="Arial" w:eastAsia="Arial" w:hAnsi="Arial"/>
          <w:b/>
          <w:bCs/>
          <w:color w:val="000000"/>
          <w:sz w:val="22"/>
          <w:szCs w:val="22"/>
        </w:rPr>
        <w:t xml:space="preserve">Whakapapa: </w:t>
      </w:r>
      <w:r>
        <w:rPr>
          <w:rFonts w:ascii="Arial" w:cs="Arial" w:eastAsia="Arial" w:hAnsi="Arial"/>
          <w:color w:val="000000"/>
          <w:sz w:val="22"/>
          <w:szCs w:val="22"/>
        </w:rPr>
        <w:t xml:space="preserve">Genealogy; the lineage connecting a person to the tūpuna and therefore to the Trust</w:t>
      </w:r>
    </w:p>
    <w:p>
      <w:pPr>
        <w:spacing w:after="60" w:before="60"/>
      </w:pPr>
      <w:r>
        <w:rPr>
          <w:rFonts w:ascii="Arial" w:cs="Arial" w:eastAsia="Arial" w:hAnsi="Arial"/>
          <w:b/>
          <w:bCs/>
          <w:color w:val="000000"/>
          <w:sz w:val="22"/>
          <w:szCs w:val="22"/>
        </w:rPr>
        <w:t xml:space="preserve">Papakāinga: </w:t>
      </w:r>
      <w:r>
        <w:rPr>
          <w:rFonts w:ascii="Arial" w:cs="Arial" w:eastAsia="Arial" w:hAnsi="Arial"/>
          <w:color w:val="000000"/>
          <w:sz w:val="22"/>
          <w:szCs w:val="22"/>
        </w:rPr>
        <w:t xml:space="preserve">Communal whānau housing built on ancestral Māori land</w:t>
      </w:r>
    </w:p>
    <w:p>
      <w:pPr>
        <w:spacing w:after="60" w:before="60"/>
      </w:pPr>
      <w:r>
        <w:rPr>
          <w:rFonts w:ascii="Arial" w:cs="Arial" w:eastAsia="Arial" w:hAnsi="Arial"/>
          <w:b/>
          <w:bCs/>
          <w:color w:val="000000"/>
          <w:sz w:val="22"/>
          <w:szCs w:val="22"/>
        </w:rPr>
        <w:t xml:space="preserve">Marae: </w:t>
      </w:r>
      <w:r>
        <w:rPr>
          <w:rFonts w:ascii="Arial" w:cs="Arial" w:eastAsia="Arial" w:hAnsi="Arial"/>
          <w:color w:val="000000"/>
          <w:sz w:val="22"/>
          <w:szCs w:val="22"/>
        </w:rPr>
        <w:t xml:space="preserve">The communal and sacred gathering place of the whānau</w:t>
      </w:r>
    </w:p>
    <w:p>
      <w:pPr>
        <w:spacing w:after="60" w:before="60"/>
      </w:pPr>
      <w:r>
        <w:rPr>
          <w:rFonts w:ascii="Arial" w:cs="Arial" w:eastAsia="Arial" w:hAnsi="Arial"/>
          <w:b/>
          <w:bCs/>
          <w:color w:val="000000"/>
          <w:sz w:val="22"/>
          <w:szCs w:val="22"/>
        </w:rPr>
        <w:t xml:space="preserve">Kaitiakitanga: </w:t>
      </w:r>
      <w:r>
        <w:rPr>
          <w:rFonts w:ascii="Arial" w:cs="Arial" w:eastAsia="Arial" w:hAnsi="Arial"/>
          <w:color w:val="000000"/>
          <w:sz w:val="22"/>
          <w:szCs w:val="22"/>
        </w:rPr>
        <w:t xml:space="preserve">Guardianship and stewardship of the whēnua for present and future generations</w:t>
      </w:r>
    </w:p>
    <w:p>
      <w:pPr>
        <w:spacing w:after="60" w:before="60"/>
      </w:pPr>
      <w:r>
        <w:rPr>
          <w:rFonts w:ascii="Arial" w:cs="Arial" w:eastAsia="Arial" w:hAnsi="Arial"/>
          <w:b/>
          <w:bCs/>
          <w:color w:val="000000"/>
          <w:sz w:val="22"/>
          <w:szCs w:val="22"/>
        </w:rPr>
        <w:t xml:space="preserve">Kaumatua: </w:t>
      </w:r>
      <w:r>
        <w:rPr>
          <w:rFonts w:ascii="Arial" w:cs="Arial" w:eastAsia="Arial" w:hAnsi="Arial"/>
          <w:color w:val="000000"/>
          <w:sz w:val="22"/>
          <w:szCs w:val="22"/>
        </w:rPr>
        <w:t xml:space="preserve">Respected elders (70+ years for grant eligibility purposes)</w:t>
      </w:r>
    </w:p>
    <w:p>
      <w:pPr>
        <w:spacing w:after="60" w:before="60"/>
      </w:pPr>
      <w:r>
        <w:rPr>
          <w:rFonts w:ascii="Arial" w:cs="Arial" w:eastAsia="Arial" w:hAnsi="Arial"/>
          <w:b/>
          <w:bCs/>
          <w:color w:val="000000"/>
          <w:sz w:val="22"/>
          <w:szCs w:val="22"/>
        </w:rPr>
        <w:t xml:space="preserve">Kuia: </w:t>
      </w:r>
      <w:r>
        <w:rPr>
          <w:rFonts w:ascii="Arial" w:cs="Arial" w:eastAsia="Arial" w:hAnsi="Arial"/>
          <w:color w:val="000000"/>
          <w:sz w:val="22"/>
          <w:szCs w:val="22"/>
        </w:rPr>
        <w:t xml:space="preserve">Respected female elders</w:t>
      </w:r>
    </w:p>
    <w:p>
      <w:pPr>
        <w:spacing w:after="60" w:before="60"/>
      </w:pPr>
      <w:r>
        <w:rPr>
          <w:rFonts w:ascii="Arial" w:cs="Arial" w:eastAsia="Arial" w:hAnsi="Arial"/>
          <w:b/>
          <w:bCs/>
          <w:color w:val="000000"/>
          <w:sz w:val="22"/>
          <w:szCs w:val="22"/>
        </w:rPr>
        <w:t xml:space="preserve">Kaupapa: </w:t>
      </w:r>
      <w:r>
        <w:rPr>
          <w:rFonts w:ascii="Arial" w:cs="Arial" w:eastAsia="Arial" w:hAnsi="Arial"/>
          <w:color w:val="000000"/>
          <w:sz w:val="22"/>
          <w:szCs w:val="22"/>
        </w:rPr>
        <w:t xml:space="preserve">Guiding principles; also used to describe the Trust’s fund management approach</w:t>
      </w:r>
    </w:p>
    <w:p>
      <w:pPr>
        <w:spacing w:after="60" w:before="60"/>
      </w:pPr>
      <w:r>
        <w:rPr>
          <w:rFonts w:ascii="Arial" w:cs="Arial" w:eastAsia="Arial" w:hAnsi="Arial"/>
          <w:b/>
          <w:bCs/>
          <w:color w:val="000000"/>
          <w:sz w:val="22"/>
          <w:szCs w:val="22"/>
        </w:rPr>
        <w:t xml:space="preserve">Tangihanga: </w:t>
      </w:r>
      <w:r>
        <w:rPr>
          <w:rFonts w:ascii="Arial" w:cs="Arial" w:eastAsia="Arial" w:hAnsi="Arial"/>
          <w:color w:val="000000"/>
          <w:sz w:val="22"/>
          <w:szCs w:val="22"/>
        </w:rPr>
        <w:t xml:space="preserve">Funeral; the Trust provides a tangihanga grant upon the passing of a direct whakapapa member</w:t>
      </w:r>
    </w:p>
    <w:p>
      <w:pPr>
        <w:spacing w:after="60" w:before="60"/>
      </w:pPr>
      <w:r>
        <w:rPr>
          <w:rFonts w:ascii="Arial" w:cs="Arial" w:eastAsia="Arial" w:hAnsi="Arial"/>
          <w:b/>
          <w:bCs/>
          <w:color w:val="000000"/>
          <w:sz w:val="22"/>
          <w:szCs w:val="22"/>
        </w:rPr>
        <w:t xml:space="preserve">Tāutoko: </w:t>
      </w:r>
      <w:r>
        <w:rPr>
          <w:rFonts w:ascii="Arial" w:cs="Arial" w:eastAsia="Arial" w:hAnsi="Arial"/>
          <w:color w:val="000000"/>
          <w:sz w:val="22"/>
          <w:szCs w:val="22"/>
        </w:rPr>
        <w:t xml:space="preserve">Support; a Whānau Tāutoko letter endorses a grant application</w:t>
      </w:r>
    </w:p>
    <w:p>
      <w:pPr>
        <w:spacing w:after="60" w:before="60"/>
      </w:pPr>
      <w:r>
        <w:rPr>
          <w:rFonts w:ascii="Arial" w:cs="Arial" w:eastAsia="Arial" w:hAnsi="Arial"/>
          <w:b/>
          <w:bCs/>
          <w:color w:val="000000"/>
          <w:sz w:val="22"/>
          <w:szCs w:val="22"/>
        </w:rPr>
        <w:t xml:space="preserve">Tuakana-teina: </w:t>
      </w:r>
      <w:r>
        <w:rPr>
          <w:rFonts w:ascii="Arial" w:cs="Arial" w:eastAsia="Arial" w:hAnsi="Arial"/>
          <w:color w:val="000000"/>
          <w:sz w:val="22"/>
          <w:szCs w:val="22"/>
        </w:rPr>
        <w:t xml:space="preserve">The mentoring principle used in succession planning</w:t>
      </w:r>
    </w:p>
    <w:p>
      <w:pPr>
        <w:spacing w:after="60" w:before="60"/>
      </w:pPr>
      <w:r>
        <w:rPr>
          <w:rFonts w:ascii="Arial" w:cs="Arial" w:eastAsia="Arial" w:hAnsi="Arial"/>
          <w:b/>
          <w:bCs/>
          <w:color w:val="000000"/>
          <w:sz w:val="22"/>
          <w:szCs w:val="22"/>
        </w:rPr>
        <w:t xml:space="preserve">Wānanga: </w:t>
      </w:r>
      <w:r>
        <w:rPr>
          <w:rFonts w:ascii="Arial" w:cs="Arial" w:eastAsia="Arial" w:hAnsi="Arial"/>
          <w:color w:val="000000"/>
          <w:sz w:val="22"/>
          <w:szCs w:val="22"/>
        </w:rPr>
        <w:t xml:space="preserve">A gathering for learning and sharing knowledge</w:t>
      </w:r>
    </w:p>
    <w:p>
      <w:pPr>
        <w:spacing w:after="60" w:before="60"/>
      </w:pPr>
      <w:r>
        <w:rPr>
          <w:rFonts w:ascii="Arial" w:cs="Arial" w:eastAsia="Arial" w:hAnsi="Arial"/>
          <w:b/>
          <w:bCs/>
          <w:color w:val="000000"/>
          <w:sz w:val="22"/>
          <w:szCs w:val="22"/>
        </w:rPr>
        <w:t xml:space="preserve">Tohu: </w:t>
      </w:r>
      <w:r>
        <w:rPr>
          <w:rFonts w:ascii="Arial" w:cs="Arial" w:eastAsia="Arial" w:hAnsi="Arial"/>
          <w:color w:val="000000"/>
          <w:sz w:val="22"/>
          <w:szCs w:val="22"/>
        </w:rPr>
        <w:t xml:space="preserve">Qualification or credential (in the context of education grants)</w:t>
      </w:r>
    </w:p>
    <w:p>
      <w:pPr>
        <w:spacing w:after="60" w:before="60"/>
      </w:pPr>
      <w:r>
        <w:rPr>
          <w:rFonts w:ascii="Arial" w:cs="Arial" w:eastAsia="Arial" w:hAnsi="Arial"/>
          <w:b/>
          <w:bCs/>
          <w:color w:val="000000"/>
          <w:sz w:val="22"/>
          <w:szCs w:val="22"/>
        </w:rPr>
        <w:t xml:space="preserve">Urūpā: </w:t>
      </w:r>
      <w:r>
        <w:rPr>
          <w:rFonts w:ascii="Arial" w:cs="Arial" w:eastAsia="Arial" w:hAnsi="Arial"/>
          <w:color w:val="000000"/>
          <w:sz w:val="22"/>
          <w:szCs w:val="22"/>
        </w:rPr>
        <w:t xml:space="preserve">Burial ground; Te Kakati No 1 block is known as the Urūpā</w:t>
      </w:r>
    </w:p>
    <w:p>
      <w:pPr>
        <w:pStyle w:val="Heading2"/>
        <w:spacing w:after="120" w:before="320"/>
      </w:pPr>
      <w:r>
        <w:rPr>
          <w:rFonts w:ascii="Arial" w:cs="Arial" w:eastAsia="Arial" w:hAnsi="Arial"/>
          <w:b/>
          <w:bCs/>
          <w:color w:val="000000"/>
          <w:sz w:val="28"/>
          <w:szCs w:val="28"/>
        </w:rPr>
        <w:t xml:space="preserve">Legal and Governance Terms</w:t>
      </w:r>
    </w:p>
    <w:p>
      <w:pPr>
        <w:spacing w:after="60" w:before="60"/>
      </w:pPr>
      <w:r>
        <w:rPr>
          <w:rFonts w:ascii="Arial" w:cs="Arial" w:eastAsia="Arial" w:hAnsi="Arial"/>
          <w:b/>
          <w:bCs/>
          <w:color w:val="000000"/>
          <w:sz w:val="22"/>
          <w:szCs w:val="22"/>
        </w:rPr>
        <w:t xml:space="preserve">Te Ture Whenua Māori Act 1993 (TTWMA): </w:t>
      </w:r>
      <w:r>
        <w:rPr>
          <w:rFonts w:ascii="Arial" w:cs="Arial" w:eastAsia="Arial" w:hAnsi="Arial"/>
          <w:color w:val="000000"/>
          <w:sz w:val="22"/>
          <w:szCs w:val="22"/>
        </w:rPr>
        <w:t xml:space="preserve">The primary legislation governing Māori land and Ahu Whenua Trusts in New Zealand</w:t>
      </w:r>
    </w:p>
    <w:p>
      <w:pPr>
        <w:spacing w:after="60" w:before="60"/>
      </w:pPr>
      <w:r>
        <w:rPr>
          <w:rFonts w:ascii="Arial" w:cs="Arial" w:eastAsia="Arial" w:hAnsi="Arial"/>
          <w:b/>
          <w:bCs/>
          <w:color w:val="000000"/>
          <w:sz w:val="22"/>
          <w:szCs w:val="22"/>
        </w:rPr>
        <w:t xml:space="preserve">Māori Land Court: </w:t>
      </w:r>
      <w:r>
        <w:rPr>
          <w:rFonts w:ascii="Arial" w:cs="Arial" w:eastAsia="Arial" w:hAnsi="Arial"/>
          <w:color w:val="000000"/>
          <w:sz w:val="22"/>
          <w:szCs w:val="22"/>
        </w:rPr>
        <w:t xml:space="preserve">The specialist court with jurisdiction over Māori freehold land and Trust Orders</w:t>
      </w:r>
    </w:p>
    <w:p>
      <w:pPr>
        <w:spacing w:after="60" w:before="60"/>
      </w:pPr>
      <w:r>
        <w:rPr>
          <w:rFonts w:ascii="Arial" w:cs="Arial" w:eastAsia="Arial" w:hAnsi="Arial"/>
          <w:b/>
          <w:bCs/>
          <w:color w:val="000000"/>
          <w:sz w:val="22"/>
          <w:szCs w:val="22"/>
        </w:rPr>
        <w:t xml:space="preserve">Trust Deed / Trust Order: </w:t>
      </w:r>
      <w:r>
        <w:rPr>
          <w:rFonts w:ascii="Arial" w:cs="Arial" w:eastAsia="Arial" w:hAnsi="Arial"/>
          <w:color w:val="000000"/>
          <w:sz w:val="22"/>
          <w:szCs w:val="22"/>
        </w:rPr>
        <w:t xml:space="preserve">The governing document of the Trust, confirmed by the Māori Land Court</w:t>
      </w:r>
    </w:p>
    <w:p>
      <w:pPr>
        <w:spacing w:after="60" w:before="60"/>
      </w:pPr>
      <w:r>
        <w:rPr>
          <w:rFonts w:ascii="Arial" w:cs="Arial" w:eastAsia="Arial" w:hAnsi="Arial"/>
          <w:b/>
          <w:bCs/>
          <w:color w:val="000000"/>
          <w:sz w:val="22"/>
          <w:szCs w:val="22"/>
        </w:rPr>
        <w:t xml:space="preserve">Owners: </w:t>
      </w:r>
      <w:r>
        <w:rPr>
          <w:rFonts w:ascii="Arial" w:cs="Arial" w:eastAsia="Arial" w:hAnsi="Arial"/>
          <w:color w:val="000000"/>
          <w:sz w:val="22"/>
          <w:szCs w:val="22"/>
        </w:rPr>
        <w:t xml:space="preserve">Persons recorded in the Māori Land Court as holding shares in Māori freehold land vested in the Trust</w:t>
      </w:r>
    </w:p>
    <w:p>
      <w:pPr>
        <w:spacing w:after="60" w:before="60"/>
      </w:pPr>
      <w:r>
        <w:rPr>
          <w:rFonts w:ascii="Arial" w:cs="Arial" w:eastAsia="Arial" w:hAnsi="Arial"/>
          <w:b/>
          <w:bCs/>
          <w:color w:val="000000"/>
          <w:sz w:val="22"/>
          <w:szCs w:val="22"/>
        </w:rPr>
        <w:t xml:space="preserve">Beneficiaries: </w:t>
      </w:r>
      <w:r>
        <w:rPr>
          <w:rFonts w:ascii="Arial" w:cs="Arial" w:eastAsia="Arial" w:hAnsi="Arial"/>
          <w:color w:val="000000"/>
          <w:sz w:val="22"/>
          <w:szCs w:val="22"/>
        </w:rPr>
        <w:t xml:space="preserve">The wider whānau who whakapapa to the tūpuna lines and may receive Trust benefits</w:t>
      </w:r>
    </w:p>
    <w:p>
      <w:pPr>
        <w:spacing w:after="60" w:before="60"/>
      </w:pPr>
      <w:r>
        <w:rPr>
          <w:rFonts w:ascii="Arial" w:cs="Arial" w:eastAsia="Arial" w:hAnsi="Arial"/>
          <w:b/>
          <w:bCs/>
          <w:color w:val="000000"/>
          <w:sz w:val="22"/>
          <w:szCs w:val="22"/>
        </w:rPr>
        <w:t xml:space="preserve">AGM: </w:t>
      </w:r>
      <w:r>
        <w:rPr>
          <w:rFonts w:ascii="Arial" w:cs="Arial" w:eastAsia="Arial" w:hAnsi="Arial"/>
          <w:color w:val="000000"/>
          <w:sz w:val="22"/>
          <w:szCs w:val="22"/>
        </w:rPr>
        <w:t xml:space="preserve">Annual General Meeting — held every 12 months</w:t>
      </w:r>
    </w:p>
    <w:p>
      <w:pPr>
        <w:spacing w:after="60" w:before="60"/>
      </w:pPr>
      <w:r>
        <w:rPr>
          <w:rFonts w:ascii="Arial" w:cs="Arial" w:eastAsia="Arial" w:hAnsi="Arial"/>
          <w:b/>
          <w:bCs/>
          <w:color w:val="000000"/>
          <w:sz w:val="22"/>
          <w:szCs w:val="22"/>
        </w:rPr>
        <w:t xml:space="preserve">4th AGM: </w:t>
      </w:r>
      <w:r>
        <w:rPr>
          <w:rFonts w:ascii="Arial" w:cs="Arial" w:eastAsia="Arial" w:hAnsi="Arial"/>
          <w:color w:val="000000"/>
          <w:sz w:val="22"/>
          <w:szCs w:val="22"/>
        </w:rPr>
        <w:t xml:space="preserve">Held every four years; includes trustee rotation, account audit, and trust deed changes</w:t>
      </w:r>
    </w:p>
    <w:p>
      <w:pPr>
        <w:spacing w:after="60" w:before="60"/>
      </w:pPr>
      <w:r>
        <w:rPr>
          <w:rFonts w:ascii="Arial" w:cs="Arial" w:eastAsia="Arial" w:hAnsi="Arial"/>
          <w:b/>
          <w:bCs/>
          <w:color w:val="000000"/>
          <w:sz w:val="22"/>
          <w:szCs w:val="22"/>
        </w:rPr>
        <w:t xml:space="preserve">Quorum: </w:t>
      </w:r>
      <w:r>
        <w:rPr>
          <w:rFonts w:ascii="Arial" w:cs="Arial" w:eastAsia="Arial" w:hAnsi="Arial"/>
          <w:color w:val="000000"/>
          <w:sz w:val="22"/>
          <w:szCs w:val="22"/>
        </w:rPr>
        <w:t xml:space="preserve">Minimum trustees required for a valid meeting — six (6)</w:t>
      </w:r>
    </w:p>
    <w:p>
      <w:pPr>
        <w:spacing w:after="60" w:before="60"/>
      </w:pPr>
      <w:r>
        <w:rPr>
          <w:rFonts w:ascii="Arial" w:cs="Arial" w:eastAsia="Arial" w:hAnsi="Arial"/>
          <w:b/>
          <w:bCs/>
          <w:color w:val="000000"/>
          <w:sz w:val="22"/>
          <w:szCs w:val="22"/>
        </w:rPr>
        <w:t xml:space="preserve">Collective Voting Method: </w:t>
      </w:r>
      <w:r>
        <w:rPr>
          <w:rFonts w:ascii="Arial" w:cs="Arial" w:eastAsia="Arial" w:hAnsi="Arial"/>
          <w:color w:val="000000"/>
          <w:sz w:val="22"/>
          <w:szCs w:val="22"/>
        </w:rPr>
        <w:t xml:space="preserve">Broader whānau voting process for substantial decisions</w:t>
      </w:r>
    </w:p>
    <w:p>
      <w:pPr>
        <w:spacing w:after="60" w:before="60"/>
      </w:pPr>
      <w:r>
        <w:rPr>
          <w:rFonts w:ascii="Arial" w:cs="Arial" w:eastAsia="Arial" w:hAnsi="Arial"/>
          <w:b/>
          <w:bCs/>
          <w:color w:val="000000"/>
          <w:sz w:val="22"/>
          <w:szCs w:val="22"/>
        </w:rPr>
        <w:t xml:space="preserve">Proxy: </w:t>
      </w:r>
      <w:r>
        <w:rPr>
          <w:rFonts w:ascii="Arial" w:cs="Arial" w:eastAsia="Arial" w:hAnsi="Arial"/>
          <w:color w:val="000000"/>
          <w:sz w:val="22"/>
          <w:szCs w:val="22"/>
        </w:rPr>
        <w:t xml:space="preserve">Written authority for a beneficiary to nominate another person to vote on their behalf</w:t>
      </w:r>
    </w:p>
    <w:p>
      <w:pPr>
        <w:spacing w:after="60" w:before="60"/>
      </w:pPr>
      <w:r>
        <w:rPr>
          <w:rFonts w:ascii="Arial" w:cs="Arial" w:eastAsia="Arial" w:hAnsi="Arial"/>
          <w:b/>
          <w:bCs/>
          <w:color w:val="000000"/>
          <w:sz w:val="22"/>
          <w:szCs w:val="22"/>
        </w:rPr>
        <w:t xml:space="preserve">Conflict of Interest: </w:t>
      </w:r>
      <w:r>
        <w:rPr>
          <w:rFonts w:ascii="Arial" w:cs="Arial" w:eastAsia="Arial" w:hAnsi="Arial"/>
          <w:color w:val="000000"/>
          <w:sz w:val="22"/>
          <w:szCs w:val="22"/>
        </w:rPr>
        <w:t xml:space="preserve">When a trustee’s personal interests conflict with their duties; managed under Schedule 9</w:t>
      </w:r>
    </w:p>
    <w:p>
      <w:pPr>
        <w:spacing w:after="60" w:before="60"/>
      </w:pPr>
      <w:r>
        <w:rPr>
          <w:rFonts w:ascii="Arial" w:cs="Arial" w:eastAsia="Arial" w:hAnsi="Arial"/>
          <w:b/>
          <w:bCs/>
          <w:color w:val="000000"/>
          <w:sz w:val="22"/>
          <w:szCs w:val="22"/>
        </w:rPr>
        <w:t xml:space="preserve">Delegated Financial Authority: </w:t>
      </w:r>
      <w:r>
        <w:rPr>
          <w:rFonts w:ascii="Arial" w:cs="Arial" w:eastAsia="Arial" w:hAnsi="Arial"/>
          <w:color w:val="000000"/>
          <w:sz w:val="22"/>
          <w:szCs w:val="22"/>
        </w:rPr>
        <w:t xml:space="preserve">Spending limits for trustees and officers as set out in Schedule 8</w:t>
      </w:r>
    </w:p>
    <w:p>
      <w:pPr>
        <w:spacing w:after="60" w:before="60"/>
      </w:pPr>
      <w:r>
        <w:rPr>
          <w:rFonts w:ascii="Arial" w:cs="Arial" w:eastAsia="Arial" w:hAnsi="Arial"/>
          <w:b/>
          <w:bCs/>
          <w:color w:val="000000"/>
          <w:sz w:val="22"/>
          <w:szCs w:val="22"/>
        </w:rPr>
        <w:t xml:space="preserve">GAAP: </w:t>
      </w:r>
      <w:r>
        <w:rPr>
          <w:rFonts w:ascii="Arial" w:cs="Arial" w:eastAsia="Arial" w:hAnsi="Arial"/>
          <w:color w:val="000000"/>
          <w:sz w:val="22"/>
          <w:szCs w:val="22"/>
        </w:rPr>
        <w:t xml:space="preserve">Generally Accepted Accounting Principles — the standard for Trust accounts</w:t>
      </w:r>
    </w:p>
    <w:p>
      <w:pPr>
        <w:pStyle w:val="Heading2"/>
        <w:spacing w:after="120" w:before="320"/>
      </w:pPr>
      <w:r>
        <w:rPr>
          <w:rFonts w:ascii="Arial" w:cs="Arial" w:eastAsia="Arial" w:hAnsi="Arial"/>
          <w:b/>
          <w:bCs/>
          <w:color w:val="000000"/>
          <w:sz w:val="28"/>
          <w:szCs w:val="28"/>
        </w:rPr>
        <w:t xml:space="preserve">Land Blocks</w:t>
      </w:r>
    </w:p>
    <w:p>
      <w:pPr>
        <w:spacing w:after="60" w:before="60"/>
      </w:pPr>
      <w:r>
        <w:rPr>
          <w:rFonts w:ascii="Arial" w:cs="Arial" w:eastAsia="Arial" w:hAnsi="Arial"/>
          <w:b/>
          <w:bCs/>
          <w:color w:val="000000"/>
          <w:sz w:val="22"/>
          <w:szCs w:val="22"/>
        </w:rPr>
        <w:t xml:space="preserve">Pakirarahi No.1B: </w:t>
      </w:r>
      <w:r>
        <w:rPr>
          <w:rFonts w:ascii="Arial" w:cs="Arial" w:eastAsia="Arial" w:hAnsi="Arial"/>
          <w:color w:val="000000"/>
          <w:sz w:val="22"/>
          <w:szCs w:val="22"/>
        </w:rPr>
        <w:t xml:space="preserve">The original Trust block; the Trust was formerly the Pakirarahi No.1B Trust</w:t>
      </w:r>
    </w:p>
    <w:p>
      <w:pPr>
        <w:spacing w:after="60" w:before="60"/>
      </w:pPr>
      <w:r>
        <w:rPr>
          <w:rFonts w:ascii="Arial" w:cs="Arial" w:eastAsia="Arial" w:hAnsi="Arial"/>
          <w:b/>
          <w:bCs/>
          <w:color w:val="000000"/>
          <w:sz w:val="22"/>
          <w:szCs w:val="22"/>
        </w:rPr>
        <w:t xml:space="preserve">Te Kakati No 1 (Urūpā): </w:t>
      </w:r>
      <w:r>
        <w:rPr>
          <w:rFonts w:ascii="Arial" w:cs="Arial" w:eastAsia="Arial" w:hAnsi="Arial"/>
          <w:color w:val="000000"/>
          <w:sz w:val="22"/>
          <w:szCs w:val="22"/>
        </w:rPr>
        <w:t xml:space="preserve">Māori freehold land block known as the Urūpā</w:t>
      </w:r>
    </w:p>
    <w:p>
      <w:pPr>
        <w:spacing w:after="60" w:before="60"/>
      </w:pPr>
      <w:r>
        <w:rPr>
          <w:rFonts w:ascii="Arial" w:cs="Arial" w:eastAsia="Arial" w:hAnsi="Arial"/>
          <w:b/>
          <w:bCs/>
          <w:color w:val="000000"/>
          <w:sz w:val="22"/>
          <w:szCs w:val="22"/>
        </w:rPr>
        <w:t xml:space="preserve">Te Kakati No 2: </w:t>
      </w:r>
      <w:r>
        <w:rPr>
          <w:rFonts w:ascii="Arial" w:cs="Arial" w:eastAsia="Arial" w:hAnsi="Arial"/>
          <w:color w:val="000000"/>
          <w:sz w:val="22"/>
          <w:szCs w:val="22"/>
        </w:rPr>
        <w:t xml:space="preserve">Māori freehold land block known as Te Kakati Number 2</w:t>
      </w:r>
    </w:p>
    <w:p>
      <w:pPr>
        <w:spacing w:after="60" w:before="60"/>
      </w:pPr>
      <w:r>
        <w:rPr>
          <w:rFonts w:ascii="Arial" w:cs="Arial" w:eastAsia="Arial" w:hAnsi="Arial"/>
          <w:b/>
          <w:bCs/>
          <w:color w:val="000000"/>
          <w:sz w:val="22"/>
          <w:szCs w:val="22"/>
        </w:rPr>
        <w:t xml:space="preserve">4ML Te Kakati: </w:t>
      </w:r>
      <w:r>
        <w:rPr>
          <w:rFonts w:ascii="Arial" w:cs="Arial" w:eastAsia="Arial" w:hAnsi="Arial"/>
          <w:color w:val="000000"/>
          <w:sz w:val="22"/>
          <w:szCs w:val="22"/>
        </w:rPr>
        <w:t xml:space="preserve">Māori freehold land block known as Te Kakati Number 4</w:t>
      </w:r>
    </w:p>
    <w:p>
      <w:pPr>
        <w:spacing w:after="60" w:before="60"/>
      </w:pPr>
      <w:r>
        <w:rPr>
          <w:rFonts w:ascii="Arial" w:cs="Arial" w:eastAsia="Arial" w:hAnsi="Arial"/>
          <w:b/>
          <w:bCs/>
          <w:color w:val="000000"/>
          <w:sz w:val="22"/>
          <w:szCs w:val="22"/>
        </w:rPr>
        <w:t xml:space="preserve">Whakairipaoa No 2: </w:t>
      </w:r>
      <w:r>
        <w:rPr>
          <w:rFonts w:ascii="Arial" w:cs="Arial" w:eastAsia="Arial" w:hAnsi="Arial"/>
          <w:color w:val="000000"/>
          <w:sz w:val="22"/>
          <w:szCs w:val="22"/>
        </w:rPr>
        <w:t xml:space="preserve">Māori freehold land block known as Whakairipaoa 2</w:t>
      </w:r>
    </w:p>
    <w:p>
      <w:pPr>
        <w:pStyle w:val="Heading2"/>
        <w:spacing w:after="120" w:before="320"/>
      </w:pPr>
      <w:r>
        <w:rPr>
          <w:rFonts w:ascii="Arial" w:cs="Arial" w:eastAsia="Arial" w:hAnsi="Arial"/>
          <w:b/>
          <w:bCs/>
          <w:color w:val="000000"/>
          <w:sz w:val="28"/>
          <w:szCs w:val="28"/>
        </w:rPr>
        <w:t xml:space="preserve">Grant Types</w:t>
      </w:r>
    </w:p>
    <w:p>
      <w:pPr>
        <w:spacing w:after="60" w:before="60"/>
      </w:pPr>
      <w:r>
        <w:rPr>
          <w:rFonts w:ascii="Arial" w:cs="Arial" w:eastAsia="Arial" w:hAnsi="Arial"/>
          <w:b/>
          <w:bCs/>
          <w:color w:val="000000"/>
          <w:sz w:val="22"/>
          <w:szCs w:val="22"/>
        </w:rPr>
        <w:t xml:space="preserve">Higher Education grant: </w:t>
      </w:r>
      <w:r>
        <w:rPr>
          <w:rFonts w:ascii="Arial" w:cs="Arial" w:eastAsia="Arial" w:hAnsi="Arial"/>
          <w:color w:val="000000"/>
          <w:sz w:val="22"/>
          <w:szCs w:val="22"/>
        </w:rPr>
        <w:t xml:space="preserve">Annual grant for beneficiaries in tertiary education; apply by 31 May</w:t>
      </w:r>
    </w:p>
    <w:p>
      <w:pPr>
        <w:spacing w:after="60" w:before="60"/>
      </w:pPr>
      <w:r>
        <w:rPr>
          <w:rFonts w:ascii="Arial" w:cs="Arial" w:eastAsia="Arial" w:hAnsi="Arial"/>
          <w:b/>
          <w:bCs/>
          <w:color w:val="000000"/>
          <w:sz w:val="22"/>
          <w:szCs w:val="22"/>
        </w:rPr>
        <w:t xml:space="preserve">International Sports Representation grant: </w:t>
      </w:r>
      <w:r>
        <w:rPr>
          <w:rFonts w:ascii="Arial" w:cs="Arial" w:eastAsia="Arial" w:hAnsi="Arial"/>
          <w:color w:val="000000"/>
          <w:sz w:val="22"/>
          <w:szCs w:val="22"/>
        </w:rPr>
        <w:t xml:space="preserve">Annual grant for beneficiaries representing internationally; apply by 31 May</w:t>
      </w:r>
    </w:p>
    <w:p>
      <w:pPr>
        <w:spacing w:after="60" w:before="60"/>
      </w:pPr>
      <w:r>
        <w:rPr>
          <w:rFonts w:ascii="Arial" w:cs="Arial" w:eastAsia="Arial" w:hAnsi="Arial"/>
          <w:b/>
          <w:bCs/>
          <w:color w:val="000000"/>
          <w:sz w:val="22"/>
          <w:szCs w:val="22"/>
        </w:rPr>
        <w:t xml:space="preserve">Kaumatua grant: </w:t>
      </w:r>
      <w:r>
        <w:rPr>
          <w:rFonts w:ascii="Arial" w:cs="Arial" w:eastAsia="Arial" w:hAnsi="Arial"/>
          <w:color w:val="000000"/>
          <w:sz w:val="22"/>
          <w:szCs w:val="22"/>
        </w:rPr>
        <w:t xml:space="preserve">Annual grant for beneficiaries aged 70 and over</w:t>
      </w:r>
    </w:p>
    <w:p>
      <w:pPr>
        <w:spacing w:after="60" w:before="60"/>
      </w:pPr>
      <w:r>
        <w:rPr>
          <w:rFonts w:ascii="Arial" w:cs="Arial" w:eastAsia="Arial" w:hAnsi="Arial"/>
          <w:b/>
          <w:bCs/>
          <w:color w:val="000000"/>
          <w:sz w:val="22"/>
          <w:szCs w:val="22"/>
        </w:rPr>
        <w:t xml:space="preserve">Tangihanga grant: </w:t>
      </w:r>
      <w:r>
        <w:rPr>
          <w:rFonts w:ascii="Arial" w:cs="Arial" w:eastAsia="Arial" w:hAnsi="Arial"/>
          <w:color w:val="000000"/>
          <w:sz w:val="22"/>
          <w:szCs w:val="22"/>
        </w:rPr>
        <w:t xml:space="preserve">Grant paid directly to whānau nominated bank account upon passing of a beneficiary</w:t>
      </w:r>
    </w:p>
    <w:p>
      <w:pPr>
        <w:pStyle w:val="Heading2"/>
        <w:spacing w:after="120" w:before="320"/>
      </w:pPr>
      <w:r>
        <w:rPr>
          <w:rFonts w:ascii="Arial" w:cs="Arial" w:eastAsia="Arial" w:hAnsi="Arial"/>
          <w:b/>
          <w:bCs/>
          <w:color w:val="000000"/>
          <w:sz w:val="28"/>
          <w:szCs w:val="28"/>
        </w:rPr>
        <w:t xml:space="preserve">Tools and Systems</w:t>
      </w:r>
    </w:p>
    <w:p>
      <w:pPr>
        <w:spacing w:after="60" w:before="60"/>
      </w:pPr>
      <w:r>
        <w:rPr>
          <w:rFonts w:ascii="Arial" w:cs="Arial" w:eastAsia="Arial" w:hAnsi="Arial"/>
          <w:b/>
          <w:bCs/>
          <w:color w:val="000000"/>
          <w:sz w:val="22"/>
          <w:szCs w:val="22"/>
        </w:rPr>
        <w:t xml:space="preserve">Xero: </w:t>
      </w:r>
      <w:r>
        <w:rPr>
          <w:rFonts w:ascii="Arial" w:cs="Arial" w:eastAsia="Arial" w:hAnsi="Arial"/>
          <w:color w:val="000000"/>
          <w:sz w:val="22"/>
          <w:szCs w:val="22"/>
        </w:rPr>
        <w:t xml:space="preserve">Accounting and financial management software used by the Trust</w:t>
      </w:r>
    </w:p>
    <w:p>
      <w:pPr>
        <w:spacing w:after="60" w:before="60"/>
      </w:pPr>
      <w:r>
        <w:rPr>
          <w:rFonts w:ascii="Arial" w:cs="Arial" w:eastAsia="Arial" w:hAnsi="Arial"/>
          <w:b/>
          <w:bCs/>
          <w:color w:val="000000"/>
          <w:sz w:val="22"/>
          <w:szCs w:val="22"/>
        </w:rPr>
        <w:t xml:space="preserve">Google Workspace: </w:t>
      </w:r>
      <w:r>
        <w:rPr>
          <w:rFonts w:ascii="Arial" w:cs="Arial" w:eastAsia="Arial" w:hAnsi="Arial"/>
          <w:color w:val="000000"/>
          <w:sz w:val="22"/>
          <w:szCs w:val="22"/>
        </w:rPr>
        <w:t xml:space="preserve">Document management and communication tools</w:t>
      </w:r>
    </w:p>
    <w:p>
      <w:pPr>
        <w:spacing w:after="60" w:before="60"/>
      </w:pPr>
      <w:r>
        <w:rPr>
          <w:rFonts w:ascii="Arial" w:cs="Arial" w:eastAsia="Arial" w:hAnsi="Arial"/>
          <w:b/>
          <w:bCs/>
          <w:color w:val="000000"/>
          <w:sz w:val="22"/>
          <w:szCs w:val="22"/>
        </w:rPr>
        <w:t xml:space="preserve">Schedule 0: </w:t>
      </w:r>
      <w:r>
        <w:rPr>
          <w:rFonts w:ascii="Arial" w:cs="Arial" w:eastAsia="Arial" w:hAnsi="Arial"/>
          <w:color w:val="000000"/>
          <w:sz w:val="22"/>
          <w:szCs w:val="22"/>
        </w:rPr>
        <w:t xml:space="preserve">The Beneficiaries Register</w:t>
      </w:r>
    </w:p>
    <w:p>
      <w:pPr>
        <w:spacing w:after="60" w:before="60"/>
      </w:pPr>
      <w:r>
        <w:rPr>
          <w:rFonts w:ascii="Arial" w:cs="Arial" w:eastAsia="Arial" w:hAnsi="Arial"/>
          <w:b/>
          <w:bCs/>
          <w:color w:val="000000"/>
          <w:sz w:val="22"/>
          <w:szCs w:val="22"/>
        </w:rPr>
        <w:t xml:space="preserve">Schedule 7: </w:t>
      </w:r>
      <w:r>
        <w:rPr>
          <w:rFonts w:ascii="Arial" w:cs="Arial" w:eastAsia="Arial" w:hAnsi="Arial"/>
          <w:color w:val="000000"/>
          <w:sz w:val="22"/>
          <w:szCs w:val="22"/>
        </w:rPr>
        <w:t xml:space="preserve">The Communication Strategy</w:t>
      </w:r>
    </w:p>
    <w:p>
      <w:pPr>
        <w:spacing w:after="60" w:before="60"/>
      </w:pPr>
      <w:r>
        <w:rPr>
          <w:rFonts w:ascii="Arial" w:cs="Arial" w:eastAsia="Arial" w:hAnsi="Arial"/>
          <w:b/>
          <w:bCs/>
          <w:color w:val="000000"/>
          <w:sz w:val="22"/>
          <w:szCs w:val="22"/>
        </w:rPr>
        <w:t xml:space="preserve">Schedule 8: </w:t>
      </w:r>
      <w:r>
        <w:rPr>
          <w:rFonts w:ascii="Arial" w:cs="Arial" w:eastAsia="Arial" w:hAnsi="Arial"/>
          <w:color w:val="000000"/>
          <w:sz w:val="22"/>
          <w:szCs w:val="22"/>
        </w:rPr>
        <w:t xml:space="preserve">Delegated Financial Authority — spending limits</w:t>
      </w:r>
    </w:p>
    <w:p>
      <w:pPr>
        <w:spacing w:after="60" w:before="60"/>
      </w:pPr>
      <w:r>
        <w:rPr>
          <w:rFonts w:ascii="Arial" w:cs="Arial" w:eastAsia="Arial" w:hAnsi="Arial"/>
          <w:b/>
          <w:bCs/>
          <w:color w:val="000000"/>
          <w:sz w:val="22"/>
          <w:szCs w:val="22"/>
        </w:rPr>
        <w:t xml:space="preserve">Schedule 9: </w:t>
      </w:r>
      <w:r>
        <w:rPr>
          <w:rFonts w:ascii="Arial" w:cs="Arial" w:eastAsia="Arial" w:hAnsi="Arial"/>
          <w:color w:val="000000"/>
          <w:sz w:val="22"/>
          <w:szCs w:val="22"/>
        </w:rPr>
        <w:t xml:space="preserve">Conflict of Interest Policy and Register</w:t>
      </w:r>
    </w:p>
    <w:p>
      <w:pPr>
        <w:spacing w:after="60" w:before="60"/>
      </w:pPr>
      <w:r>
        <w:rPr>
          <w:rFonts w:ascii="Arial" w:cs="Arial" w:eastAsia="Arial" w:hAnsi="Arial"/>
          <w:b/>
          <w:bCs/>
          <w:color w:val="000000"/>
          <w:sz w:val="22"/>
          <w:szCs w:val="22"/>
        </w:rPr>
        <w:t xml:space="preserve">Schedules 10–13: </w:t>
      </w:r>
      <w:r>
        <w:rPr>
          <w:rFonts w:ascii="Arial" w:cs="Arial" w:eastAsia="Arial" w:hAnsi="Arial"/>
          <w:color w:val="000000"/>
          <w:sz w:val="22"/>
          <w:szCs w:val="22"/>
        </w:rPr>
        <w:t xml:space="preserve">Papakāinga schedules including Licences to Occupy</w:t>
      </w:r>
    </w:p>
    <w:p>
      <w:pPr>
        <w:pBdr>
          <w:bottom w:val="single" w:color="AAAAAA" w:sz="2" w:space="1"/>
        </w:pBdr>
        <w:spacing w:after="240" w:before="240"/>
      </w:pPr>
      <w:r>
        <w:t xml:space="preserve"/>
      </w:r>
    </w:p>
    <w:p>
      <w:pPr>
        <w:spacing w:after="60" w:before="60"/>
      </w:pPr>
      <w:r>
        <w:t xml:space="preserve"/>
      </w:r>
    </w:p>
    <w:p>
      <w:pPr>
        <w:spacing w:after="80" w:before="200"/>
        <w:jc w:val="center"/>
      </w:pPr>
      <w:r>
        <w:rPr>
          <w:rFonts w:ascii="Arial" w:cs="Arial" w:eastAsia="Arial" w:hAnsi="Arial"/>
          <w:i/>
          <w:iCs/>
          <w:color w:val="666666"/>
          <w:sz w:val="18"/>
          <w:szCs w:val="18"/>
        </w:rPr>
        <w:t xml:space="preserve">This Operating Manual is an internal document for use with AI tools and new trustees. It is not a public document.</w:t>
      </w:r>
    </w:p>
    <w:p>
      <w:pPr>
        <w:spacing w:after="80" w:before="0"/>
        <w:jc w:val="center"/>
      </w:pPr>
      <w:r>
        <w:rPr>
          <w:rFonts w:ascii="Arial" w:cs="Arial" w:eastAsia="Arial" w:hAnsi="Arial"/>
          <w:i/>
          <w:iCs/>
          <w:color w:val="666666"/>
          <w:sz w:val="18"/>
          <w:szCs w:val="18"/>
        </w:rPr>
        <w:t xml:space="preserve">Ngāti Hikairo Ahu Whenua Trust  —  Version 1.1  —  May 2026</w:t>
      </w:r>
    </w:p>
    <w:p>
      <w:pPr>
        <w:spacing w:after="80" w:before="0"/>
        <w:jc w:val="center"/>
      </w:pPr>
      <w:r>
        <w:rPr>
          <w:rFonts w:ascii="Arial" w:cs="Arial" w:eastAsia="Arial" w:hAnsi="Arial"/>
          <w:i/>
          <w:iCs/>
          <w:color w:val="666666"/>
          <w:sz w:val="18"/>
          <w:szCs w:val="18"/>
        </w:rPr>
        <w:t xml:space="preserve">He whenua, he oranga.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2026-05-26T03:56:07.117Z</dcterms:created>
  <dcterms:modified xsi:type="dcterms:W3CDTF">2026-05-26T03:56:07.118Z</dcterms:modified>
</cp:coreProperties>
</file>

<file path=docProps/custom.xml><?xml version="1.0" encoding="utf-8"?>
<Properties xmlns="http://schemas.openxmlformats.org/officeDocument/2006/custom-properties" xmlns:vt="http://schemas.openxmlformats.org/officeDocument/2006/docPropsVTypes"/>
</file>