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  <w:keepNext/>
      </w:pPr>
      <w:r>
        <w:rPr>
          <w:rFonts w:ascii="맑은 고딕" w:hAnsi="맑은 고딕" w:eastAsia="맑은 고딕"/>
          <w:b/>
          <w:color w:val="1F4E79"/>
          <w:sz w:val="36"/>
        </w:rPr>
        <w:t>AI 응답 최종 품질판정서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B6573"/>
          <w:sz w:val="19"/>
        </w:rPr>
        <w:t>리포트 v4 기반 · 답변 A/B/C 최종 판정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7F7F7F"/>
          <w:left w:val="single" w:sz="5" w:color="7F7F7F"/>
          <w:bottom w:val="single" w:sz="5" w:color="7F7F7F"/>
          <w:right w:val="single" w:sz="5" w:color="7F7F7F"/>
          <w:insideH w:val="single" w:sz="5" w:color="7F7F7F"/>
          <w:insideV w:val="single" w:sz="5" w:color="7F7F7F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20"/>
              </w:rPr>
              <w:t>실습 주제</w:t>
            </w:r>
          </w:p>
        </w:tc>
        <w:tc>
          <w:tcPr>
            <w:tcW w:type="dxa" w:w="7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F1F1F"/>
                <w:sz w:val="20"/>
              </w:rPr>
              <w:t>고객 불만에 대한 AI 개선안 평가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20"/>
              </w:rPr>
              <w:t>평가 범위</w:t>
            </w:r>
          </w:p>
        </w:tc>
        <w:tc>
          <w:tcPr>
            <w:tcW w:type="dxa" w:w="7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F1F1F"/>
                <w:sz w:val="20"/>
              </w:rPr>
              <w:t>AI 개선안 답변 A·B·C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20"/>
              </w:rPr>
              <w:t>작성자</w:t>
            </w:r>
          </w:p>
        </w:tc>
        <w:tc>
          <w:tcPr>
            <w:tcW w:type="dxa" w:w="7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F1F1F"/>
                <w:sz w:val="20"/>
              </w:rPr>
              <w:t>수강생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20"/>
              </w:rPr>
              <w:t>작성일</w:t>
            </w:r>
          </w:p>
        </w:tc>
        <w:tc>
          <w:tcPr>
            <w:tcW w:type="dxa" w:w="7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F1F1F"/>
                <w:sz w:val="20"/>
              </w:rPr>
              <w:t>2026-07-20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70AD47"/>
          <w:left w:val="single" w:sz="7" w:color="70AD47"/>
          <w:bottom w:val="single" w:sz="7" w:color="70AD47"/>
          <w:right w:val="single" w:sz="7" w:color="70AD47"/>
          <w:insideH w:val="single" w:sz="7" w:color="70AD47"/>
          <w:insideV w:val="single" w:sz="7" w:color="70AD47"/>
        </w:tblBorders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shd w:fill="70AD47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최종 결정</w:t>
            </w:r>
          </w:p>
        </w:tc>
        <w:tc>
          <w:tcPr>
            <w:tcW w:type="dxa" w:w="7860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/>
                <w:color w:val="1F1F1F"/>
                <w:sz w:val="20"/>
              </w:rPr>
              <w:t>답변 B 최종 채택 · 답변 A와 답변 C는 재작성 후 재평가</w:t>
            </w:r>
          </w:p>
        </w:tc>
      </w:tr>
    </w:tbl>
    <w:p>
      <w:pPr>
        <w:spacing w:after="0"/>
      </w:pPr>
    </w:p>
    <w:p>
      <w:pPr>
        <w:pStyle w:val="ReportHeading1"/>
      </w:pPr>
      <w:r>
        <w:rPr>
          <w:rFonts w:ascii="맑은 고딕" w:hAnsi="맑은 고딕" w:eastAsia="맑은 고딕"/>
          <w:b/>
          <w:color w:val="1F4E79"/>
          <w:sz w:val="28"/>
        </w:rPr>
        <w:t>1. 품질평가 결과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7F7F7F"/>
          <w:left w:val="single" w:sz="5" w:color="7F7F7F"/>
          <w:bottom w:val="single" w:sz="5" w:color="7F7F7F"/>
          <w:right w:val="single" w:sz="5" w:color="7F7F7F"/>
          <w:insideH w:val="single" w:sz="5" w:color="7F7F7F"/>
          <w:insideV w:val="single" w:sz="5" w:color="7F7F7F"/>
        </w:tblBorders>
      </w:tblPr>
      <w:tblGrid>
        <w:gridCol w:w="1200"/>
        <w:gridCol w:w="1300"/>
        <w:gridCol w:w="1200"/>
        <w:gridCol w:w="1200"/>
        <w:gridCol w:w="1300"/>
        <w:gridCol w:w="3160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답변</w:t>
            </w:r>
          </w:p>
        </w:tc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25점 총점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100점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 요약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18"/>
              </w:rPr>
              <w:t>답변 A</w:t>
            </w:r>
          </w:p>
        </w:tc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28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90점</w:t>
            </w:r>
          </w:p>
        </w:tc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shd w:fill="F4CCC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18"/>
              </w:rPr>
              <w:t>FAIL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불만별 조치와 측정 기준이 부족함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18"/>
              </w:rPr>
              <w:t>답변 B</w:t>
            </w:r>
          </w:p>
        </w:tc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25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100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90점</w:t>
            </w:r>
          </w:p>
        </w:tc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18"/>
              </w:rPr>
              <w:t>PASS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원인 대응·실행·검증이 모두 충족됨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18"/>
              </w:rPr>
              <w:t>답변 C</w:t>
            </w:r>
          </w:p>
        </w:tc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60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90점</w:t>
            </w:r>
          </w:p>
        </w:tc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shd w:fill="F4CCC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18"/>
              </w:rPr>
              <w:t>FAIL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목표는 있으나 상담 연계와 실행관리가 부족함</w:t>
            </w:r>
          </w:p>
        </w:tc>
      </w:tr>
    </w:tbl>
    <w:p>
      <w:pPr>
        <w:pStyle w:val="ReportHeading1"/>
      </w:pPr>
      <w:r>
        <w:rPr>
          <w:rFonts w:ascii="맑은 고딕" w:hAnsi="맑은 고딕" w:eastAsia="맑은 고딕"/>
          <w:b/>
          <w:color w:val="1F4E79"/>
          <w:sz w:val="28"/>
        </w:rPr>
        <w:t>2. 평가항목별 점수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7F7F7F"/>
          <w:left w:val="single" w:sz="5" w:color="7F7F7F"/>
          <w:bottom w:val="single" w:sz="5" w:color="7F7F7F"/>
          <w:right w:val="single" w:sz="5" w:color="7F7F7F"/>
          <w:insideH w:val="single" w:sz="5" w:color="7F7F7F"/>
          <w:insideV w:val="single" w:sz="5" w:color="7F7F7F"/>
        </w:tblBorders>
      </w:tblPr>
      <w:tblGrid>
        <w:gridCol w:w="2800"/>
        <w:gridCol w:w="1500"/>
        <w:gridCol w:w="1500"/>
        <w:gridCol w:w="1500"/>
        <w:gridCol w:w="20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평가항목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답변 A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답변 B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답변 C</w:t>
            </w:r>
          </w:p>
        </w:tc>
        <w:tc>
          <w:tcPr>
            <w:tcW w:type="dxa" w:w="2060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만점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/>
                <w:color w:val="1F1F1F"/>
                <w:sz w:val="18"/>
              </w:rPr>
              <w:t>불만과의 관련성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2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/>
                <w:color w:val="1F1F1F"/>
                <w:sz w:val="18"/>
              </w:rPr>
              <w:t>원인 대응성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2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/>
                <w:color w:val="1F1F1F"/>
                <w:sz w:val="18"/>
              </w:rPr>
              <w:t>구체성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2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/>
                <w:color w:val="1F1F1F"/>
                <w:sz w:val="18"/>
              </w:rPr>
              <w:t>실행 가능성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2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/>
                <w:color w:val="1F1F1F"/>
                <w:sz w:val="18"/>
              </w:rPr>
              <w:t>검증 가능성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2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18"/>
              </w:rPr>
              <w:t>합계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18"/>
              </w:rPr>
              <w:t>7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18"/>
              </w:rPr>
              <w:t>25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18"/>
              </w:rPr>
              <w:t>15</w:t>
            </w:r>
          </w:p>
        </w:tc>
        <w:tc>
          <w:tcPr>
            <w:tcW w:type="dxa" w:w="2060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18"/>
              </w:rPr>
              <w:t>25</w:t>
            </w:r>
          </w:p>
        </w:tc>
      </w:tr>
    </w:tbl>
    <w:p>
      <w:pPr>
        <w:pStyle w:val="ReportHeading1"/>
      </w:pPr>
      <w:r>
        <w:rPr>
          <w:rFonts w:ascii="맑은 고딕" w:hAnsi="맑은 고딕" w:eastAsia="맑은 고딕"/>
          <w:b/>
          <w:color w:val="1F4E79"/>
          <w:sz w:val="28"/>
        </w:rPr>
        <w:t>3. 판정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7F7F7F"/>
          <w:left w:val="single" w:sz="5" w:color="7F7F7F"/>
          <w:bottom w:val="single" w:sz="5" w:color="7F7F7F"/>
          <w:right w:val="single" w:sz="5" w:color="7F7F7F"/>
          <w:insideH w:val="single" w:sz="5" w:color="7F7F7F"/>
          <w:insideV w:val="single" w:sz="5" w:color="7F7F7F"/>
        </w:tblBorders>
      </w:tblPr>
      <w:tblGrid>
        <w:gridCol w:w="2500"/>
        <w:gridCol w:w="2200"/>
        <w:gridCol w:w="4660"/>
      </w:tblGrid>
      <w:tr>
        <w:trPr>
          <w:cantSplit/>
          <w:tblHeader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100점 환산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판정</w:t>
            </w:r>
          </w:p>
        </w:tc>
        <w:tc>
          <w:tcPr>
            <w:tcW w:type="dxa" w:w="4660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처리 기준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9"/>
              </w:rPr>
              <w:t>90~100점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9"/>
              </w:rPr>
              <w:t>PASS</w:t>
            </w:r>
          </w:p>
        </w:tc>
        <w:tc>
          <w:tcPr>
            <w:tcW w:type="dxa" w:w="4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F1F1F"/>
                <w:sz w:val="19"/>
              </w:rPr>
              <w:t>채택 가능. 운영 권고사항 반영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9"/>
              </w:rPr>
              <w:t>0~89점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9"/>
              </w:rPr>
              <w:t>FAIL</w:t>
            </w:r>
          </w:p>
        </w:tc>
        <w:tc>
          <w:tcPr>
            <w:tcW w:type="dxa" w:w="4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F1F1F"/>
                <w:sz w:val="19"/>
              </w:rPr>
              <w:t>재작성 후 동일 기준으로 재평가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9"/>
              </w:rPr>
              <w:t>필수 필드 누락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19"/>
              </w:rPr>
              <w:t>ERROR</w:t>
            </w:r>
          </w:p>
        </w:tc>
        <w:tc>
          <w:tcPr>
            <w:tcW w:type="dxa" w:w="4660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F1F1F"/>
                <w:sz w:val="19"/>
              </w:rPr>
              <w:t>평가 제외 및 응답 오류 처리</w:t>
            </w:r>
          </w:p>
        </w:tc>
      </w:tr>
    </w:tbl>
    <w:p>
      <w:pPr>
        <w:pStyle w:val="ReportHeading1"/>
      </w:pPr>
      <w:r>
        <w:rPr>
          <w:rFonts w:ascii="맑은 고딕" w:hAnsi="맑은 고딕" w:eastAsia="맑은 고딕"/>
          <w:b/>
          <w:color w:val="1F4E79"/>
          <w:sz w:val="28"/>
        </w:rPr>
        <w:t>4. 답변별 최종 판정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C0504D"/>
          <w:left w:val="single" w:sz="7" w:color="C0504D"/>
          <w:bottom w:val="single" w:sz="7" w:color="C0504D"/>
          <w:right w:val="single" w:sz="7" w:color="C0504D"/>
          <w:insideH w:val="single" w:sz="7" w:color="C0504D"/>
          <w:insideV w:val="single" w:sz="7" w:color="C0504D"/>
        </w:tblBorders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shd w:fill="C050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답변 A</w:t>
            </w:r>
          </w:p>
        </w:tc>
        <w:tc>
          <w:tcPr>
            <w:tcW w:type="dxa" w:w="7860"/>
            <w:tcMar>
              <w:top w:w="90" w:type="dxa"/>
              <w:start w:w="110" w:type="dxa"/>
              <w:bottom w:w="90" w:type="dxa"/>
              <w:end w:w="110" w:type="dxa"/>
            </w:tcMar>
            <w:shd w:fill="F4CCC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/>
                <w:color w:val="1F1F1F"/>
                <w:sz w:val="20"/>
              </w:rPr>
              <w:t>28점 / FAIL - 개선안이 추상적이거나 원인 대응 및 측정지표가 부족함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70AD47"/>
          <w:left w:val="single" w:sz="7" w:color="70AD47"/>
          <w:bottom w:val="single" w:sz="7" w:color="70AD47"/>
          <w:right w:val="single" w:sz="7" w:color="70AD47"/>
          <w:insideH w:val="single" w:sz="7" w:color="70AD47"/>
          <w:insideV w:val="single" w:sz="7" w:color="70AD47"/>
        </w:tblBorders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shd w:fill="70AD47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답변 B</w:t>
            </w:r>
          </w:p>
        </w:tc>
        <w:tc>
          <w:tcPr>
            <w:tcW w:type="dxa" w:w="7860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/>
                <w:color w:val="1F1F1F"/>
                <w:sz w:val="20"/>
              </w:rPr>
              <w:t>100점 / PASS - 불만 원인과 개선안이 연결되고 실행 및 검증이 가능함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C0504D"/>
          <w:left w:val="single" w:sz="7" w:color="C0504D"/>
          <w:bottom w:val="single" w:sz="7" w:color="C0504D"/>
          <w:right w:val="single" w:sz="7" w:color="C0504D"/>
          <w:insideH w:val="single" w:sz="7" w:color="C0504D"/>
          <w:insideV w:val="single" w:sz="7" w:color="C0504D"/>
        </w:tblBorders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shd w:fill="C050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답변 C</w:t>
            </w:r>
          </w:p>
        </w:tc>
        <w:tc>
          <w:tcPr>
            <w:tcW w:type="dxa" w:w="7860"/>
            <w:tcMar>
              <w:top w:w="90" w:type="dxa"/>
              <w:start w:w="110" w:type="dxa"/>
              <w:bottom w:w="90" w:type="dxa"/>
              <w:end w:w="110" w:type="dxa"/>
            </w:tcMar>
            <w:shd w:fill="F4CCC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/>
                <w:color w:val="1F1F1F"/>
                <w:sz w:val="20"/>
              </w:rPr>
              <w:t>60점 / FAIL - 개선안이 추상적이거나 원인 대응 및 측정지표가 부족함</w:t>
            </w:r>
          </w:p>
        </w:tc>
      </w:tr>
    </w:tbl>
    <w:p>
      <w:pPr>
        <w:spacing w:after="0"/>
      </w:pPr>
    </w:p>
    <w:p>
      <w:pPr>
        <w:pStyle w:val="ReportHeading1"/>
      </w:pPr>
      <w:r>
        <w:rPr>
          <w:rFonts w:ascii="맑은 고딕" w:hAnsi="맑은 고딕" w:eastAsia="맑은 고딕"/>
          <w:b/>
          <w:color w:val="1F4E79"/>
          <w:sz w:val="28"/>
        </w:rPr>
        <w:t>5. 판정 사유</w:t>
      </w:r>
    </w:p>
    <w:p>
      <w:pPr>
        <w:pStyle w:val="ReportHeading2"/>
      </w:pPr>
      <w:r>
        <w:rPr>
          <w:rFonts w:ascii="맑은 고딕" w:hAnsi="맑은 고딕" w:eastAsia="맑은 고딕"/>
          <w:b/>
          <w:color w:val="1F4E79"/>
          <w:sz w:val="23"/>
        </w:rPr>
        <w:t>5.1 답변 A</w:t>
      </w:r>
    </w:p>
    <w:p>
      <w:pPr>
        <w:spacing w:after="120" w:line="293" w:lineRule="auto"/>
      </w:pPr>
      <w:r>
        <w:rPr>
          <w:rFonts w:ascii="맑은 고딕" w:hAnsi="맑은 고딕" w:eastAsia="맑은 고딕"/>
          <w:b w:val="0"/>
          <w:color w:val="1F1F1F"/>
          <w:sz w:val="21"/>
        </w:rPr>
        <w:t>고객 만족과 배송 개선이라는 방향은 관련성이 있으나, 고객이 제기한 세부 문제와 조치가 연결되지 않는다. 실행 주체·절차·일정·측정지표가 없어 28점으로 FAIL 판정한다.</w:t>
      </w:r>
    </w:p>
    <w:p>
      <w:pPr>
        <w:pStyle w:val="ReportHeading2"/>
      </w:pPr>
      <w:r>
        <w:rPr>
          <w:rFonts w:ascii="맑은 고딕" w:hAnsi="맑은 고딕" w:eastAsia="맑은 고딕"/>
          <w:b/>
          <w:color w:val="1F4E79"/>
          <w:sz w:val="23"/>
        </w:rPr>
        <w:t>5.2 답변 B</w:t>
      </w:r>
    </w:p>
    <w:p>
      <w:pPr>
        <w:spacing w:after="120" w:line="293" w:lineRule="auto"/>
      </w:pPr>
      <w:r>
        <w:rPr>
          <w:rFonts w:ascii="맑은 고딕" w:hAnsi="맑은 고딕" w:eastAsia="맑은 고딕"/>
          <w:b w:val="0"/>
          <w:color w:val="1F1F1F"/>
          <w:sz w:val="21"/>
        </w:rPr>
        <w:t>자동 알림, 실시간 배송 상태와 지연 사유, 주간 점검, 지연률·재문의율 관리가 불만 원인과 직접 연결된다. 5개 항목이 모두 5점이며 100점으로 PASS 판정하고 최종 채택한다.</w:t>
      </w:r>
    </w:p>
    <w:p>
      <w:pPr>
        <w:pStyle w:val="ReportHeading2"/>
      </w:pPr>
      <w:r>
        <w:rPr>
          <w:rFonts w:ascii="맑은 고딕" w:hAnsi="맑은 고딕" w:eastAsia="맑은 고딕"/>
          <w:b/>
          <w:color w:val="1F4E79"/>
          <w:sz w:val="23"/>
        </w:rPr>
        <w:t>5.3 답변 C</w:t>
      </w:r>
    </w:p>
    <w:p>
      <w:pPr>
        <w:spacing w:after="120" w:line="293" w:lineRule="auto"/>
      </w:pPr>
      <w:r>
        <w:rPr>
          <w:rFonts w:ascii="맑은 고딕" w:hAnsi="맑은 고딕" w:eastAsia="맑은 고딕"/>
          <w:b w:val="0"/>
          <w:color w:val="1F1F1F"/>
          <w:sz w:val="21"/>
        </w:rPr>
        <w:t>월별 지연률 측정, 5% 목표와 하루 지연 자동 알림은 구체적이다. 그러나 고객센터 정보 제공, 지연 원인 대응, 담당 부서와 실행 절차가 부족해 60점으로 FAIL 판정한다.</w:t>
      </w:r>
    </w:p>
    <w:p>
      <w:pPr>
        <w:pStyle w:val="ReportHeading1"/>
      </w:pPr>
      <w:r>
        <w:rPr>
          <w:rFonts w:ascii="맑은 고딕" w:hAnsi="맑은 고딕" w:eastAsia="맑은 고딕"/>
          <w:b/>
          <w:color w:val="1F4E79"/>
          <w:sz w:val="28"/>
        </w:rPr>
        <w:t>6. 필수 보완사항</w:t>
      </w:r>
    </w:p>
    <w:p>
      <w:pPr>
        <w:pStyle w:val="ReportHeading2"/>
      </w:pPr>
      <w:r>
        <w:rPr>
          <w:rFonts w:ascii="맑은 고딕" w:hAnsi="맑은 고딕" w:eastAsia="맑은 고딕"/>
          <w:b/>
          <w:color w:val="1F4E79"/>
          <w:sz w:val="23"/>
        </w:rPr>
        <w:t>6.1 답변 A</w:t>
      </w:r>
    </w:p>
    <w:p>
      <w:pPr>
        <w:pStyle w:val="ListBullet"/>
        <w:keepLines/>
      </w:pPr>
      <w:r>
        <w:rPr>
          <w:rFonts w:ascii="맑은 고딕" w:hAnsi="맑은 고딕" w:eastAsia="맑은 고딕"/>
          <w:b w:val="0"/>
          <w:color w:val="1F1F1F"/>
          <w:sz w:val="21"/>
        </w:rPr>
        <w:t>배송 지연·안내 누락·상담 확인 실패별로 직접적인 해결 조치를 제시할 것.</w:t>
      </w:r>
    </w:p>
    <w:p>
      <w:pPr>
        <w:pStyle w:val="ListBullet"/>
        <w:keepLines/>
      </w:pPr>
      <w:r>
        <w:rPr>
          <w:rFonts w:ascii="맑은 고딕" w:hAnsi="맑은 고딕" w:eastAsia="맑은 고딕"/>
          <w:b w:val="0"/>
          <w:color w:val="1F1F1F"/>
          <w:sz w:val="21"/>
        </w:rPr>
        <w:t>담당 부서, 일정, KPI 기준값·목표값과 검증 주기를 명시할 것.</w:t>
      </w:r>
    </w:p>
    <w:p>
      <w:pPr>
        <w:pStyle w:val="ReportHeading2"/>
      </w:pPr>
      <w:r>
        <w:rPr>
          <w:rFonts w:ascii="맑은 고딕" w:hAnsi="맑은 고딕" w:eastAsia="맑은 고딕"/>
          <w:b/>
          <w:color w:val="1F4E79"/>
          <w:sz w:val="23"/>
        </w:rPr>
        <w:t>6.2 답변 B</w:t>
      </w:r>
    </w:p>
    <w:p>
      <w:pPr>
        <w:pStyle w:val="ListBullet"/>
        <w:keepLines/>
      </w:pPr>
      <w:r>
        <w:rPr>
          <w:rFonts w:ascii="맑은 고딕" w:hAnsi="맑은 고딕" w:eastAsia="맑은 고딕"/>
          <w:b w:val="0"/>
          <w:color w:val="1F1F1F"/>
          <w:sz w:val="21"/>
        </w:rPr>
        <w:t>운영 전 지표 기준값과 목표 개선폭을 확정하고 책임자를 지정할 것을 권고함.</w:t>
      </w:r>
    </w:p>
    <w:p>
      <w:pPr>
        <w:pStyle w:val="ListBullet"/>
        <w:keepLines/>
      </w:pPr>
      <w:r>
        <w:rPr>
          <w:rFonts w:ascii="맑은 고딕" w:hAnsi="맑은 고딕" w:eastAsia="맑은 고딕"/>
          <w:b w:val="0"/>
          <w:color w:val="1F1F1F"/>
          <w:sz w:val="21"/>
        </w:rPr>
        <w:t>알림·배송정보 연동 실패 시 대체 채널과 상담 이관 기준을 마련할 것을 권고함.</w:t>
      </w:r>
    </w:p>
    <w:p>
      <w:pPr>
        <w:pStyle w:val="ReportHeading2"/>
      </w:pPr>
      <w:r>
        <w:rPr>
          <w:rFonts w:ascii="맑은 고딕" w:hAnsi="맑은 고딕" w:eastAsia="맑은 고딕"/>
          <w:b/>
          <w:color w:val="1F4E79"/>
          <w:sz w:val="23"/>
        </w:rPr>
        <w:t>6.3 답변 C</w:t>
      </w:r>
    </w:p>
    <w:p>
      <w:pPr>
        <w:pStyle w:val="ListBullet"/>
        <w:keepLines/>
      </w:pPr>
      <w:r>
        <w:rPr>
          <w:rFonts w:ascii="맑은 고딕" w:hAnsi="맑은 고딕" w:eastAsia="맑은 고딕"/>
          <w:b w:val="0"/>
          <w:color w:val="1F1F1F"/>
          <w:sz w:val="21"/>
        </w:rPr>
        <w:t>상담 화면에 실시간 배송 상태와 지연 사유를 제공할 것.</w:t>
      </w:r>
    </w:p>
    <w:p>
      <w:pPr>
        <w:pStyle w:val="ListBullet"/>
        <w:keepLines/>
      </w:pPr>
      <w:r>
        <w:rPr>
          <w:rFonts w:ascii="맑은 고딕" w:hAnsi="맑은 고딕" w:eastAsia="맑은 고딕"/>
          <w:b w:val="0"/>
          <w:color w:val="1F1F1F"/>
          <w:sz w:val="21"/>
        </w:rPr>
        <w:t>담당 부서, 운영 절차, 재문의율·알림 성공률 보조지표를 추가할 것.</w:t>
      </w:r>
    </w:p>
    <w:p>
      <w:pPr>
        <w:pStyle w:val="ReportHeading1"/>
      </w:pPr>
      <w:r>
        <w:rPr>
          <w:rFonts w:ascii="맑은 고딕" w:hAnsi="맑은 고딕" w:eastAsia="맑은 고딕"/>
          <w:b/>
          <w:color w:val="1F4E79"/>
          <w:sz w:val="28"/>
        </w:rPr>
        <w:t>7. 자동화 검증 결과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7F7F7F"/>
          <w:left w:val="single" w:sz="5" w:color="7F7F7F"/>
          <w:bottom w:val="single" w:sz="5" w:color="7F7F7F"/>
          <w:right w:val="single" w:sz="5" w:color="7F7F7F"/>
          <w:insideH w:val="single" w:sz="5" w:color="7F7F7F"/>
          <w:insideV w:val="single" w:sz="5" w:color="7F7F7F"/>
        </w:tblBorders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검증 항목</w:t>
            </w:r>
          </w:p>
        </w:tc>
        <w:tc>
          <w:tcPr>
            <w:tcW w:type="dxa" w:w="6760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결과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pytest</w:t>
            </w:r>
          </w:p>
        </w:tc>
        <w:tc>
          <w:tcPr>
            <w:tcW w:type="dxa" w:w="6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F1F1F"/>
                <w:sz w:val="19"/>
              </w:rPr>
              <w:t>6개 통과 / 실패 0 / 오류 0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불완전 Judge 응답</w:t>
            </w:r>
          </w:p>
        </w:tc>
        <w:tc>
          <w:tcPr>
            <w:tcW w:type="dxa" w:w="6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F1F1F"/>
                <w:sz w:val="19"/>
              </w:rPr>
              <w:t>score·verdict만 있는 응답의 reason·criteria 누락을 감지하여 거부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회귀 범위</w:t>
            </w:r>
          </w:p>
        </w:tc>
        <w:tc>
          <w:tcPr>
            <w:tcW w:type="dxa" w:w="6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F1F1F"/>
                <w:sz w:val="19"/>
              </w:rPr>
              <w:t>PASS/FAIL 분기, 우수·추상 답변, JSON 형식과 5개 평가항목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경고</w:t>
            </w:r>
          </w:p>
        </w:tc>
        <w:tc>
          <w:tcPr>
            <w:tcW w:type="dxa" w:w="6760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F1F1F"/>
                <w:sz w:val="19"/>
              </w:rPr>
              <w:t>Python 3.14 및 pytest-asyncio 관련 폐기 예정 경고 55개. 기능 실패는 아님</w:t>
            </w:r>
          </w:p>
        </w:tc>
      </w:tr>
    </w:tbl>
    <w:p>
      <w:pPr>
        <w:pStyle w:val="ReportHeading1"/>
      </w:pPr>
      <w:r>
        <w:rPr>
          <w:rFonts w:ascii="맑은 고딕" w:hAnsi="맑은 고딕" w:eastAsia="맑은 고딕"/>
          <w:b/>
          <w:color w:val="1F4E79"/>
          <w:sz w:val="28"/>
        </w:rPr>
        <w:t>8. 재평가 조건</w:t>
      </w:r>
    </w:p>
    <w:p>
      <w:pPr>
        <w:pStyle w:val="ListBullet"/>
        <w:keepLines/>
      </w:pPr>
      <w:r>
        <w:rPr>
          <w:rFonts w:ascii="맑은 고딕" w:hAnsi="맑은 고딕" w:eastAsia="맑은 고딕"/>
          <w:b w:val="0"/>
          <w:color w:val="1F1F1F"/>
          <w:sz w:val="21"/>
        </w:rPr>
        <w:t>답변 A와 C는 필수 보완사항을 반영한 후 동일한 v4 기준으로 다시 평가할 것.</w:t>
      </w:r>
    </w:p>
    <w:p>
      <w:pPr>
        <w:pStyle w:val="ListBullet"/>
        <w:keepLines/>
      </w:pPr>
      <w:r>
        <w:rPr>
          <w:rFonts w:ascii="맑은 고딕" w:hAnsi="맑은 고딕" w:eastAsia="맑은 고딕"/>
          <w:b w:val="0"/>
          <w:color w:val="1F1F1F"/>
          <w:sz w:val="21"/>
        </w:rPr>
        <w:t>100점 환산 점수가 90점 이상이고 필수 항목 누락이 없을 때 PASS로 전환할 것.</w:t>
      </w:r>
    </w:p>
    <w:p>
      <w:pPr>
        <w:pStyle w:val="ListBullet"/>
        <w:keepLines/>
      </w:pPr>
      <w:r>
        <w:rPr>
          <w:rFonts w:ascii="맑은 고딕" w:hAnsi="맑은 고딕" w:eastAsia="맑은 고딕"/>
          <w:b w:val="0"/>
          <w:color w:val="1F1F1F"/>
          <w:sz w:val="21"/>
        </w:rPr>
        <w:t>프롬프트·키워드·모델 또는 합격 기준이 변경되면 전체 회귀 테스트와 보고서를 다시 생성할 것.</w:t>
      </w:r>
    </w:p>
    <w:p>
      <w:pPr>
        <w:pStyle w:val="ReportHeading1"/>
      </w:pPr>
      <w:r>
        <w:rPr>
          <w:rFonts w:ascii="맑은 고딕" w:hAnsi="맑은 고딕" w:eastAsia="맑은 고딕"/>
          <w:b/>
          <w:color w:val="1F4E79"/>
          <w:sz w:val="28"/>
        </w:rPr>
        <w:t>9. 적용 한계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C0504D"/>
          <w:left w:val="single" w:sz="7" w:color="C0504D"/>
          <w:bottom w:val="single" w:sz="7" w:color="C0504D"/>
          <w:right w:val="single" w:sz="7" w:color="C0504D"/>
          <w:insideH w:val="single" w:sz="7" w:color="C0504D"/>
          <w:insideV w:val="single" w:sz="7" w:color="C0504D"/>
        </w:tblBorders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shd w:fill="C050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주의</w:t>
            </w:r>
          </w:p>
        </w:tc>
        <w:tc>
          <w:tcPr>
            <w:tcW w:type="dxa" w:w="7860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/>
                <w:color w:val="1F1F1F"/>
                <w:sz w:val="20"/>
              </w:rPr>
              <w:t>본 판정은 키워드 규칙 기반 가짜 Judge의 동작과 품질관리 절차를 검증한 결과이다. 실제 LLM의 사실성·안전성·일관성, API 인증·비용·지연을 보증하지 않으므로 동일 테스트 데이터를 실제 모델에도 실행해야 한다.</w:t>
            </w:r>
          </w:p>
        </w:tc>
      </w:tr>
    </w:tbl>
    <w:p>
      <w:pPr>
        <w:spacing w:after="0"/>
      </w:pPr>
    </w:p>
    <w:p>
      <w:pPr>
        <w:pStyle w:val="ReportHeading1"/>
      </w:pPr>
      <w:r>
        <w:rPr>
          <w:rFonts w:ascii="맑은 고딕" w:hAnsi="맑은 고딕" w:eastAsia="맑은 고딕"/>
          <w:b/>
          <w:color w:val="1F4E79"/>
          <w:sz w:val="28"/>
        </w:rPr>
        <w:t>10. 승인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7F7F7F"/>
          <w:left w:val="single" w:sz="5" w:color="7F7F7F"/>
          <w:bottom w:val="single" w:sz="5" w:color="7F7F7F"/>
          <w:right w:val="single" w:sz="5" w:color="7F7F7F"/>
          <w:insideH w:val="single" w:sz="5" w:color="7F7F7F"/>
          <w:insideV w:val="single" w:sz="5" w:color="7F7F7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20"/>
              </w:rPr>
              <w:t>작성자</w:t>
            </w:r>
          </w:p>
        </w:tc>
        <w:tc>
          <w:tcPr>
            <w:tcW w:type="dxa" w:w="3120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20"/>
              </w:rPr>
              <w:t>검토자</w:t>
            </w:r>
          </w:p>
        </w:tc>
        <w:tc>
          <w:tcPr>
            <w:tcW w:type="dxa" w:w="3120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1F1F"/>
                <w:sz w:val="20"/>
              </w:rPr>
              <w:t>확인자</w:t>
            </w:r>
          </w:p>
        </w:tc>
      </w:tr>
      <w:tr>
        <w:tc>
          <w:tcPr>
            <w:tcW w:type="dxa" w:w="3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20"/>
              </w:rPr>
              <w:t>서명: __________________</w:t>
            </w:r>
          </w:p>
        </w:tc>
        <w:tc>
          <w:tcPr>
            <w:tcW w:type="dxa" w:w="3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20"/>
              </w:rPr>
              <w:t>서명: __________________</w:t>
            </w:r>
          </w:p>
        </w:tc>
        <w:tc>
          <w:tcPr>
            <w:tcW w:type="dxa" w:w="3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1F1F"/>
                <w:sz w:val="20"/>
              </w:rPr>
              <w:t>서명: 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49" w:right="1022" w:bottom="749" w:left="1022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맑은 고딕" w:hAnsi="맑은 고딕" w:eastAsia="맑은 고딕"/>
        <w:b w:val="0"/>
        <w:color w:val="7F7F7F"/>
        <w:sz w:val="17"/>
      </w:rPr>
      <w:t>리포트 v4 기반 · AI 응답 최종 품질판정서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81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keepNext/>
      <w:spacing w:before="0" w:after="240"/>
      <w:jc w:val="center"/>
    </w:pPr>
    <w:rPr>
      <w:rFonts w:ascii="맑은 고딕" w:hAnsi="맑은 고딕" w:eastAsia="맑은 고딕"/>
      <w:b/>
      <w:color w:val="1F4E79"/>
      <w:sz w:val="36"/>
    </w:rPr>
  </w:style>
  <w:style w:type="paragraph" w:customStyle="1" w:styleId="ReportHeading1">
    <w:name w:val="Report Heading 1"/>
    <w:pPr>
      <w:keepNext/>
      <w:spacing w:before="160" w:after="80"/>
      <w:jc w:val="left"/>
    </w:pPr>
    <w:rPr>
      <w:rFonts w:ascii="맑은 고딕" w:hAnsi="맑은 고딕" w:eastAsia="맑은 고딕"/>
      <w:b/>
      <w:color w:val="1F4E79"/>
      <w:sz w:val="28"/>
    </w:rPr>
  </w:style>
  <w:style w:type="paragraph" w:customStyle="1" w:styleId="ReportHeading2">
    <w:name w:val="Report Heading 2"/>
    <w:pPr>
      <w:keepNext/>
      <w:spacing w:before="160" w:after="80"/>
      <w:jc w:val="left"/>
    </w:pPr>
    <w:rPr>
      <w:rFonts w:ascii="맑은 고딕" w:hAnsi="맑은 고딕" w:eastAsia="맑은 고딕"/>
      <w:b/>
      <w:color w:val="1F4E79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