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Relatório de encerramento do Projeto 2</w:t>
      </w:r>
    </w:p>
    <w:p>
      <w:pPr>
        <w:pStyle w:val="Subtitle"/>
        <w:spacing w:after="200"/>
      </w:pPr>
      <w:r>
        <w:t>Lifecycle, Pipeline &amp; Automation  |  NexaFlow  |  2 de outubro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DD5E3"/>
          <w:left w:val="single" w:sz="8" w:space="0" w:color="BDD5E3"/>
          <w:bottom w:val="single" w:sz="8" w:space="0" w:color="BDD5E3"/>
          <w:right w:val="single" w:sz="8" w:space="0" w:color="BDD5E3"/>
          <w:insideH w:val="single" w:sz="8" w:space="0" w:color="BDD5E3"/>
          <w:insideV w:val="single" w:sz="8" w:space="0" w:color="BDD5E3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EAF1F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9"/>
              </w:rPr>
              <w:t>CONCLUSÃO  Projeto 2 concluído no escopo de treinamento, com desvios e limitações registrados. Checkpoints 9–17 encerrados; Checkpoint 17 aprovado com desvio após homologação simulada controlada. A única linha de teste transferida é T25-012, para execução analítica no Projeto 3. Pagamento e handoff fictícios são evidência válida para o cenário simulado acordado; não houve transação nem integração financeira de produção.</w:t>
            </w:r>
          </w:p>
        </w:tc>
      </w:tr>
    </w:tbl>
    <w:p>
      <w:pPr>
        <w:spacing w:after="100" w:line="254" w:lineRule="auto"/>
      </w:pPr>
      <w:r>
        <w:t>Este relatório consolida as decisões, configurações e testes do Projeto 2 no portal NexaFlow RevOps Lab. O projeto demonstra uma operação B2B simulada construída com dados e fixtures sintéticos; não descreve uma implantação em produção nem exige clientes, pagamentos ou dados financeiros reais.</w:t>
      </w:r>
    </w:p>
    <w:p>
      <w:pPr>
        <w:pStyle w:val="Heading1"/>
        <w:keepNext/>
        <w:spacing w:before="180" w:after="80"/>
      </w:pPr>
      <w:r>
        <w:t>Escopo e critério de conclusão</w:t>
      </w:r>
    </w:p>
    <w:p>
      <w:pPr>
        <w:spacing w:after="100" w:line="254" w:lineRule="auto"/>
      </w:pPr>
      <w:r>
        <w:t>O Projeto 2 converteu a arquitetura do Projeto 1 em regras comerciais, pipeline, ownership, SLAs, handoffs, workflows, monitoramento de Deals e um handoff de onboarding. A conclusão considera regras implementadas e testadas no ambiente de treinamento, evidências registradas e desvios explicitamente descritos.</w:t>
      </w:r>
    </w:p>
    <w:p>
      <w:pPr>
        <w:pStyle w:val="Heading1"/>
        <w:keepNext/>
        <w:spacing w:before="180" w:after="80"/>
      </w:pPr>
      <w:r>
        <w:t>Entregáveis oficiais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888"/>
        <w:gridCol w:w="6696"/>
      </w:tblGrid>
      <w:tr>
        <w:trPr>
          <w:tblHeader w:val="true"/>
          <w:cantSplit/>
        </w:trPr>
        <w:tc>
          <w:tcPr>
            <w:tcW w:type="dxa" w:w="5083"/>
            <w:vAlign w:val="center"/>
            <w:shd w:fill="23364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Entregável</w:t>
            </w:r>
          </w:p>
        </w:tc>
        <w:tc>
          <w:tcPr>
            <w:tcW w:type="dxa" w:w="5083"/>
            <w:vAlign w:val="center"/>
            <w:shd w:fill="23364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Conteúdo e estado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01_NexaFlow_Operational_Traceability_Matrix_v1.0.xlsx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Master de desenho operacional: transições, 60 itens de rastreabilidade, pipeline, ownership/SLA, métricas e consultas SQL lógicas.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02_NexaFlow_Operational_Test_Log_v22.xlsx — versão 33</w:t>
            </w:r>
          </w:p>
        </w:tc>
        <w:tc>
          <w:tcPr>
            <w:tcW w:type="dxa" w:w="669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Master de execução: T25-001 a T31-002, evidências, status, limitações e próximos passos.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Configuração no HubSpot NexaFlow RevOps Lab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Pipeline, propriedades condicionais e workflows WF-002, WF-003 e WF-004; evidências referenciadas pelos IDs de teste.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>
              <w:t>03_NexaFlow_Lifecycle_Pipeline_Automation_Report.docx — v1.0</w:t>
            </w:r>
            <w:r>
              <w:rPr>
                <w:rFonts w:ascii="Arial" w:hAnsi="Arial"/>
                <w:b w:val="0"/>
                <w:color w:val="252A31"/>
                <w:sz w:val="16"/>
              </w:rPr>
            </w:r>
          </w:p>
        </w:tc>
        <w:tc>
          <w:tcPr>
            <w:tcW w:type="dxa" w:w="669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Este relatório final de escopo, resultados, desvios e estado de encerramento.</w:t>
            </w:r>
          </w:p>
        </w:tc>
      </w:tr>
    </w:tbl>
    <w:p>
      <w:pPr>
        <w:spacing w:after="40" w:before="20"/>
      </w:pPr>
    </w:p>
    <w:p>
      <w:pPr>
        <w:spacing w:after="100" w:line="254" w:lineRule="auto"/>
      </w:pPr>
      <w:r>
        <w:t>Não foi criado um workbook separado de desenho de workflows: a especificação está na matriz e nas páginas das Aulas 26–30; a configuração e a execução estão registradas no HubSpot e no log mestre. Isso evita manter um arquivo duplicado sem função adicional.</w:t>
      </w:r>
    </w:p>
    <w:p>
      <w:pPr>
        <w:pStyle w:val="Heading1"/>
        <w:keepNext/>
        <w:spacing w:before="180" w:after="80"/>
      </w:pPr>
      <w:r>
        <w:t>Resultados por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56"/>
        <w:gridCol w:w="7128"/>
      </w:tblGrid>
      <w:tr>
        <w:trPr>
          <w:tblHeader w:val="true"/>
          <w:cantSplit/>
        </w:trPr>
        <w:tc>
          <w:tcPr>
            <w:tcW w:type="dxa" w:w="5083"/>
            <w:vAlign w:val="center"/>
            <w:shd w:fill="23364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083"/>
            <w:vAlign w:val="center"/>
            <w:shd w:fill="23364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consolidado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Aulas 21–22 | CP9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Lifecycle Stage, Lead Status, MQL/SQL e pipeline/deal stages definidos; 8 transições e 60 itens rastreados na matriz.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Aulas 23–25 | CP10–12</w:t>
            </w:r>
          </w:p>
        </w:tc>
        <w:tc>
          <w:tcPr>
            <w:tcW w:type="dxa" w:w="71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Ownership, SLA, handoffs Marketing→SDR→Vendas, 12 métricas e 6 consultas SQL lógicas definidos; cenários T25 executados e lacunas documentadas.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 26 | CP13 | T26-001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WF-003 aprovado: delay de 1 dia útil, branch None met e tarefa de primeiro contato atribuída ao owner.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 27 | CP14 | T27-001</w:t>
            </w:r>
          </w:p>
        </w:tc>
        <w:tc>
          <w:tcPr>
            <w:tcW w:type="dxa" w:w="71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WF-004 aprovado: Deal sintético sem próxima atividade gerou tarefa de verificação atribuída ao owner.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 28 | CP15 | T28-001/002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Aceite dentro do SLA permaneceu regra manual; WF-002 executou delay de 4 horas corridas e enviou alerta. A unidade de horas úteis não está disponível.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 29 | CP16 | T29-001/002</w:t>
            </w:r>
          </w:p>
        </w:tc>
        <w:tc>
          <w:tcPr>
            <w:tcW w:type="dxa" w:w="71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Cenário positivo identificado com owner e atividade futura; cenário negativo identificado pelo filtro Next activity date is unknown. Nenhuma alteração automática de owner ou Deal Stage.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 30 | CP17 | T30-001/002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Ledger sintético rastreável cobriu PAID e PENDING. A regra foi homologada em cenário simulado; Closed Won e onboarding foram tratados manualmente. CP17 aprovado com desvio.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Aula 31 | complemento | T31-001/002</w:t>
            </w:r>
          </w:p>
        </w:tc>
        <w:tc>
          <w:tcPr>
            <w:tcW w:type="dxa" w:w="71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6"/>
              </w:rPr>
              <w:t>Campos condicionais de Deal e dropdown de motivo de perda testados em fixture SIM; persistência do owner no modal e disponibilidade de Next Activity Date ficaram como limitações documentadas.</w:t>
            </w:r>
          </w:p>
        </w:tc>
      </w:tr>
    </w:tbl>
    <w:p>
      <w:pPr>
        <w:spacing w:after="40" w:before="20"/>
      </w:pPr>
    </w:p>
    <w:p>
      <w:pPr>
        <w:pStyle w:val="Heading1"/>
        <w:keepNext/>
        <w:spacing w:before="180" w:after="80"/>
      </w:pPr>
      <w:r>
        <w:t>Disposição dos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88"/>
        <w:gridCol w:w="2736"/>
        <w:gridCol w:w="5760"/>
      </w:tblGrid>
      <w:tr>
        <w:trPr>
          <w:tblHeader w:val="true"/>
          <w:cantSplit/>
        </w:trPr>
        <w:tc>
          <w:tcPr>
            <w:tcW w:type="dxa" w:w="3389"/>
            <w:vAlign w:val="center"/>
            <w:shd w:fill="23364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IDs</w:t>
            </w:r>
          </w:p>
        </w:tc>
        <w:tc>
          <w:tcPr>
            <w:tcW w:type="dxa" w:w="3389"/>
            <w:vAlign w:val="center"/>
            <w:shd w:fill="23364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 no master v33</w:t>
            </w:r>
          </w:p>
        </w:tc>
        <w:tc>
          <w:tcPr>
            <w:tcW w:type="dxa" w:w="3389"/>
            <w:vAlign w:val="center"/>
            <w:shd w:fill="23364D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Leitura do resultado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T25-001–008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Concluídos com desvio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Execuções originais da operação comercial registradas.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T25-009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Concluído com desvio</w:t>
            </w:r>
          </w:p>
        </w:tc>
        <w:tc>
          <w:tcPr>
            <w:tcW w:type="dxa" w:w="576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Coberto por T30-001; ledger PAID simulado e Onboarding associado com handoff fictício.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T25-010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Concluído com desvio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Execução original usou campo nativo de texto livre; o controle por dropdown foi acrescentado e testado em T31-002.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T25-011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Concluído com desvio</w:t>
            </w:r>
          </w:p>
        </w:tc>
        <w:tc>
          <w:tcPr>
            <w:tcW w:type="dxa" w:w="576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Execução original permitiu avanço sem owner/atividade; regra condicional foi posteriormente configurada e testada em T31-001, com desvio de owner.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T25-012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Replanejado para o Projeto 3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12 métricas e 6 consultas foram definidos; execução sobre dados físicos exige dataset/export e mapeamento de colunas.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T26-001 / T27-001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Aprovados</w:t>
            </w:r>
          </w:p>
        </w:tc>
        <w:tc>
          <w:tcPr>
            <w:tcW w:type="dxa" w:w="576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WF-003 e WF-004 executados com evidência observável.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T28-001 / T28-002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Regra operacional manual / aprovado com desvio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Aceite segue manual; alerta após 4 horas corridas executado.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T29-001 / T29-002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Aprovado com desvio / aprovado</w:t>
            </w:r>
          </w:p>
        </w:tc>
        <w:tc>
          <w:tcPr>
            <w:tcW w:type="dxa" w:w="576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Monitoramento positivo e negativo concluídos.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T30-001 / T30-002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Aprovados com desvio simulado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Fonte fictícia rastreável registra PAID e PENDING; resultados adequados ao exercício didático.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T31-001 / T31-002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Aprovado com desvio / aprovado</w:t>
            </w:r>
          </w:p>
        </w:tc>
        <w:tc>
          <w:tcPr>
            <w:tcW w:type="dxa" w:w="576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A31"/>
                <w:sz w:val="15"/>
              </w:rPr>
              <w:t>Campos de estágio e motivo controlado testados; owner no modal não persistiu; dropdown de Closed Lost funcionou.</w:t>
            </w:r>
          </w:p>
        </w:tc>
      </w:tr>
    </w:tbl>
    <w:p>
      <w:pPr>
        <w:spacing w:after="40" w:before="20"/>
      </w:pPr>
    </w:p>
    <w:p>
      <w:pPr>
        <w:pStyle w:val="Heading1"/>
        <w:keepNext/>
        <w:spacing w:before="180" w:after="80"/>
      </w:pPr>
      <w:r>
        <w:t>Controles configurados e limitações</w:t>
      </w:r>
    </w:p>
    <w:p>
      <w:pPr>
        <w:pStyle w:val="ListBullet"/>
        <w:spacing w:after="40" w:line="250" w:lineRule="auto"/>
      </w:pPr>
      <w:r>
        <w:t>Em Qualified To Buy, Presentation Scheduled, Decision Maker Bought-In e Contract Sent, a lógica condicional exige Deal owner, Data da próxima ação (next_action_due_at) e Next step.</w:t>
      </w:r>
    </w:p>
    <w:p>
      <w:pPr>
        <w:pStyle w:val="ListBullet"/>
        <w:spacing w:after="40" w:line="250" w:lineRule="auto"/>
      </w:pPr>
      <w:r>
        <w:t>Em Closed Lost, exige Deal owner, Motivo de perda (controlado) (loss_reason) e Close Date. Opções controladas testadas: Preço, Sem prioridade, Sem aderência, Concorrente, Sem resposta, Decisão adiada e Outro. Closed Won permaneceu inalterado na remediação T31.</w:t>
      </w:r>
    </w:p>
    <w:p>
      <w:pPr>
        <w:pStyle w:val="ListBullet"/>
        <w:spacing w:after="40" w:line="250" w:lineRule="auto"/>
      </w:pPr>
      <w:r>
        <w:t>HubSpot não ofereceu Next Activity Date nativa como campo exigível na lógica de estágio. Data da próxima ação e Next step são campos operacionais; a existência da atividade real foi conferida separadamente na timeline.</w:t>
      </w:r>
    </w:p>
    <w:p>
      <w:pPr>
        <w:pStyle w:val="ListBullet"/>
        <w:spacing w:after="40" w:line="250" w:lineRule="auto"/>
      </w:pPr>
      <w:r>
        <w:t>Selecionar um owner no modal permitiu avançar, mas não gravou a atribuição no Deal. Atribuir owner diretamente na fixture SIM persistiu; esse é o procedimento documentado para futuras operações.</w:t>
      </w:r>
    </w:p>
    <w:p>
      <w:pPr>
        <w:pStyle w:val="ListBullet"/>
        <w:spacing w:after="40" w:line="250" w:lineRule="auto"/>
      </w:pPr>
      <w:r>
        <w:t>WF-002, WF-003 e WF-004 não foram alterados durante a remediação T31. Nenhum workflow mudou owner, Lead Status ou Deal Stage automaticamente nos cenários registrados.</w:t>
      </w:r>
    </w:p>
    <w:p>
      <w:pPr>
        <w:pStyle w:val="Heading1"/>
        <w:keepNext/>
        <w:spacing w:before="180" w:after="80"/>
      </w:pPr>
      <w:r>
        <w:t>Dados simulados e evidência financeira</w:t>
      </w:r>
    </w:p>
    <w:p>
      <w:pPr>
        <w:spacing w:after="100" w:line="254" w:lineRule="auto"/>
      </w:pPr>
      <w:r>
        <w:t>T30-001 usa Deal SIM-T30-001 (ID 351935641322) e o ledger NexaFlow_Finance_Simulator_T30.json, com NF-FIN-SIM-T30-001-PAID / SIM-PAY-T30-001, BRL 1.000,00 e paid_at 2026-10-01T12:00:00+09:00. O arquivo foi anexado ao Deal e os valores são conferíveis entre ledger e nota de timeline. T30-002 registra PENDING, BRL 1.000,00 e paid_at = null no Deal SIM-T30-002 (ID 351700811479).</w:t>
      </w:r>
    </w:p>
    <w:p>
      <w:pPr>
        <w:spacing w:after="100" w:line="254" w:lineRule="auto"/>
      </w:pPr>
      <w:r>
        <w:t>Esses registros são fontes sintéticas controladas e constituem evidência válida para testar a regra PL-004 no projeto fictício. A ausência de dinheiro real, Asaas, webhook ou HubSpot Payments não é uma pendência para aprovar o cenário simulado. O desvio é que Closed Won e o handoff foram inseridos manualmente, sem integração automática.</w:t>
      </w:r>
    </w:p>
    <w:p>
      <w:pPr>
        <w:spacing w:after="100" w:line="254" w:lineRule="auto"/>
      </w:pPr>
      <w:r>
        <w:t>Para o handoff T30-001, Onboarding 337986289391 foi associado pelo Source Record ID ao Deal 351935641322. Owner, estágio Configuração e Start Date foram registrados; escopo, plano, aceite e kickoff foram incluídos em nota como dados fictícios. A estrutura do objeto não tem propriedades próprias para esses campos, portanto o teste comprova o handoff didático manual, não uma automação estruturada.</w:t>
      </w:r>
    </w:p>
    <w:p>
      <w:pPr>
        <w:pStyle w:val="Heading1"/>
        <w:keepNext/>
        <w:spacing w:before="180" w:after="80"/>
      </w:pPr>
      <w:r>
        <w:t>Estado de encerramento e transferência</w:t>
      </w:r>
    </w:p>
    <w:p>
      <w:pPr>
        <w:spacing w:after="100" w:line="254" w:lineRule="auto"/>
      </w:pPr>
      <w:r>
        <w:t>O Projeto 2 está concluído no escopo do bootcamp. Checkpoints 9–17 permanecem encerrados; CP12 não foi reaberto. Não há cenário de treinamento da Semana 6 aguardando execução. A única linha transferida é T25-012, para o Projeto 3, depois do mapeamento de dataset/export e colunas físicas.</w:t>
      </w:r>
    </w:p>
    <w:p>
      <w:pPr>
        <w:spacing w:after="100" w:line="254" w:lineRule="auto"/>
      </w:pPr>
      <w:r>
        <w:t>Para uma operação real futura, o owner precisa ser atribuído e conferido diretamente no Deal antes do avanço. O processo também deve preencher Data da próxima ação e Next step e verificar a atividade na timeline. Essa cautela é um procedimento operacional derivado do desvio observado, não uma pendência de conclusão didática.</w:t>
      </w:r>
    </w:p>
    <w:p>
      <w:pPr>
        <w:spacing w:after="0" w:line="254" w:lineRule="auto" w:before="120"/>
      </w:pPr>
      <w:r>
        <w:rPr>
          <w:color w:val="59636E"/>
          <w:sz w:val="15"/>
        </w:rPr>
        <w:t>Fontes: 02_NexaFlow_Operational_Test_Log_v22.xlsx, versão 33; 01_NexaFlow_Operational_Traceability_Matrix_v1.0.xlsx; CHECKPOINT DAS AULAS e páginas das Aulas 29–31 no Notion; HubSpot NexaFlow RevOps Lab, fixtures SIM/TEST.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36E"/>
        <w:sz w:val="16"/>
      </w:rPr>
      <w:t xml:space="preserve">Relatório de encerramento  •  02/10/2026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636E"/>
        <w:sz w:val="16"/>
      </w:rPr>
      <w:t>NexaFlow  |  Projeto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252A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