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NexaFlow Revenue Reporting Analytics</w:t>
      </w:r>
    </w:p>
    <w:p>
      <w:pPr>
        <w:spacing w:after="240"/>
      </w:pPr>
      <w:r>
        <w:rPr>
          <w:color w:val="4B5660"/>
          <w:sz w:val="20"/>
        </w:rPr>
        <w:t>Relatório final de QA | 06/10/2026</w:t>
      </w:r>
    </w:p>
    <w:p>
      <w:r>
        <w:t>Este relatório consolida a análise do Projeto 3 usando uma única população de referência: cinco Deals SIM- presentes no CSV validado e no staging SQLite. O dashboard executivo do HubSpot foi atualizado para incluir exatamente esses cinco nomes, e sua distribuição por estágio coincide com a consulta SQL.</w:t>
      </w:r>
    </w:p>
    <w:p>
      <w:pPr>
        <w:pStyle w:val="Heading1"/>
      </w:pPr>
      <w:r>
        <w:t>Resultado executivo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912"/>
            <w:shd w:fill="17365D"/>
          </w:tcPr>
          <w:p>
            <w:r>
              <w:rPr>
                <w:b/>
                <w:color w:val="FFFFFF"/>
                <w:sz w:val="18"/>
              </w:rPr>
              <w:t>Estágio atual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8"/>
              </w:rPr>
              <w:t>Deals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Appointment Scheduled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Qualified To Buy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Closed Won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Closed Lost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da coorte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</w:tbl>
    <w:p>
      <w:pPr>
        <w:spacing w:after="40"/>
      </w:pPr>
    </w:p>
    <w:p>
      <w:r>
        <w:t>QRY-003 encontrou dois Deals abertos sem Next Activity Date informado e nenhum sem owner. Campo de data vazio não comprova ausência de tarefa. Os dados são fixtures sintéticas e descrevem apenas essa amostra.</w:t>
      </w:r>
    </w:p>
    <w:p>
      <w:pPr>
        <w:pStyle w:val="Heading1"/>
      </w:pPr>
      <w:r>
        <w:t>Fonte e reconciliação</w:t>
      </w:r>
    </w:p>
    <w:p>
      <w:r>
        <w:t>A população analítica é o arquivo hubspot_deals_SIM_full_20261005.csv, validado contra a tabela deals_raw do banco nexaflow_aula33_staging.sqlite. Os cinco Record IDs coincidem: 351474043636, 351700140761, 351700811479, 351700857588 e 351935641322. A regra dos relatórios no HubSpot usa inclusão explícita desses cinco nomes; o painel executivo e o relatório de pendências compartilham o mesmo recorte.</w:t>
      </w:r>
    </w:p>
    <w:p>
      <w:pPr>
        <w:pStyle w:val="Heading1"/>
      </w:pPr>
      <w:r>
        <w:t>Consultas SQL e QA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65D"/>
          </w:tcPr>
          <w:p>
            <w:r>
              <w:rPr>
                <w:b/>
                <w:color w:val="FFFFFF"/>
                <w:sz w:val="18"/>
              </w:rPr>
              <w:t>Consulta</w:t>
            </w:r>
          </w:p>
        </w:tc>
        <w:tc>
          <w:tcPr>
            <w:tcW w:type="dxa" w:w="6624"/>
            <w:shd w:fill="17365D"/>
          </w:tcPr>
          <w:p>
            <w:r>
              <w:rPr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QRY-001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8"/>
              </w:rPr>
              <w:t>Dois pares atuais de Lifecycle Stage e Lead Status, com um Contact em cada par.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QRY-002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Distribuição dos cinco Deals por estágio; os cinco têm owner Karla Teshima.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QRY-003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8"/>
              </w:rPr>
              <w:t>Dois Deals abertos sem Next Activity Date; nenhum sem owner.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QRY-004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8"/>
              </w:rPr>
              <w:t>Dois Closed Lost: um sem motivo e um com motivo bruto preenchido.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QRY-005 e QRY-006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8"/>
              </w:rPr>
              <w:t>Não executadas. O pacote não contém export de Interactions nem histórico de handoff com timestamps.</w:t>
            </w:r>
          </w:p>
        </w:tc>
      </w:tr>
    </w:tbl>
    <w:p>
      <w:pPr>
        <w:spacing w:after="40"/>
      </w:pPr>
    </w:p>
    <w:p>
      <w:pPr>
        <w:pStyle w:val="Heading1"/>
      </w:pPr>
      <w:r>
        <w:t>Integração e limites</w:t>
      </w:r>
    </w:p>
    <w:p>
      <w:r>
        <w:t>A Aula 37 executou um lote controlado CSV → SQLite. Os testes registrados cobrem inserção, reprocessamento idempotente, atualização em cópia de fixture, rejeição de linha sem Record ID e reconciliação final de cinco em cinco registros. Não houve API, sincronização contínua ou escrita de volta no HubSpot.</w:t>
      </w:r>
    </w:p>
    <w:p>
      <w:r>
        <w:t>Amount é um campo do Deal. Ele não comprova pagamento nem receita reconhecida. A soma bruta de Amount na amostra é 2000.0, em dois Deals com valor preenchido, e não deve ser apresentada como receita.</w:t>
      </w:r>
    </w:p>
    <w:p>
      <w:pPr>
        <w:pStyle w:val="Heading1"/>
      </w:pPr>
      <w:r>
        <w:t>Entregas finais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8"/>
              </w:rPr>
              <w:t>Pasta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8"/>
              </w:rPr>
              <w:t>Conteúdo principal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01_Analytics_Design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Catálogo de métricas e QA alinhados à coorte de cinco.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02_Data_Mapping_and_Quality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Dicionário, CSVs fonte, planilhas de trabalho e staging SQLite.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03_SQL_Analysis e 04_SQL_Results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Consultas QRY-001 a QRY-006 e resultados executados para a coorte.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06_Executive_Dashboard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Dashboard HubSpot atualizado e verificado com cinco Deals e distribuição reconciliada.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07_Integration_and_Reconciliation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Reconciliação, logs e pacote técnico do lote CSV → SQLite.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08_Final_Report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Este relatório final.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09_Portfolio_and_Career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Resumo de case, currículo, LinkedIn e entrevista técnica.</w:t>
            </w:r>
          </w:p>
        </w:tc>
      </w:tr>
    </w:tbl>
    <w:p>
      <w:pPr>
        <w:spacing w:after="40"/>
      </w:pPr>
    </w:p>
    <w:p>
      <w:r>
        <w:t>Conclusão: o escopo de análise do Projeto 3 está alinhado em cinco Deals entre fonte CSV, SQLite, SQL, planilhas e os dois relatórios do dashboard HubSpot. Os resultados permanecem limitados a fixtures sintéticas.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color w:val="23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NexaFlow Revenue Reporting Analytics</dc:title>
  <dc:subject>Relatório final de QA do Projeto 3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