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NexaFlow — Data Migration Report</w:t>
      </w:r>
    </w:p>
    <w:p>
      <w:r>
        <w:rPr>
          <w:b/>
        </w:rPr>
        <w:t>Arquivo: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6"/>
        </w:rPr>
        <w:t>15_NexaFlow_Data_Migration_Report_v1.0.docx</w:t>
      </w:r>
    </w:p>
    <w:p>
      <w:r>
        <w:rPr>
          <w:b/>
        </w:rPr>
        <w:t>Projeto:</w:t>
      </w:r>
      <w:r>
        <w:rPr>
          <w:b w:val="0"/>
        </w:rPr>
        <w:t xml:space="preserve"> Projeto 1 — Discovery, arquitetura, governança e migração CRM</w:t>
      </w:r>
    </w:p>
    <w:p>
      <w:r>
        <w:rPr>
          <w:b/>
        </w:rPr>
        <w:t>Aula:</w:t>
      </w:r>
      <w:r>
        <w:rPr>
          <w:b w:val="0"/>
        </w:rPr>
        <w:t xml:space="preserve"> 20 — Checkpoints 6, 7 e 8</w:t>
      </w:r>
    </w:p>
    <w:p>
      <w:r>
        <w:rPr>
          <w:b/>
        </w:rPr>
        <w:t>Ambiente testado:</w:t>
      </w:r>
      <w:r>
        <w:rPr>
          <w:b w:val="0"/>
        </w:rPr>
        <w:t xml:space="preserve"> HubSpot Developer Test Account, NexaFlow RevOps Lab, portal </w:t>
      </w:r>
      <w:r>
        <w:rPr>
          <w:rFonts w:ascii="Consolas" w:hAnsi="Consolas"/>
          <w:b w:val="0"/>
          <w:sz w:val="16"/>
        </w:rPr>
        <w:t>[ID HubSpot removido]</w:t>
      </w:r>
    </w:p>
    <w:p>
      <w:r>
        <w:rPr>
          <w:b/>
        </w:rPr>
        <w:t>Referência da execução:</w:t>
      </w:r>
      <w:r>
        <w:rPr>
          <w:b w:val="0"/>
        </w:rPr>
        <w:t xml:space="preserve"> 20–21/09/2026, horário do Japão (conforme capturas da interface)</w:t>
      </w:r>
    </w:p>
    <w:p>
      <w:r>
        <w:rPr>
          <w:b/>
        </w:rPr>
        <w:t>Estado deste relatório:</w:t>
      </w:r>
      <w:r>
        <w:rPr>
          <w:b w:val="0"/>
        </w:rPr>
        <w:t xml:space="preserve"> FINAL — Projeto 1 encerrado em 21/09/2026 após revisão do Checkpoint 8. Escopo aprovado: pacote de 177 registros elegíveis preparado e piloto real representativo de 9 registros no HubSpot; não houve carga integral.</w:t>
      </w:r>
    </w:p>
    <w:p>
      <w:pPr>
        <w:pStyle w:val="Heading1"/>
      </w:pPr>
      <w:r>
        <w:rPr>
          <w:b w:val="0"/>
        </w:rPr>
        <w:t>1. Objetivo e escopo</w:t>
      </w:r>
    </w:p>
    <w:p>
      <w:r>
        <w:rPr>
          <w:b w:val="0"/>
        </w:rPr>
        <w:t xml:space="preserve">Validar em ambiente real, com registros </w:t>
      </w:r>
      <w:r>
        <w:rPr>
          <w:b/>
        </w:rPr>
        <w:t>simulados da NexaFlow</w:t>
      </w:r>
      <w:r>
        <w:rPr>
          <w:b w:val="0"/>
        </w:rPr>
        <w:t>, uma amostra representativa do pacote de migração preparado nas aulas anteriores. O exercício não é a migração integral de uma empresa real nem uma comprovação de carregamento de todos os registros elegíveis.</w:t>
      </w:r>
    </w:p>
    <w:p>
      <w:r>
        <w:rPr>
          <w:b/>
        </w:rPr>
        <w:t>Insumos oficiais: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6"/>
        </w:rPr>
        <w:t>05_Current_Systems_and_Data_Inventory_v1.0.xlsx</w:t>
      </w:r>
      <w:r>
        <w:rPr>
          <w:b w:val="0"/>
        </w:rPr>
        <w:t xml:space="preserve"> (auditoria), </w:t>
      </w:r>
      <w:r>
        <w:rPr>
          <w:rFonts w:ascii="Consolas" w:hAnsi="Consolas"/>
          <w:b w:val="0"/>
          <w:sz w:val="16"/>
        </w:rPr>
        <w:t>12_NexaFlow_Migration_Mapping_v1.0.xlsx</w:t>
      </w:r>
      <w:r>
        <w:rPr>
          <w:b w:val="0"/>
        </w:rPr>
        <w:t xml:space="preserve"> (mapping, ordem e regras de associação), </w:t>
      </w:r>
      <w:r>
        <w:rPr>
          <w:rFonts w:ascii="Consolas" w:hAnsi="Consolas"/>
          <w:b w:val="0"/>
          <w:sz w:val="16"/>
        </w:rPr>
        <w:t>13_NexaFlow_Data_Cleaning_and_Migration_v1.2.xlsx</w:t>
      </w:r>
      <w:r>
        <w:rPr>
          <w:b w:val="0"/>
        </w:rPr>
        <w:t xml:space="preserve"> (ETL e Data Quality) e </w:t>
      </w:r>
      <w:r>
        <w:rPr>
          <w:rFonts w:ascii="Consolas" w:hAnsi="Consolas"/>
          <w:b w:val="0"/>
          <w:sz w:val="16"/>
        </w:rPr>
        <w:t>14_NexaFlow_CRM_Import_Package_v1.0.xlsx</w:t>
      </w:r>
      <w:r>
        <w:rPr>
          <w:b w:val="0"/>
        </w:rPr>
        <w:t xml:space="preserve"> (oito datasets Import Ready). Os arquivos-base permanecem inalterados pelo piloto; foram utilizados arquivos pequenos separados para testar os caminhos disponíveis na interface.</w:t>
      </w:r>
    </w:p>
    <w:p>
      <w:pPr>
        <w:pStyle w:val="Heading1"/>
      </w:pPr>
      <w:r>
        <w:rPr>
          <w:b w:val="0"/>
        </w:rPr>
        <w:t>2. Universo preparado versus volume realmente importado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Objeto/dataset</w:t>
            </w:r>
          </w:p>
        </w:tc>
        <w:tc>
          <w:tcPr>
            <w:tcW w:type="dxa" w:w="2464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Elegíveis no pacote 14</w:t>
            </w:r>
          </w:p>
        </w:tc>
        <w:tc>
          <w:tcPr>
            <w:tcW w:type="dxa" w:w="2464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Criados no piloto</w:t>
            </w:r>
          </w:p>
        </w:tc>
        <w:tc>
          <w:tcPr>
            <w:tcW w:type="dxa" w:w="2464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Limite do teste</w:t>
            </w:r>
          </w:p>
        </w:tc>
      </w:tr>
      <w:tr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Companies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Atlas Comércio</w:t>
            </w:r>
          </w:p>
        </w:tc>
      </w:tr>
      <w:tr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Contacts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Gustavo Melo; Ana Beatriz Lima criada no teste da nota</w:t>
            </w:r>
          </w:p>
        </w:tc>
      </w:tr>
      <w:tr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Deals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OP-0005</w:t>
            </w:r>
          </w:p>
        </w:tc>
      </w:tr>
      <w:tr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Onboarding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ONB-0001</w:t>
            </w:r>
          </w:p>
        </w:tc>
      </w:tr>
      <w:tr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Subscriptions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FIN-0001</w:t>
            </w:r>
          </w:p>
        </w:tc>
      </w:tr>
      <w:tr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Payments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PAY-0001</w:t>
            </w:r>
          </w:p>
        </w:tc>
      </w:tr>
      <w:tr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Tickets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TKT-0001</w:t>
            </w:r>
          </w:p>
        </w:tc>
      </w:tr>
      <w:tr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Interactions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1 nota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EM-0001 representada como nota histórica, não e-mail original</w:t>
            </w:r>
          </w:p>
        </w:tc>
      </w:tr>
      <w:tr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177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9 registros HubSpot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Piloto; não representa carga integral</w:t>
            </w:r>
          </w:p>
        </w:tc>
      </w:tr>
    </w:tbl>
    <w:p>
      <w:pPr>
        <w:spacing w:after="20"/>
      </w:pPr>
    </w:p>
    <w:p>
      <w:r>
        <w:rPr>
          <w:b w:val="0"/>
        </w:rPr>
        <w:t xml:space="preserve">A preparação anterior registra 341 registros consolidados, dos quais 177 elegíveis e 164 separados como exceção/pendência rastreável. A contagem de nove registros criados no HubSpot inclui </w:t>
      </w:r>
      <w:r>
        <w:rPr>
          <w:b/>
        </w:rPr>
        <w:t>dois Contacts</w:t>
      </w:r>
      <w:r>
        <w:rPr>
          <w:b w:val="0"/>
        </w:rPr>
        <w:t xml:space="preserve">, pois a importação da nota exigiu criar Ana Beatriz Lima. Não deve ser apresentada como nove linhas distintas de origem migradas. A diferença </w:t>
      </w:r>
      <w:r>
        <w:rPr>
          <w:rFonts w:ascii="Consolas" w:hAnsi="Consolas"/>
          <w:b w:val="0"/>
          <w:sz w:val="16"/>
        </w:rPr>
        <w:t>177 − 9</w:t>
      </w:r>
      <w:r>
        <w:rPr>
          <w:b w:val="0"/>
        </w:rPr>
        <w:t xml:space="preserve"> </w:t>
      </w:r>
      <w:r>
        <w:rPr>
          <w:b/>
        </w:rPr>
        <w:t>não é falha de migração</w:t>
      </w:r>
      <w:r>
        <w:rPr>
          <w:b w:val="0"/>
        </w:rPr>
        <w:t>: os demais elegíveis não foram selecionados para este piloto.</w:t>
      </w:r>
    </w:p>
    <w:p>
      <w:pPr>
        <w:pStyle w:val="Heading1"/>
      </w:pPr>
      <w:r>
        <w:rPr>
          <w:b w:val="0"/>
        </w:rPr>
        <w:t>3. Evidência de importação por caso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Caso</w:t>
            </w:r>
          </w:p>
        </w:tc>
        <w:tc>
          <w:tcPr>
            <w:tcW w:type="dxa" w:w="3286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Comprovação observada na interface</w:t>
            </w:r>
          </w:p>
        </w:tc>
        <w:tc>
          <w:tcPr>
            <w:tcW w:type="dxa" w:w="3286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Condição / observação</w:t>
            </w:r>
          </w:p>
        </w:tc>
      </w:tr>
      <w:tr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Atlas Comércio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Empresa criada, Company Match Key </w:t>
            </w:r>
            <w:r>
              <w:rPr>
                <w:rFonts w:ascii="Consolas" w:hAnsi="Consolas"/>
                <w:b w:val="0"/>
                <w:sz w:val="14"/>
              </w:rPr>
              <w:t>atlas comercio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Chave exclusiva criada para Companies; ambiente Developer distinto da conta Free inicial</w:t>
            </w:r>
          </w:p>
        </w:tc>
      </w:tr>
      <w:tr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Gustavo Melo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Contact criado com </w:t>
            </w:r>
            <w:r>
              <w:rPr>
                <w:rFonts w:ascii="Consolas" w:hAnsi="Consolas"/>
                <w:b w:val="0"/>
                <w:sz w:val="14"/>
              </w:rPr>
              <w:t>gustavo.melo@example.com</w:t>
            </w:r>
            <w:r>
              <w:rPr>
                <w:b w:val="0"/>
                <w:sz w:val="14"/>
              </w:rPr>
              <w:t>; associação à Atlas Comércio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E-mail sintético; a sugestão de remoção por formatação foi rejeitada</w:t>
            </w:r>
          </w:p>
        </w:tc>
      </w:tr>
      <w:tr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OP-0005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Deal Closed Won, Sales Pipeline, R$ 12.840,00, Close Date 18/08/2026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Associações com Atlas Comércio e Gustavo verificadas; Camila Nunes não foi atribuída como owner, pois não é usuária real do portal</w:t>
            </w:r>
          </w:p>
        </w:tc>
      </w:tr>
      <w:tr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ONB-0001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Importação: 1 linha, 1 novo registro, 2 registros atualizados, 2 novas associações, 0 erros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Registro com Atlas Comércio e OP-0005; datas e etapa Configuração verificadas</w:t>
            </w:r>
          </w:p>
        </w:tc>
      </w:tr>
      <w:tr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FIN-0001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Importação: 1 linha, 1 novo registro, 0 erros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Associação com Atlas Comércio efetuada manualmente; Deal e Payment ainda não associados; não foram criados agendamento de cobrança ou invoice no teste</w:t>
            </w:r>
          </w:p>
        </w:tc>
      </w:tr>
      <w:tr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TKT-0001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Importação: 1 linha, 1 novo registro, 2 atualizados, 2 associações, 0 erros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Ticket Closed no Support Pipeline; Contact Gustavo e Company Atlas associados; automações nativas de ticket verificadas e restauradas após controle de teste</w:t>
            </w:r>
          </w:p>
        </w:tc>
      </w:tr>
      <w:tr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EM-0001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Importação: 1 linha, 2 novos registros (Contact + Note), 1 associação, 0 erros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Nota ligada à Ana; 1 aviso de domínio sintético </w:t>
            </w:r>
            <w:r>
              <w:rPr>
                <w:rFonts w:ascii="Consolas" w:hAnsi="Consolas"/>
                <w:b w:val="0"/>
                <w:sz w:val="14"/>
              </w:rPr>
              <w:t>example.com</w:t>
            </w:r>
            <w:r>
              <w:rPr>
                <w:b w:val="0"/>
                <w:sz w:val="14"/>
              </w:rPr>
              <w:t xml:space="preserve"> analisado e correção REMOVE rejeitada</w:t>
            </w:r>
          </w:p>
        </w:tc>
      </w:tr>
      <w:tr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PAY-0001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Importação: 1 linha, 1 novo registro, 0 erros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Gross amount R$ 12.840,00; data 09/08/2026; método Other; status Succeeded; External Reference ID preservado</w:t>
            </w:r>
          </w:p>
        </w:tc>
      </w:tr>
    </w:tbl>
    <w:p>
      <w:pPr>
        <w:spacing w:after="20"/>
      </w:pPr>
    </w:p>
    <w:p>
      <w:r>
        <w:rPr>
          <w:b/>
        </w:rPr>
        <w:t>Interpretação do status financeiro:</w:t>
      </w:r>
      <w:r>
        <w:rPr>
          <w:b w:val="0"/>
        </w:rPr>
        <w:t xml:space="preserve"> a ficha PAY-0001 exibe </w:t>
      </w:r>
      <w:r>
        <w:rPr>
          <w:rFonts w:ascii="Consolas" w:hAnsi="Consolas"/>
          <w:b w:val="0"/>
          <w:sz w:val="16"/>
        </w:rPr>
        <w:t>Succeeded</w:t>
      </w:r>
      <w:r>
        <w:rPr>
          <w:b w:val="0"/>
        </w:rPr>
        <w:t>, porém a captura não prova uma nova transação bancária e tampouco prova, por si só, a inexistência de todo efeito financeiro externo. O teste foi realizado com dados simulados no ambiente de desenvolvimento, sem configuração de checkout ou meios reais de cobrança.</w:t>
      </w:r>
    </w:p>
    <w:p>
      <w:pPr>
        <w:pStyle w:val="Heading1"/>
      </w:pPr>
      <w:r>
        <w:rPr>
          <w:b w:val="0"/>
        </w:rPr>
        <w:t>4. Reconciliação de identidade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Objeto</w:t>
            </w:r>
          </w:p>
        </w:tc>
        <w:tc>
          <w:tcPr>
            <w:tcW w:type="dxa" w:w="2464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Identificador original / chave de vínculo</w:t>
            </w:r>
          </w:p>
        </w:tc>
        <w:tc>
          <w:tcPr>
            <w:tcW w:type="dxa" w:w="2464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Identificador exibido no HubSpot</w:t>
            </w:r>
          </w:p>
        </w:tc>
        <w:tc>
          <w:tcPr>
            <w:tcW w:type="dxa" w:w="2464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Evidência / ressalva</w:t>
            </w:r>
          </w:p>
        </w:tc>
      </w:tr>
      <w:tr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sz w:val="14"/>
              </w:rPr>
              <w:t>atlas comercio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Record ID </w:t>
            </w:r>
            <w:r>
              <w:rPr>
                <w:rFonts w:ascii="Consolas" w:hAnsi="Consolas"/>
                <w:b w:val="0"/>
                <w:sz w:val="14"/>
              </w:rPr>
              <w:t>[ID HubSpot removido]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Developer Test Account; não confundir com ID da conta Free</w:t>
            </w:r>
          </w:p>
        </w:tc>
      </w:tr>
      <w:tr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Contact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sz w:val="14"/>
              </w:rPr>
              <w:t>EMAIL|gustavo.melo@example.com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Record ID </w:t>
            </w:r>
            <w:r>
              <w:rPr>
                <w:rFonts w:ascii="Consolas" w:hAnsi="Consolas"/>
                <w:b w:val="0"/>
                <w:sz w:val="14"/>
              </w:rPr>
              <w:t>[ID HubSpot removido]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E-mail e associação com Company verificados</w:t>
            </w:r>
          </w:p>
        </w:tc>
      </w:tr>
      <w:tr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Deal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sz w:val="14"/>
              </w:rPr>
              <w:t>OP-0005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Record ID </w:t>
            </w:r>
            <w:r>
              <w:rPr>
                <w:rFonts w:ascii="Consolas" w:hAnsi="Consolas"/>
                <w:b w:val="0"/>
                <w:sz w:val="14"/>
              </w:rPr>
              <w:t>[ID HubSpot removido]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Registro, valor, etapa e data conferidos</w:t>
            </w:r>
          </w:p>
        </w:tc>
      </w:tr>
      <w:tr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Onboarding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sz w:val="14"/>
              </w:rPr>
              <w:t>ONB-0001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Record ID </w:t>
            </w:r>
            <w:r>
              <w:rPr>
                <w:rFonts w:ascii="Consolas" w:hAnsi="Consolas"/>
                <w:b w:val="0"/>
                <w:sz w:val="14"/>
              </w:rPr>
              <w:t>[ID HubSpot removido]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Source Record ID mantido</w:t>
            </w:r>
          </w:p>
        </w:tc>
      </w:tr>
      <w:tr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Subscription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sz w:val="14"/>
              </w:rPr>
              <w:t>FIN-0001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Record ID </w:t>
            </w:r>
            <w:r>
              <w:rPr>
                <w:rFonts w:ascii="Consolas" w:hAnsi="Consolas"/>
                <w:b w:val="0"/>
                <w:sz w:val="14"/>
              </w:rPr>
              <w:t>[ID HubSpot removido]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Registro criado como </w:t>
            </w:r>
            <w:r>
              <w:rPr>
                <w:rFonts w:ascii="Consolas" w:hAnsi="Consolas"/>
                <w:b w:val="0"/>
                <w:sz w:val="14"/>
              </w:rPr>
              <w:t>FIN-0001 - Pro Anual</w:t>
            </w:r>
          </w:p>
        </w:tc>
      </w:tr>
      <w:tr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Payment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sz w:val="14"/>
              </w:rPr>
              <w:t>PAY-0001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Payment ID `[ID HubSpot removido]`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Não presumir que Payment ID equivale ao Record ID do CRM; External Reference ID </w:t>
            </w:r>
            <w:r>
              <w:rPr>
                <w:rFonts w:ascii="Consolas" w:hAnsi="Consolas"/>
                <w:b w:val="0"/>
                <w:sz w:val="14"/>
              </w:rPr>
              <w:t>PAY-0001</w:t>
            </w:r>
            <w:r>
              <w:rPr>
                <w:b w:val="0"/>
                <w:sz w:val="14"/>
              </w:rPr>
              <w:t xml:space="preserve"> visível e confirmado</w:t>
            </w:r>
          </w:p>
        </w:tc>
      </w:tr>
      <w:tr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Ticket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sz w:val="14"/>
              </w:rPr>
              <w:t>TKT-0001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Record ID </w:t>
            </w:r>
            <w:r>
              <w:rPr>
                <w:rFonts w:ascii="Consolas" w:hAnsi="Consolas"/>
                <w:b w:val="0"/>
                <w:sz w:val="14"/>
              </w:rPr>
              <w:t>[ID HubSpot removido]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Source Record ID mantido</w:t>
            </w:r>
          </w:p>
        </w:tc>
      </w:tr>
      <w:tr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Contact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sz w:val="14"/>
              </w:rPr>
              <w:t>LD-0001</w:t>
            </w:r>
            <w:r>
              <w:rPr>
                <w:b w:val="0"/>
                <w:sz w:val="14"/>
              </w:rPr>
              <w:t xml:space="preserve"> / </w:t>
            </w:r>
            <w:r>
              <w:rPr>
                <w:rFonts w:ascii="Consolas" w:hAnsi="Consolas"/>
                <w:b w:val="0"/>
                <w:sz w:val="14"/>
              </w:rPr>
              <w:t>ana.lima@example.com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Record ID </w:t>
            </w:r>
            <w:r>
              <w:rPr>
                <w:rFonts w:ascii="Consolas" w:hAnsi="Consolas"/>
                <w:b w:val="0"/>
                <w:sz w:val="14"/>
              </w:rPr>
              <w:t>[ID HubSpot removido]</w:t>
            </w:r>
          </w:p>
        </w:tc>
        <w:tc>
          <w:tcPr>
            <w:tcW w:type="dxa" w:w="2464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Contato do piloto Interactions</w:t>
            </w:r>
          </w:p>
        </w:tc>
      </w:tr>
      <w:tr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Note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sz w:val="14"/>
              </w:rPr>
              <w:t>EM-0001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Não coletado</w:t>
            </w:r>
          </w:p>
        </w:tc>
        <w:tc>
          <w:tcPr>
            <w:tcW w:type="dxa" w:w="2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ID legado aparece no corpo da nota e vínculo com Ana foi verificado; não inventar ID nativo</w:t>
            </w:r>
          </w:p>
        </w:tc>
      </w:tr>
    </w:tbl>
    <w:p>
      <w:pPr>
        <w:spacing w:after="20"/>
      </w:pPr>
    </w:p>
    <w:p>
      <w:r>
        <w:rPr>
          <w:b w:val="0"/>
        </w:rPr>
        <w:t>A prova de uma chave é a combinação entre identificador da origem, valor efetivamente importado e registro de destino. Uma ID de usuário, cobrança ou outro objeto não substitui o Record ID sem validação.</w:t>
      </w:r>
    </w:p>
    <w:p>
      <w:pPr>
        <w:pStyle w:val="Heading1"/>
      </w:pPr>
      <w:r>
        <w:rPr>
          <w:b w:val="0"/>
        </w:rPr>
        <w:t>5. Reconciliação de associações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Associação examinada</w:t>
            </w:r>
          </w:p>
        </w:tc>
        <w:tc>
          <w:tcPr>
            <w:tcW w:type="dxa" w:w="4929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Resultado no piloto</w:t>
            </w:r>
          </w:p>
        </w:tc>
      </w:tr>
      <w:tr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Gustavo → Atlas Comércio</w:t>
            </w:r>
          </w:p>
        </w:tc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Verificada</w:t>
            </w:r>
          </w:p>
        </w:tc>
      </w:tr>
      <w:tr>
        <w:tc>
          <w:tcPr>
            <w:tcW w:type="dxa" w:w="4929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OP-0005 → Atlas Comércio</w:t>
            </w:r>
          </w:p>
        </w:tc>
        <w:tc>
          <w:tcPr>
            <w:tcW w:type="dxa" w:w="4929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Verificada</w:t>
            </w:r>
          </w:p>
        </w:tc>
      </w:tr>
      <w:tr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OP-0005 → Gustavo</w:t>
            </w:r>
          </w:p>
        </w:tc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Verificada</w:t>
            </w:r>
          </w:p>
        </w:tc>
      </w:tr>
      <w:tr>
        <w:tc>
          <w:tcPr>
            <w:tcW w:type="dxa" w:w="4929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ONB-0001 → Atlas Comércio</w:t>
            </w:r>
          </w:p>
        </w:tc>
        <w:tc>
          <w:tcPr>
            <w:tcW w:type="dxa" w:w="4929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Verificada</w:t>
            </w:r>
          </w:p>
        </w:tc>
      </w:tr>
      <w:tr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ONB-0001 → OP-0005</w:t>
            </w:r>
          </w:p>
        </w:tc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Verificada</w:t>
            </w:r>
          </w:p>
        </w:tc>
      </w:tr>
      <w:tr>
        <w:tc>
          <w:tcPr>
            <w:tcW w:type="dxa" w:w="4929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FIN-0001 → Atlas Comércio</w:t>
            </w:r>
          </w:p>
        </w:tc>
        <w:tc>
          <w:tcPr>
            <w:tcW w:type="dxa" w:w="4929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Verificada </w:t>
            </w:r>
            <w:r>
              <w:rPr>
                <w:b/>
                <w:sz w:val="14"/>
              </w:rPr>
              <w:t>manualmente</w:t>
            </w:r>
          </w:p>
        </w:tc>
      </w:tr>
      <w:tr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FIN-0001 → OP-0005</w:t>
            </w:r>
          </w:p>
        </w:tc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Não executada / pendente</w:t>
            </w:r>
          </w:p>
        </w:tc>
      </w:tr>
      <w:tr>
        <w:tc>
          <w:tcPr>
            <w:tcW w:type="dxa" w:w="4929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FIN-0001 → PAY-0001</w:t>
            </w:r>
          </w:p>
        </w:tc>
        <w:tc>
          <w:tcPr>
            <w:tcW w:type="dxa" w:w="4929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Não executada / pendente</w:t>
            </w:r>
          </w:p>
        </w:tc>
      </w:tr>
      <w:tr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PAY-0001 → Atlas Comércio</w:t>
            </w:r>
          </w:p>
        </w:tc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Não executada / pendente</w:t>
            </w:r>
          </w:p>
        </w:tc>
      </w:tr>
      <w:tr>
        <w:tc>
          <w:tcPr>
            <w:tcW w:type="dxa" w:w="4929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PAY-0001 → FIN-0001</w:t>
            </w:r>
          </w:p>
        </w:tc>
        <w:tc>
          <w:tcPr>
            <w:tcW w:type="dxa" w:w="4929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Não executada / pendente</w:t>
            </w:r>
          </w:p>
        </w:tc>
      </w:tr>
      <w:tr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TKT-0001 → Atlas Comércio</w:t>
            </w:r>
          </w:p>
        </w:tc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Verificada</w:t>
            </w:r>
          </w:p>
        </w:tc>
      </w:tr>
      <w:tr>
        <w:tc>
          <w:tcPr>
            <w:tcW w:type="dxa" w:w="4929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TKT-0001 → Gustavo</w:t>
            </w:r>
          </w:p>
        </w:tc>
        <w:tc>
          <w:tcPr>
            <w:tcW w:type="dxa" w:w="4929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Verificada</w:t>
            </w:r>
          </w:p>
        </w:tc>
      </w:tr>
      <w:tr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Note EM-0001 → Ana Beatriz Lima</w:t>
            </w:r>
          </w:p>
        </w:tc>
        <w:tc>
          <w:tcPr>
            <w:tcW w:type="dxa" w:w="492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Verificada (1 associação)</w:t>
            </w:r>
          </w:p>
        </w:tc>
      </w:tr>
    </w:tbl>
    <w:p>
      <w:pPr>
        <w:spacing w:after="20"/>
      </w:pPr>
    </w:p>
    <w:p>
      <w:r>
        <w:rPr>
          <w:b/>
        </w:rPr>
        <w:t>Limitação específica dos objetos financeiros:</w:t>
      </w:r>
      <w:r>
        <w:rPr>
          <w:b w:val="0"/>
        </w:rPr>
        <w:t xml:space="preserve"> a interface testada permitiu importar Subscriptions e Payments como objetos únicos, mas não demonstrou associação financeira em lote nesse mesmo fluxo. API de associações foi identificada como alternativa para uma futura carga integral; </w:t>
      </w:r>
      <w:r>
        <w:rPr>
          <w:b/>
        </w:rPr>
        <w:t>não foi implementada, executada nem validada neste piloto</w:t>
      </w:r>
      <w:r>
        <w:rPr>
          <w:b w:val="0"/>
        </w:rPr>
        <w:t>. Uma associação manual de FIN-0001 à Atlas Comércio não serve de evidência de automação em escala.</w:t>
      </w:r>
    </w:p>
    <w:p>
      <w:pPr>
        <w:pStyle w:val="Heading1"/>
      </w:pPr>
      <w:r>
        <w:rPr>
          <w:b w:val="0"/>
        </w:rPr>
        <w:t>6. Transformações e divergências entre origem e destino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Origem / expectativa</w:t>
            </w:r>
          </w:p>
        </w:tc>
        <w:tc>
          <w:tcPr>
            <w:tcW w:type="dxa" w:w="3286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Resultado observado</w:t>
            </w:r>
          </w:p>
        </w:tc>
        <w:tc>
          <w:tcPr>
            <w:tcW w:type="dxa" w:w="3286"/>
            <w:vAlign w:val="center"/>
            <w:shd w:fill="DCEA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Tratamento documental</w:t>
            </w:r>
          </w:p>
        </w:tc>
      </w:tr>
      <w:tr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OP-0005, </w:t>
            </w:r>
            <w:r>
              <w:rPr>
                <w:rFonts w:ascii="Consolas" w:hAnsi="Consolas"/>
                <w:b w:val="0"/>
                <w:sz w:val="14"/>
              </w:rPr>
              <w:t>Fechada ganha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sz w:val="14"/>
              </w:rPr>
              <w:t>Closed Won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Mapeamento ao estágio padrão do Sales Pipeline do portal de teste; não equivale ao pipeline TO-BE definitivo do Projeto 2</w:t>
            </w:r>
          </w:p>
        </w:tc>
      </w:tr>
      <w:tr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OP-0005, </w:t>
            </w:r>
            <w:r>
              <w:rPr>
                <w:rFonts w:ascii="Consolas" w:hAnsi="Consolas"/>
                <w:b w:val="0"/>
                <w:sz w:val="14"/>
              </w:rPr>
              <w:t>Camila Nunes</w:t>
            </w:r>
            <w:r>
              <w:rPr>
                <w:b w:val="0"/>
                <w:sz w:val="14"/>
              </w:rPr>
              <w:t xml:space="preserve"> como owner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No owner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Usuária não existente no portal; não atribuir Karla ou criar usuária fictícia só para passar na importação</w:t>
            </w:r>
          </w:p>
        </w:tc>
      </w:tr>
      <w:tr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ONB-0001, Configuração, referido em 19/08, início 21/08, conclusão esperada 05/09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Propriedades e associações apresentadas na ficha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Data de conclusão efetiva ausente na origem; mantida vazia</w:t>
            </w:r>
          </w:p>
        </w:tc>
      </w:tr>
      <w:tr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FIN-0001, Pro Anual, R$ 12.840,00, Ativa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Registro Name </w:t>
            </w:r>
            <w:r>
              <w:rPr>
                <w:rFonts w:ascii="Consolas" w:hAnsi="Consolas"/>
                <w:b w:val="0"/>
                <w:sz w:val="14"/>
              </w:rPr>
              <w:t>FIN-0001 - Pro Anual</w:t>
            </w:r>
            <w:r>
              <w:rPr>
                <w:b w:val="0"/>
                <w:sz w:val="14"/>
              </w:rPr>
              <w:t>; dados de billing/MRR/ARR não preenchidos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/>
                <w:sz w:val="14"/>
              </w:rPr>
              <w:t>Carga parcial de Subscription:</w:t>
            </w:r>
            <w:r>
              <w:rPr>
                <w:b w:val="0"/>
                <w:sz w:val="14"/>
              </w:rPr>
              <w:t xml:space="preserve"> não afirmar preservação de valor recorrente, status ou datas ausentes na ficha; não extrapolar indicador de receita a partir dela</w:t>
            </w:r>
          </w:p>
        </w:tc>
      </w:tr>
      <w:tr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PAY-0001, </w:t>
            </w:r>
            <w:r>
              <w:rPr>
                <w:rFonts w:ascii="Consolas" w:hAnsi="Consolas"/>
                <w:b w:val="0"/>
                <w:sz w:val="14"/>
              </w:rPr>
              <w:t>Boleto</w:t>
            </w:r>
            <w:r>
              <w:rPr>
                <w:b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sz w:val="14"/>
              </w:rPr>
              <w:t>Pago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sz w:val="14"/>
              </w:rPr>
              <w:t>Other</w:t>
            </w:r>
            <w:r>
              <w:rPr>
                <w:b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sz w:val="14"/>
              </w:rPr>
              <w:t>Succeeded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Other não equivale semanticamente a Boleto; meio original e status de origem permanecem no pacote 14, não nas propriedades importadas</w:t>
            </w:r>
          </w:p>
        </w:tc>
      </w:tr>
      <w:tr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PAY-0001, R$ 12.840,00, 09/08/2026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R$ 12.840,00, 09/08/2026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Valor, moeda BRL, data e referência externa conferidos; vencimento 10/08 não carregado no piloto</w:t>
            </w:r>
          </w:p>
        </w:tc>
      </w:tr>
      <w:tr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TKT-0001, </w:t>
            </w:r>
            <w:r>
              <w:rPr>
                <w:rFonts w:ascii="Consolas" w:hAnsi="Consolas"/>
                <w:b w:val="0"/>
                <w:sz w:val="14"/>
              </w:rPr>
              <w:t>Resolvido</w:t>
            </w:r>
            <w:r>
              <w:rPr>
                <w:b w:val="0"/>
                <w:sz w:val="14"/>
              </w:rPr>
              <w:t>, prioridade Baixa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sz w:val="14"/>
              </w:rPr>
              <w:t>Closed</w:t>
            </w:r>
            <w:r>
              <w:rPr>
                <w:b w:val="0"/>
                <w:sz w:val="14"/>
              </w:rPr>
              <w:t>, Priority não importada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Mapeamento do status operacional ao pipeline padrão; </w:t>
            </w:r>
            <w:r>
              <w:rPr>
                <w:b/>
                <w:sz w:val="14"/>
              </w:rPr>
              <w:t>não afirmar que Resolvido e Encerrado sejam equivalentes no modelo de dados</w:t>
            </w:r>
            <w:r>
              <w:rPr>
                <w:b w:val="0"/>
                <w:sz w:val="14"/>
              </w:rPr>
              <w:t>; prioridade e owner não migrados neste teste</w:t>
            </w:r>
          </w:p>
        </w:tc>
      </w:tr>
      <w:tr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TKT-0001, first response 01/08 10:00, resolved 01/08 14:00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Exibição na conta em GMT+9 pode apresentar mudança de data/hora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Reconciliar timestamps em um fuso explícito; não tratar diferenças de apresentação como alteração da data original sem conferir conversão</w:t>
            </w:r>
          </w:p>
        </w:tc>
      </w:tr>
      <w:tr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EM-0001, e-mail de saída </w:t>
            </w:r>
            <w:r>
              <w:rPr>
                <w:rFonts w:ascii="Consolas" w:hAnsi="Consolas"/>
                <w:b w:val="0"/>
                <w:sz w:val="14"/>
              </w:rPr>
              <w:t>Material CRM</w:t>
            </w:r>
            <w:r>
              <w:rPr>
                <w:b w:val="0"/>
                <w:sz w:val="14"/>
              </w:rPr>
              <w:t xml:space="preserve"> sem corpo completo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Note histórica com assunto, responsável, resumo, resultado, IDs legados e aviso de limitação</w:t>
            </w:r>
          </w:p>
        </w:tc>
        <w:tc>
          <w:tcPr>
            <w:tcW w:type="dxa" w:w="328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Mudança consciente de representação; </w:t>
            </w:r>
            <w:r>
              <w:rPr>
                <w:b/>
                <w:sz w:val="14"/>
              </w:rPr>
              <w:t>não houve migração do e-mail original</w:t>
            </w:r>
          </w:p>
        </w:tc>
      </w:tr>
      <w:tr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 xml:space="preserve">Ana e Gustavo, emails </w:t>
            </w:r>
            <w:r>
              <w:rPr>
                <w:rFonts w:ascii="Consolas" w:hAnsi="Consolas"/>
                <w:b w:val="0"/>
                <w:sz w:val="14"/>
              </w:rPr>
              <w:t>example.com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Contatos preservados; aviso de possível e-mail temporário/inválido</w:t>
            </w:r>
          </w:p>
        </w:tc>
        <w:tc>
          <w:tcPr>
            <w:tcW w:type="dxa" w:w="3286"/>
            <w:vAlign w:val="center"/>
            <w:shd w:fill="F3F7F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40" w:before="40"/>
            </w:pPr>
            <w:r>
              <w:rPr>
                <w:b w:val="0"/>
                <w:sz w:val="14"/>
              </w:rPr>
              <w:t>Domínio intencional para dados simulados; sugestão de remover recusada; não tratar como endereço operacional válido para campanhas</w:t>
            </w:r>
          </w:p>
        </w:tc>
      </w:tr>
    </w:tbl>
    <w:p>
      <w:pPr>
        <w:spacing w:after="20"/>
      </w:pPr>
    </w:p>
    <w:p>
      <w:r>
        <w:rPr>
          <w:b/>
        </w:rPr>
        <w:t>Ponto de governança:</w:t>
      </w:r>
      <w:r>
        <w:rPr>
          <w:b w:val="0"/>
        </w:rPr>
        <w:t xml:space="preserve"> os defaults do HubSpot, inclusive </w:t>
      </w:r>
      <w:r>
        <w:rPr>
          <w:rFonts w:ascii="Consolas" w:hAnsi="Consolas"/>
          <w:b w:val="0"/>
          <w:sz w:val="16"/>
        </w:rPr>
        <w:t>Succeeded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6"/>
        </w:rPr>
        <w:t>Closed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6"/>
        </w:rPr>
        <w:t>Lead</w:t>
      </w:r>
      <w:r>
        <w:rPr>
          <w:b w:val="0"/>
        </w:rPr>
        <w:t xml:space="preserve"> e timestamps gerados pelo sistema, devem ser identificados como valores do destino quando não vierem literalmente da origem. Não usar o piloto como prova de equivalência de todos os valores controlados dos 177 elegíveis.</w:t>
      </w:r>
    </w:p>
    <w:p>
      <w:pPr>
        <w:pStyle w:val="Heading1"/>
      </w:pPr>
      <w:r>
        <w:rPr>
          <w:b w:val="0"/>
        </w:rPr>
        <w:t>7. Ambiente, reversão e controles de execução</w:t>
      </w:r>
    </w:p>
    <w:p>
      <w:pPr>
        <w:pStyle w:val="ListBullet"/>
      </w:pPr>
      <w:r>
        <w:rPr>
          <w:b w:val="0"/>
        </w:rPr>
        <w:t xml:space="preserve">O piloto foi executado em </w:t>
      </w:r>
      <w:r>
        <w:rPr>
          <w:rFonts w:ascii="Consolas" w:hAnsi="Consolas"/>
          <w:b w:val="0"/>
          <w:sz w:val="16"/>
        </w:rPr>
        <w:t>NexaFlow RevOps Lab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6"/>
        </w:rPr>
        <w:t>[ID HubSpot removido]</w:t>
      </w:r>
      <w:r>
        <w:rPr>
          <w:b w:val="0"/>
        </w:rPr>
        <w:t>), uma Developer Test Account, separada do portal Free anteriormente utilizado.</w:t>
      </w:r>
    </w:p>
    <w:p>
      <w:pPr>
        <w:pStyle w:val="ListBullet"/>
      </w:pPr>
      <w:r>
        <w:rPr>
          <w:b w:val="0"/>
        </w:rPr>
        <w:t xml:space="preserve">A estratégia mínima de reversão observada na UI foi localizar </w:t>
      </w:r>
      <w:r>
        <w:rPr>
          <w:b/>
        </w:rPr>
        <w:t>novos registros pelo histórico da importação</w:t>
      </w:r>
      <w:r>
        <w:rPr>
          <w:b w:val="0"/>
        </w:rPr>
        <w:t xml:space="preserve"> e excluí-los individualmente caso necessário, respeitando associações e dependências. Não foi demonstrado um botão único de rollback transacional.</w:t>
      </w:r>
    </w:p>
    <w:p>
      <w:pPr>
        <w:pStyle w:val="ListBullet"/>
      </w:pPr>
      <w:r>
        <w:rPr>
          <w:b w:val="0"/>
        </w:rPr>
        <w:t>Excluir um novo registro não desfaz necessariamente alterações feitas nos registros existentes (</w:t>
      </w:r>
      <w:r>
        <w:rPr>
          <w:rFonts w:ascii="Consolas" w:hAnsi="Consolas"/>
          <w:b w:val="0"/>
          <w:sz w:val="16"/>
        </w:rPr>
        <w:t>Update existing</w:t>
      </w:r>
      <w:r>
        <w:rPr>
          <w:b w:val="0"/>
        </w:rPr>
        <w:t>); este é um risco explícito dos imports multiobjeto usados para criar associações.</w:t>
      </w:r>
    </w:p>
    <w:p>
      <w:pPr>
        <w:pStyle w:val="ListBullet"/>
      </w:pPr>
      <w:r>
        <w:rPr>
          <w:b w:val="0"/>
        </w:rPr>
        <w:t>Foram importados lotes de uma linha por objeto, com mapeamento conferido antes de executar e revisão dos registros depois.</w:t>
      </w:r>
    </w:p>
    <w:p>
      <w:pPr>
        <w:pStyle w:val="ListBullet"/>
      </w:pPr>
      <w:r>
        <w:rPr>
          <w:b w:val="0"/>
        </w:rPr>
        <w:t>As quatro automações nativas de Tickets foram inspecionadas para identificar possíveis efeitos; a lista final exibiu quatro workflows publicados. A inexistência de disparos efetivos de e-mail externo não foi demonstrada por logs e não deve ser afirmada.</w:t>
      </w:r>
    </w:p>
    <w:p>
      <w:pPr>
        <w:pStyle w:val="ListBullet"/>
      </w:pPr>
      <w:r>
        <w:rPr>
          <w:b w:val="0"/>
        </w:rPr>
        <w:t>Não houve autorização nem evidência de carga total dos 177 elegíveis; não repetir testes apenas para aumentar número de screenshots.</w:t>
      </w:r>
    </w:p>
    <w:p>
      <w:pPr>
        <w:pStyle w:val="Heading1"/>
      </w:pPr>
      <w:r>
        <w:rPr>
          <w:b w:val="0"/>
        </w:rPr>
        <w:t>8. Conclusão técnica e pontos de saída</w:t>
      </w:r>
    </w:p>
    <w:p>
      <w:r>
        <w:rPr>
          <w:b/>
        </w:rPr>
        <w:t>Checkpoint 6 — Piloto:</w:t>
      </w:r>
      <w:r>
        <w:rPr>
          <w:b w:val="0"/>
        </w:rPr>
        <w:t xml:space="preserve"> executado para todos os oito tipos de dataset, com sucesso de criação nos casos selecionados e ressalvas explícitas para finance, interação e defaults operacionais. Evidência suficiente para passar à reconciliação do próprio piloto, sem exigir carga integral.</w:t>
      </w:r>
    </w:p>
    <w:p>
      <w:r>
        <w:rPr>
          <w:b/>
        </w:rPr>
        <w:t>Checkpoint 7 — Reconciliação:</w:t>
      </w:r>
      <w:r>
        <w:rPr>
          <w:b w:val="0"/>
        </w:rPr>
        <w:t xml:space="preserve"> contagens, chaves disponíveis, associações testadas e divergências relevantes consolidadas neste relatório. A reconciliação </w:t>
      </w:r>
      <w:r>
        <w:rPr>
          <w:b/>
        </w:rPr>
        <w:t>é restrita ao piloto</w:t>
      </w:r>
      <w:r>
        <w:rPr>
          <w:b w:val="0"/>
        </w:rPr>
        <w:t>; relações financeiras não executadas estão marcadas como pendentes, e não como aprovadas.</w:t>
      </w:r>
    </w:p>
    <w:p>
      <w:r>
        <w:rPr>
          <w:b/>
        </w:rPr>
        <w:t>Checkpoint 8 — Encerramento: CONCLUÍDO EM 21/09/2026.</w:t>
      </w:r>
      <w:r>
        <w:rPr>
          <w:b w:val="0"/>
        </w:rPr>
        <w:t xml:space="preserve"> A documentação, as exceções e as lições técnicas foram revisadas e consolidadas. O Projeto 1 foi encerrado com o escopo de </w:t>
      </w:r>
      <w:r>
        <w:rPr>
          <w:b/>
        </w:rPr>
        <w:t>piloto real representativo + pacote completo preparado</w:t>
      </w:r>
      <w:r>
        <w:rPr>
          <w:b w:val="0"/>
        </w:rPr>
        <w:t xml:space="preserve">, </w:t>
      </w:r>
      <w:r>
        <w:rPr>
          <w:b/>
        </w:rPr>
        <w:t>não</w:t>
      </w:r>
      <w:r>
        <w:rPr>
          <w:b w:val="0"/>
        </w:rPr>
        <w:t xml:space="preserve"> como importação integral nem implantação de associações financeiras por API. As associações financeiras não executadas, as limitações de Interactions e os campos não migrados no piloto permanecem registrados como limites da evidência e requisitos de eventual implementação futura, sem bloquear o início do Projeto 2.</w:t>
      </w:r>
    </w:p>
    <w:p>
      <w:pPr>
        <w:pStyle w:val="Heading2"/>
      </w:pPr>
      <w:r>
        <w:rPr>
          <w:b w:val="0"/>
        </w:rPr>
        <w:t>Lições demonstráveis para o portfólio</w:t>
      </w:r>
    </w:p>
    <w:p>
      <w:pPr>
        <w:pStyle w:val="ListNumber"/>
      </w:pPr>
      <w:r>
        <w:rPr>
          <w:b w:val="0"/>
        </w:rPr>
        <w:t>Separar o universo preparado, exceções e amostra realmente importada; reconciliar sem transformar ausência de carga em erro fictício.</w:t>
      </w:r>
    </w:p>
    <w:p>
      <w:pPr>
        <w:pStyle w:val="ListNumber"/>
      </w:pPr>
      <w:r>
        <w:rPr>
          <w:b w:val="0"/>
        </w:rPr>
        <w:t>Usar chaves legadas e identificadores do destino sem confundir Payment ID, Record ID e referência externa.</w:t>
      </w:r>
    </w:p>
    <w:p>
      <w:pPr>
        <w:pStyle w:val="ListNumber"/>
      </w:pPr>
      <w:r>
        <w:rPr>
          <w:b w:val="0"/>
        </w:rPr>
        <w:t>Diferenciar associação comprovada por interface de associação em escala apenas especificada para futura execução.</w:t>
      </w:r>
    </w:p>
    <w:p>
      <w:pPr>
        <w:pStyle w:val="ListNumber"/>
      </w:pPr>
      <w:r>
        <w:rPr>
          <w:b w:val="0"/>
        </w:rPr>
        <w:t>Preservar histórico parcial de e-mail como nota explicitamente identificada, sem fabricar corpo original.</w:t>
      </w:r>
    </w:p>
    <w:p>
      <w:pPr>
        <w:pStyle w:val="ListNumber"/>
      </w:pPr>
      <w:r>
        <w:rPr>
          <w:b w:val="0"/>
        </w:rPr>
        <w:t>Registrar incompatibilidades de campos e valores controlados, owners ausentes, efeitos dos defaults e limites de rollback.</w:t>
      </w:r>
    </w:p>
    <w:p>
      <w:pPr>
        <w:pStyle w:val="ListNumber"/>
      </w:pPr>
      <w:r>
        <w:rPr>
          <w:b w:val="0"/>
        </w:rPr>
        <w:t>Tratar o ambiente de teste como prova de método, não como implantação da operação NexaFlow em produção.</w:t>
      </w:r>
    </w:p>
    <w:sectPr w:rsidR="00FC693F" w:rsidRPr="0006063C" w:rsidSect="00034616">
      <w:footerReference w:type="default" r:id="rId9"/>
      <w:pgSz w:w="12240" w:h="15840"/>
      <w:pgMar w:top="1020" w:right="1191" w:bottom="93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NexaFlow  |  Projeto 1  |  Data Migration Report  •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3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14E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14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80"/>
      <w:contextualSpacing/>
    </w:pPr>
    <w:rPr>
      <w:rFonts w:asciiTheme="majorHAnsi" w:eastAsiaTheme="majorEastAsia" w:hAnsiTheme="majorHAnsi" w:cstheme="majorBidi" w:ascii="Aptos Display" w:hAnsi="Aptos Display"/>
      <w:b/>
      <w:color w:val="14314E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NexaFlow — Data Migration Report</dc:title>
  <dc:subject>Projeto 1 | Aula 20 | Checkpoints 6, 7 e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