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3" w:name="X813292b25471be7d77de13cd4e358b08f33e454"/>
    <w:p>
      <w:pPr>
        <w:pStyle w:val="Heading1"/>
      </w:pPr>
      <w:r>
        <w:t xml:space="preserve">GEO Data Sharing and Data Management Principles Crosswalk Analysis</w:t>
      </w:r>
    </w:p>
    <w:bookmarkStart w:id="20" w:name="reading-data-from-the-google-sheet"/>
    <w:p>
      <w:pPr>
        <w:pStyle w:val="Heading2"/>
      </w:pPr>
      <w:r>
        <w:t xml:space="preserve">Reading data from the Google Sheet</w:t>
      </w:r>
    </w:p>
    <w:p>
      <w:pPr>
        <w:numPr>
          <w:ilvl w:val="0"/>
          <w:numId w:val="1001"/>
        </w:numPr>
        <w:pStyle w:val="Compact"/>
      </w:pPr>
      <w:r>
        <w:t xml:space="preserve">Source of crosswalk information:</w:t>
      </w:r>
    </w:p>
    <w:p>
      <w:pPr>
        <w:numPr>
          <w:ilvl w:val="0"/>
          <w:numId w:val="1001"/>
        </w:numPr>
        <w:pStyle w:val="Compact"/>
      </w:pPr>
      <w:r>
        <w:t xml:space="preserve">Source worksheets:</w:t>
      </w:r>
    </w:p>
    <w:p>
      <w:pPr>
        <w:pStyle w:val="SourceCode"/>
      </w:pPr>
      <w:r>
        <w:rPr>
          <w:rStyle w:val="NormalTok"/>
        </w:rPr>
        <w:t xml:space="preserve">dmp_crosswalk[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DataSharingPrinciple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Sharing Principle"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"Lifecycle-EDMF"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"EDMF"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"Lifecycle-NSTC"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"NSTC"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"Lifecycle-EEA"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"Lifecycle-NIST"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"Lifecycle-DataONE"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"DataONE"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05"/>
        <w:gridCol w:w="805"/>
        <w:gridCol w:w="656"/>
        <w:gridCol w:w="724"/>
        <w:gridCol w:w="1178"/>
      </w:tblGrid>
      <w:tr>
        <w:trPr>
          <w:cantSplit/>
          <w:trHeight w:val="4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0"/>
                <w:szCs w:val="20"/>
                <w:color w:val="000000"/>
              </w:rPr>
              <w:t xml:space="preserve">Data Sharing Principle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0"/>
                <w:szCs w:val="20"/>
                <w:color w:val="000000"/>
              </w:rPr>
              <w:t xml:space="preserve">NSTC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0"/>
                <w:szCs w:val="20"/>
                <w:color w:val="000000"/>
              </w:rPr>
              <w:t xml:space="preserve">EEA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0"/>
                <w:szCs w:val="20"/>
                <w:color w:val="000000"/>
              </w:rPr>
              <w:t xml:space="preserve">NIST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0"/>
                <w:szCs w:val="20"/>
                <w:color w:val="000000"/>
              </w:rPr>
              <w:t xml:space="preserve">DataONE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DMP-1: Metadata for Discovery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NSTC-A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DataONE-A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DMP-1: Metadata for Discovery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DataONE-D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DMP-1: Metadata for Discovery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DataONE-F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DMP-2: Online Access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NSTC-B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DMP-2: Online Access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DMP-2: Online Access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DataONE-G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DMP-3: Data Encoding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NSTC-D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DataONE-A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DMP-3: Data Encoding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DataONE-E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DMP-3: Data Encoding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DataONE-G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DMP-3: Data Encoding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DataONE-H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DMP-4: Data Documentation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NSTC-C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DMP-4: Data Documentation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DMP-4: Data Documentation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DMP-4: Data Documentation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DMP-4: Data Documentation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DataONE-H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DMP-5: Data Traceability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DataONE-A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DMP-5: Data Traceability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DataONE-B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DMP-5: Data Traceability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DataONE-C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DMP-5: Data Traceability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DataONE-D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DMP-5: Data Traceability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DataONE-H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DMP-6: Data Quality-Control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DataONE-A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DMP-6: Data Quality-Control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DataONE-B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DMP-6: Data Quality-Control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DataONE-C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DMP-6: Data Quality-Control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DataONE-D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DMP-7: Data Preservation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DMP-7: Data Preservation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DMP-8: Data and Metadata Verification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DMP-8: Data and Metadata Verification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DMP-8: Data and Metadata Verification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DMP-8: Data and Metadata Verification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DMP-8: Data and Metadata Verification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DataONE-F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DMP-9: Data Review and Reprocessing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EEA-L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DataONE-B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DMP-9: Data Review and Reprocessing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DataONE-C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DMP-9: Data Review and Reprocessing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DMP-10: Persistent and Resolvable Identifiers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NSTC-A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NIST-E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DMP-10: Persistent and Resolvable Identifiers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DMP-10: Persistent and Resolvable Identifiers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DMP-10: Persistent and Resolvable Identifiers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DataONE-F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DMP-10: Persistent and Resolvable Identifiers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DataONE-G</w:t>
            </w:r>
          </w:p>
        </w:tc>
      </w:tr>
    </w:tbl>
    <w:bookmarkEnd w:id="20"/>
    <w:bookmarkStart w:id="22" w:name="visualize-some-relationships"/>
    <w:p>
      <w:pPr>
        <w:pStyle w:val="Heading2"/>
      </w:pPr>
      <w:r>
        <w:t xml:space="preserve">Visualize some relationships</w:t>
      </w:r>
    </w:p>
    <w:p>
      <w:pPr>
        <w:pStyle w:val="SourceCode"/>
      </w:pPr>
      <w:r>
        <w:rPr>
          <w:rStyle w:val="NormalTok"/>
        </w:rPr>
        <w:t xml:space="preserve">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e_dmp_lifecycle,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eattrs[[nam[i]]][idx] &lt;- attrs[[nam[i]]]: number of items to replace</w:t>
      </w:r>
      <w:r>
        <w:br/>
      </w:r>
      <w:r>
        <w:rPr>
          <w:rStyle w:val="VerbatimChar"/>
        </w:rPr>
        <w:t xml:space="preserve">## is not a multiple of replacement length</w:t>
      </w:r>
    </w:p>
    <w:p>
      <w:pPr>
        <w:pStyle w:val="SourceCode"/>
      </w:pPr>
      <w:r>
        <w:rPr>
          <w:rStyle w:val="FunctionTok"/>
        </w:rPr>
        <w:t xml:space="preserve">ggraph</w:t>
      </w:r>
      <w:r>
        <w:rPr>
          <w:rStyle w:val="NormalTok"/>
        </w:rPr>
        <w:t xml:space="preserve">(graph)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`stress` as default layout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Noteboo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2021-11-19T23:42:14Z</dcterms:created>
  <dcterms:modified xsi:type="dcterms:W3CDTF">2021-11-19T23:42:14Z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