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Compact"/>
        <w:numPr>
          <w:ilvl w:val="0"/>
          <w:numId w:val="1001"/>
        </w:numPr>
      </w:pPr>
    </w:p>
    <w:p>
      <w:pPr>
        <w:pStyle w:val="Compact"/>
        <w:numPr>
          <w:ilvl w:val="1"/>
          <w:numId w:val="1002"/>
        </w:numPr>
      </w:pPr>
      <w:r>
        <w:t xml:space="preserve">301-4541 | kbene@unm.edu | ORCID:</w:t>
      </w:r>
      <w:r>
        <w:t xml:space="preserve"> </w:t>
      </w:r>
      <w:hyperlink r:id="rId20">
        <w:r>
          <w:rPr>
            <w:rStyle w:val="Hyperlink"/>
          </w:rPr>
          <w:t xml:space="preserve">0000-0002-9109-2072</w:t>
        </w:r>
      </w:hyperlink>
    </w:p>
    <w:bookmarkStart w:id="21" w:name="education"/>
    <w:p>
      <w:pPr>
        <w:pStyle w:val="Heading3"/>
      </w:pPr>
      <w:r>
        <w:t xml:space="preserve">Education</w:t>
      </w:r>
    </w:p>
    <w:p>
      <w:pPr>
        <w:pStyle w:val="FirstParagraph"/>
      </w:pPr>
      <w:r>
        <w:t xml:space="preserve">July 2004, Ph.D., with Distinction, Anthropology, University of New Mexico.</w:t>
      </w:r>
      <w:r>
        <w:br/>
      </w:r>
      <w:r>
        <w:t xml:space="preserve">May 1995, M.A., with Distinction, Anthropology, University of New Mexico.</w:t>
      </w:r>
      <w:r>
        <w:br/>
      </w:r>
      <w:r>
        <w:t xml:space="preserve">May, 1986, B.A., Anthropology, University of California, Berkeley.</w:t>
      </w:r>
    </w:p>
    <w:bookmarkEnd w:id="21"/>
    <w:bookmarkStart w:id="22" w:name="Xac5c7bcbb1ac4bcf8152e51ffcfa6ef03129e97"/>
    <w:p>
      <w:pPr>
        <w:pStyle w:val="Heading3"/>
      </w:pPr>
      <w:r>
        <w:t xml:space="preserve">Selected Employment/Professional Experience</w:t>
      </w:r>
    </w:p>
    <w:p>
      <w:pPr>
        <w:pStyle w:val="FirstParagraph"/>
      </w:pPr>
      <w:r>
        <w:t xml:space="preserve">8/24-Present, University of New Mexico, College of University Libraries and Learning Sciences (CUL&amp;LS):</w:t>
      </w:r>
      <w:r>
        <w:t xml:space="preserve"> </w:t>
      </w:r>
      <w:r>
        <w:rPr>
          <w:i/>
          <w:iCs/>
        </w:rPr>
        <w:t xml:space="preserve">Emeritus Professor</w:t>
      </w:r>
    </w:p>
    <w:p>
      <w:pPr>
        <w:pStyle w:val="BodyText"/>
      </w:pPr>
      <w:r>
        <w:t xml:space="preserve">7/21-7/24, University of New Mexico, College of University Libraries and Learning Sciences (CUL&amp;LS):</w:t>
      </w:r>
      <w:r>
        <w:t xml:space="preserve"> </w:t>
      </w:r>
      <w:r>
        <w:rPr>
          <w:i/>
          <w:iCs/>
        </w:rPr>
        <w:t xml:space="preserve">Professor</w:t>
      </w:r>
      <w:r>
        <w:t xml:space="preserve">: Director of Information Technology, Director of Research Data Services (RDS, through 6/24), Director of Digital Initiatives and Scholarly Communications (DISC, 6/24), Director of newly combined RDS/DISC and Learning and Outreach Services unit (7/24).</w:t>
      </w:r>
    </w:p>
    <w:p>
      <w:pPr>
        <w:pStyle w:val="BodyText"/>
      </w:pPr>
      <w:r>
        <w:t xml:space="preserve">7/14-6/21, University of New Mexico, College of University Libraries and Learning Sciences (CUL&amp;LS):</w:t>
      </w:r>
      <w:r>
        <w:t xml:space="preserve"> </w:t>
      </w:r>
      <w:r>
        <w:rPr>
          <w:i/>
          <w:iCs/>
        </w:rPr>
        <w:t xml:space="preserve">Associate Professor</w:t>
      </w:r>
      <w:r>
        <w:t xml:space="preserve">: Director of Information Technology (5/19-6/21), Director of Research Data Services (7/14-6/21)</w:t>
      </w:r>
    </w:p>
    <w:p>
      <w:pPr>
        <w:pStyle w:val="BodyText"/>
      </w:pPr>
      <w:r>
        <w:t xml:space="preserve">7/08-6/14, University of New Mexico, Earth Data Analysis Center:</w:t>
      </w:r>
      <w:r>
        <w:t xml:space="preserve"> </w:t>
      </w:r>
      <w:r>
        <w:rPr>
          <w:i/>
          <w:iCs/>
        </w:rPr>
        <w:t xml:space="preserve">Director</w:t>
      </w:r>
      <w:r>
        <w:t xml:space="preserve"> </w:t>
      </w:r>
      <w:r>
        <w:t xml:space="preserve">/ Department of Geography:</w:t>
      </w:r>
      <w:r>
        <w:t xml:space="preserve"> </w:t>
      </w:r>
      <w:r>
        <w:rPr>
          <w:i/>
          <w:iCs/>
        </w:rPr>
        <w:t xml:space="preserve">Research Assistant Professor</w:t>
      </w:r>
    </w:p>
    <w:p>
      <w:pPr>
        <w:pStyle w:val="BodyText"/>
      </w:pPr>
      <w:r>
        <w:t xml:space="preserve">9/11-3/14, University of New Mexico, CUL&amp;LS:</w:t>
      </w:r>
      <w:r>
        <w:t xml:space="preserve"> </w:t>
      </w:r>
      <w:r>
        <w:rPr>
          <w:i/>
          <w:iCs/>
        </w:rPr>
        <w:t xml:space="preserve">Research Assistant Professor</w:t>
      </w:r>
    </w:p>
    <w:p>
      <w:pPr>
        <w:pStyle w:val="BodyText"/>
      </w:pPr>
      <w:r>
        <w:t xml:space="preserve">2/01-6/08, University of New Mexico, Earth Data Analysis Center:</w:t>
      </w:r>
      <w:r>
        <w:t xml:space="preserve"> </w:t>
      </w:r>
      <w:r>
        <w:rPr>
          <w:i/>
          <w:iCs/>
        </w:rPr>
        <w:t xml:space="preserve">Senior Research Scientist, Research Scientist, IT Manager</w:t>
      </w:r>
    </w:p>
    <w:bookmarkEnd w:id="22"/>
    <w:bookmarkStart w:id="23" w:name="selected-publications-products"/>
    <w:p>
      <w:pPr>
        <w:pStyle w:val="Heading3"/>
      </w:pPr>
      <w:r>
        <w:t xml:space="preserve">Selected Publications &amp; Products</w:t>
      </w:r>
    </w:p>
    <w:p>
      <w:pPr>
        <w:pStyle w:val="FirstParagraph"/>
      </w:pPr>
      <w:r>
        <w:t xml:space="preserve">Benedict, K., &amp; Wheeler, J. (2022).</w:t>
      </w:r>
      <w:r>
        <w:t xml:space="preserve"> </w:t>
      </w:r>
      <w:r>
        <w:t xml:space="preserve">“</w:t>
      </w:r>
      <w:r>
        <w:t xml:space="preserve">Complementary Scales for Learning, The Feedback Loop between Short-Form Technical Workshops and Long-Form Carpentries Workshops.</w:t>
      </w:r>
      <w:r>
        <w:t xml:space="preserve">”</w:t>
      </w:r>
      <w:r>
        <w:t xml:space="preserve"> </w:t>
      </w:r>
      <w:r>
        <w:t xml:space="preserve">In Bauder, J. (ed.), Teaching Research Data Management (pp. 133-151). ALA Editions, Chicago.</w:t>
      </w:r>
    </w:p>
    <w:p>
      <w:pPr>
        <w:pStyle w:val="BodyText"/>
      </w:pPr>
      <w:r>
        <w:t xml:space="preserve">Molder, Edmund B., Schenkein, Sarah F., Mcconnell, Abby E., Benedict, Karl K, &amp; Crista L Straub. (2022).</w:t>
      </w:r>
      <w:r>
        <w:t xml:space="preserve"> </w:t>
      </w:r>
      <w:r>
        <w:t xml:space="preserve">“</w:t>
      </w:r>
      <w:r>
        <w:t xml:space="preserve">Landsat Data Ecosystem Case Study: Actor Perceptions of the Use and Value of Landsat</w:t>
      </w:r>
      <w:r>
        <w:t xml:space="preserve">”</w:t>
      </w:r>
      <w:r>
        <w:t xml:space="preserve"> </w:t>
      </w:r>
      <w:r>
        <w:t xml:space="preserve">Frontiers in Environmental Science Environmental Informatics and Remote Sensing.https://doi.org/10.3389/fenvs.2021.805174</w:t>
      </w:r>
    </w:p>
    <w:p>
      <w:pPr>
        <w:pStyle w:val="BodyText"/>
      </w:pPr>
      <w:r>
        <w:t xml:space="preserve">Fundeen, J., Percivall, G., Baros, S., Baumann, P., Becker, P., Behnke, J., Benedict, K., Colaiacomo, L., Di, L., Doescher, C., Dominguez, J., Edberg, R., Ferguson, M., Foreman, S., Giaretta, D., Hutchison, V. B., Ip, A., James, N. L., Khalsa, S. J. S., … Young, J. (2020).</w:t>
      </w:r>
      <w:r>
        <w:t xml:space="preserve"> </w:t>
      </w:r>
      <w:r>
        <w:t xml:space="preserve">“</w:t>
      </w:r>
      <w:r>
        <w:t xml:space="preserve">Chapter 6: Archiving and Access Systems for Remote Sensing.</w:t>
      </w:r>
      <w:r>
        <w:t xml:space="preserve">”</w:t>
      </w:r>
      <w:r>
        <w:t xml:space="preserve"> </w:t>
      </w:r>
      <w:r>
        <w:t xml:space="preserve">In ASPRS Manual of Remote Sensing (Fourth Edition, pp 451-639). American Society for Photogrammetry and Remote Sensing</w:t>
      </w:r>
    </w:p>
    <w:p>
      <w:pPr>
        <w:pStyle w:val="BodyText"/>
      </w:pPr>
      <w:r>
        <w:t xml:space="preserve">Gregory, A., Chen, C., Wu, R., Miller, S., Ahmad, S., Anderson, J. W., Barrett, H., Benedict, K., Cadol, D., Dascalu, S. M., Delparte, D., Fenstermaker, L., Godsey, S., Harris, F. C., McNamara, J. P., Tyler, S. W., Savickas, J., Sheneman, L., Stone, M., &amp; Turner, M. A. (2020).</w:t>
      </w:r>
      <w:r>
        <w:t xml:space="preserve"> </w:t>
      </w:r>
      <w:r>
        <w:t xml:space="preserve">“</w:t>
      </w:r>
      <w:r>
        <w:t xml:space="preserve">Efficient Model-Data Integration for Flexible Modeling, Parameter Analysis and Visualization, and Data Management.</w:t>
      </w:r>
      <w:r>
        <w:t xml:space="preserve">”</w:t>
      </w:r>
      <w:r>
        <w:t xml:space="preserve"> </w:t>
      </w:r>
      <w:r>
        <w:t xml:space="preserve">Frontiers in Water, 2, 21 pages. https://doi.org/10.3389/frwa.2020.00002</w:t>
      </w:r>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w:t>
      </w:r>
      <w:r>
        <w:t xml:space="preserve">In Curating research data. Volume two, A handbook of current practice (Vol. 2, pp. 207–209). Association of College and Research Libraries.</w:t>
      </w:r>
    </w:p>
    <w:p>
      <w:pPr>
        <w:pStyle w:val="BodyText"/>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iCs/>
        </w:rPr>
        <w:t xml:space="preserve">Journal of Map and Geography Libraries</w:t>
      </w:r>
      <w:r>
        <w:t xml:space="preserve"> </w:t>
      </w:r>
      <w:r>
        <w:t xml:space="preserve">11(2). pp. 155-179. DOI: 10.1080/15420353.2015.1035474.</w:t>
      </w:r>
    </w:p>
    <w:p>
      <w:pPr>
        <w:pStyle w:val="BodyText"/>
      </w:pPr>
      <w:r>
        <w:t xml:space="preserve">Del Rio, N., Villanueva-Rosales, N., Pennington, D., Benedict, K., Stewart, A., Grady, C. J. (2013).</w:t>
      </w:r>
      <w:r>
        <w:t xml:space="preserve"> </w:t>
      </w:r>
      <w:r>
        <w:t xml:space="preserve">“</w:t>
      </w:r>
      <w:r>
        <w:t xml:space="preserve">ELSEWeb Meets SADI: Supporting Data-to-Model Integration for Biodiversity Forecasting.</w:t>
      </w:r>
      <w:r>
        <w:t xml:space="preserve">”</w:t>
      </w:r>
      <w:r>
        <w:t xml:space="preserve"> </w:t>
      </w:r>
      <w:r>
        <w:t xml:space="preserve">Paper presented at Discovery Informatics: AI Takes a Science-Centered View on Big Data. AAAI Technical Report FS-13-01. pp 8-15.</w:t>
      </w:r>
    </w:p>
    <w:p>
      <w:pPr>
        <w:pStyle w:val="BodyText"/>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iCs/>
        </w:rPr>
        <w:t xml:space="preserve">International Journal of Geographical Information Science</w:t>
      </w:r>
      <w:r>
        <w:t xml:space="preserve">. 27(4):765-784. DOI:10.1080/13658816.2012.715650.</w:t>
      </w:r>
    </w:p>
    <w:p>
      <w:pPr>
        <w:pStyle w:val="BodyText"/>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iCs/>
        </w:rPr>
        <w:t xml:space="preserve">Spatial Cloud Computing, a Practical Approach</w:t>
      </w:r>
      <w:r>
        <w:t xml:space="preserve">. Chaowei Yang and Qunying Huang, eds. CRC Press. [http://dx.doi.org/10.1201/b16106-14][12]</w:t>
      </w:r>
    </w:p>
    <w:p>
      <w:pPr>
        <w:pStyle w:val="BodyText"/>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iCs/>
        </w:rPr>
        <w:t xml:space="preserve">Curating research data. Volume two, A handbook of current practice</w:t>
      </w:r>
      <w:r>
        <w:t xml:space="preserve"> </w:t>
      </w:r>
      <w:r>
        <w:t xml:space="preserve">(Vol. 2, pp. 207–209), Lisa R. Johnston, ed. Chicago, IL: Association of College and Research Libraries.</w:t>
      </w:r>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p>
    <w:p>
      <w:pPr>
        <w:pStyle w:val="BodyText"/>
      </w:pPr>
      <w:r>
        <w:t xml:space="preserve">“</w:t>
      </w:r>
      <w:r>
        <w:t xml:space="preserve">Data Management Training Clearinghouse (DMTC).</w:t>
      </w:r>
      <w:r>
        <w:t xml:space="preserve">”</w:t>
      </w:r>
      <w:r>
        <w:t xml:space="preserve"> </w:t>
      </w:r>
      <w:r>
        <w:t xml:space="preserve">2020 - 2023. Curated clearinghouse for distributed research data management training materials accessible over the web. https://dmtclearinghouse.esipfed.org/. Related software releases: a. Barrett, Hays, Benedict, Karl, Hoebelheinrich, Nancy, &amp; Wong, Mona. (2023). Application Programming Interface code for the Data Management Training Clearinghouse (0.1.0-2022-07ESIPDemo). Zenodo. https://doi.org/10.5281/zenodo.7787156; b. Benedict, Karl, Wong, Mona, Hoebelheinrich, Nancy, &amp; Barrett, Hays. (2023). User interface code for the Data Management Training Clearinghouse (0.1.0-2022- 07ESIPDemo). Zenodo. https://doi.org/10.5281/zenodo.7787157</w:t>
      </w:r>
    </w:p>
    <w:bookmarkEnd w:id="23"/>
    <w:bookmarkStart w:id="24" w:name="selected-synergistic-experience"/>
    <w:p>
      <w:pPr>
        <w:pStyle w:val="Heading3"/>
      </w:pPr>
      <w:r>
        <w:t xml:space="preserve">Selected Synergistic Experience</w:t>
      </w:r>
    </w:p>
    <w:p>
      <w:pPr>
        <w:pStyle w:val="FirstParagraph"/>
      </w:pPr>
      <w:r>
        <w:t xml:space="preserve">2019 - Present, Earth Science Information Partners (ESIP) Group on Earth Observations (GEO) alternate Programme Board Representative, GEO Data Working Group, and GEOSS Infrastructure Development Task Team.</w:t>
      </w:r>
      <w:r>
        <w:br/>
      </w:r>
      <w:r>
        <w:t xml:space="preserve">2019 - Present, Certified</w:t>
      </w:r>
      <w:r>
        <w:t xml:space="preserve"> </w:t>
      </w:r>
      <w:r>
        <w:rPr>
          <w:i/>
          <w:iCs/>
        </w:rPr>
        <w:t xml:space="preserve">Carpentries Instructor</w:t>
      </w:r>
      <w:r>
        <w:t xml:space="preserve"> </w:t>
      </w:r>
      <w:r>
        <w:t xml:space="preserve">(2/2019-Present),</w:t>
      </w:r>
      <w:r>
        <w:t xml:space="preserve"> </w:t>
      </w:r>
      <w:r>
        <w:rPr>
          <w:i/>
          <w:iCs/>
        </w:rPr>
        <w:t xml:space="preserve">Carpentries Instructor Trainer</w:t>
      </w:r>
      <w:r>
        <w:t xml:space="preserve"> </w:t>
      </w:r>
      <w:r>
        <w:t xml:space="preserve">(4/2022 - Present).</w:t>
      </w:r>
      <w:r>
        <w:br/>
      </w:r>
      <w:r>
        <w:t xml:space="preserve">2017 - Present, DataONE Management Team member.</w:t>
      </w:r>
      <w:r>
        <w:br/>
      </w:r>
      <w:r>
        <w:t xml:space="preserve">2012-14, 2019-2020,</w:t>
      </w:r>
      <w:r>
        <w:t xml:space="preserve"> </w:t>
      </w:r>
      <w:r>
        <w:rPr>
          <w:i/>
          <w:iCs/>
        </w:rPr>
        <w:t xml:space="preserve">President</w:t>
      </w:r>
      <w:r>
        <w:t xml:space="preserve">, Earth Science Information Partners (ESIP).</w:t>
      </w:r>
      <w:r>
        <w:br/>
      </w:r>
      <w:r>
        <w:t xml:space="preserve">2015 - 2018,</w:t>
      </w:r>
      <w:r>
        <w:t xml:space="preserve"> </w:t>
      </w:r>
      <w:r>
        <w:rPr>
          <w:i/>
          <w:iCs/>
        </w:rPr>
        <w:t xml:space="preserve">Technical Advisory Committee</w:t>
      </w:r>
      <w:r>
        <w:t xml:space="preserve"> </w:t>
      </w:r>
      <w:r>
        <w:t xml:space="preserve">(Chair), Digital Preservation Network</w:t>
      </w:r>
      <w:r>
        <w:br/>
      </w:r>
      <w:r>
        <w:t xml:space="preserve">2011 - 2014,</w:t>
      </w:r>
      <w:r>
        <w:t xml:space="preserve"> </w:t>
      </w:r>
      <w:r>
        <w:rPr>
          <w:i/>
          <w:iCs/>
        </w:rPr>
        <w:t xml:space="preserve">Member of the Data Management and Communications (DMAC) Steering Committee</w:t>
      </w:r>
      <w:r>
        <w:t xml:space="preserve"> </w:t>
      </w:r>
      <w:r>
        <w:t xml:space="preserve">of the Interagency Ocean Observation Committee (IOOC)</w:t>
      </w:r>
      <w:r>
        <w:br/>
      </w:r>
      <w:r>
        <w:t xml:space="preserve">2010 - 2012,</w:t>
      </w:r>
      <w:r>
        <w:t xml:space="preserve"> </w:t>
      </w:r>
      <w:r>
        <w:rPr>
          <w:i/>
          <w:iCs/>
        </w:rPr>
        <w:t xml:space="preserve">Member of the National Advisory Council for Environmental Policy and Technology</w:t>
      </w:r>
      <w:r>
        <w:t xml:space="preserve"> </w:t>
      </w:r>
      <w:r>
        <w:t xml:space="preserve">for the US Environmental Protection Agency (EPA)</w:t>
      </w:r>
    </w:p>
    <w:bookmarkEnd w:id="24"/>
    <w:sectPr w:rsidR="00030B64" w:rsidSect="00F50DB1">
      <w:pgSz w:h="15840" w:w="12240"/>
      <w:pgMar w:bottom="720" w:footer="720" w:gutter="0" w:header="720" w:left="1440" w:right="144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EF9D5F4F"/>
    <w:multiLevelType w:val="multilevel"/>
    <w:tmpl w:val="7E2AA60A"/>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3">
    <w:nsid w:val="0A997313"/>
    <w:multiLevelType w:val="multilevel"/>
    <w:lvl w:ilvl="0">
      <w:start w:val="13"/>
      <w:numFmt w:val="lowerLetter"/>
      <w:lvlText w:val="(%1)"/>
      <w:lvlJc w:val="left"/>
      <w:pPr>
        <w:ind w:left="720" w:hanging="480"/>
      </w:pPr>
    </w:lvl>
    <w:lvl w:ilvl="1">
      <w:start w:val="13"/>
      <w:numFmt w:val="lowerLetter"/>
      <w:lvlText w:val="(%2)"/>
      <w:lvlJc w:val="left"/>
      <w:pPr>
        <w:ind w:left="1440" w:hanging="480"/>
      </w:pPr>
    </w:lvl>
    <w:lvl w:ilvl="2">
      <w:start w:val="13"/>
      <w:numFmt w:val="lowerLetter"/>
      <w:lvlText w:val="(%3)"/>
      <w:lvlJc w:val="left"/>
      <w:pPr>
        <w:ind w:left="2160" w:hanging="480"/>
      </w:pPr>
    </w:lvl>
    <w:lvl w:ilvl="3">
      <w:start w:val="13"/>
      <w:numFmt w:val="lowerLetter"/>
      <w:lvlText w:val="(%4)"/>
      <w:lvlJc w:val="left"/>
      <w:pPr>
        <w:ind w:left="2880" w:hanging="480"/>
      </w:pPr>
    </w:lvl>
    <w:lvl w:ilvl="4">
      <w:start w:val="13"/>
      <w:numFmt w:val="lowerLetter"/>
      <w:lvlText w:val="(%5)"/>
      <w:lvlJc w:val="left"/>
      <w:pPr>
        <w:ind w:left="3600" w:hanging="480"/>
      </w:pPr>
    </w:lvl>
    <w:lvl w:ilvl="5">
      <w:start w:val="13"/>
      <w:numFmt w:val="lowerLetter"/>
      <w:lvlText w:val="(%6)"/>
      <w:lvlJc w:val="left"/>
      <w:pPr>
        <w:ind w:left="4320" w:hanging="480"/>
      </w:pPr>
    </w:lvl>
    <w:lvl w:ilvl="6">
      <w:start w:val="13"/>
      <w:numFmt w:val="lowerLetter"/>
      <w:lvlText w:val="(%7)"/>
      <w:lvlJc w:val="left"/>
      <w:pPr>
        <w:ind w:left="5040" w:hanging="480"/>
      </w:pPr>
    </w:lvl>
    <w:lvl w:ilvl="7">
      <w:start w:val="13"/>
      <w:numFmt w:val="lowerLetter"/>
      <w:lvlText w:val="(%8)"/>
      <w:lvlJc w:val="left"/>
      <w:pPr>
        <w:ind w:left="5760" w:hanging="480"/>
      </w:pPr>
    </w:lvl>
    <w:lvl w:ilvl="8">
      <w:start w:val="13"/>
      <w:numFmt w:val="lowerLetter"/>
      <w:lvlText w:val="(%9)"/>
      <w:lvlJc w:val="left"/>
      <w:pPr>
        <w:ind w:left="6480" w:hanging="480"/>
      </w:pPr>
    </w:lvl>
  </w:abstractNum>
  <w:abstractNum w:abstractNumId="9943505">
    <w:nsid w:val="A9943505"/>
    <w:multiLevelType w:val="multilevel"/>
    <w:lvl w:ilvl="0">
      <w:start w:val="505"/>
      <w:numFmt w:val="decimal"/>
      <w:lvlText w:val="(%1)"/>
      <w:lvlJc w:val="left"/>
      <w:pPr>
        <w:ind w:left="720" w:hanging="480"/>
      </w:pPr>
    </w:lvl>
    <w:lvl w:ilvl="1">
      <w:start w:val="505"/>
      <w:numFmt w:val="decimal"/>
      <w:lvlText w:val="(%2)"/>
      <w:lvlJc w:val="left"/>
      <w:pPr>
        <w:ind w:left="1440" w:hanging="480"/>
      </w:pPr>
    </w:lvl>
    <w:lvl w:ilvl="2">
      <w:start w:val="505"/>
      <w:numFmt w:val="decimal"/>
      <w:lvlText w:val="(%3)"/>
      <w:lvlJc w:val="left"/>
      <w:pPr>
        <w:ind w:left="2160" w:hanging="480"/>
      </w:pPr>
    </w:lvl>
    <w:lvl w:ilvl="3">
      <w:start w:val="505"/>
      <w:numFmt w:val="decimal"/>
      <w:lvlText w:val="(%4)"/>
      <w:lvlJc w:val="left"/>
      <w:pPr>
        <w:ind w:left="2880" w:hanging="480"/>
      </w:pPr>
    </w:lvl>
    <w:lvl w:ilvl="4">
      <w:start w:val="505"/>
      <w:numFmt w:val="decimal"/>
      <w:lvlText w:val="(%5)"/>
      <w:lvlJc w:val="left"/>
      <w:pPr>
        <w:ind w:left="3600" w:hanging="480"/>
      </w:pPr>
    </w:lvl>
    <w:lvl w:ilvl="5">
      <w:start w:val="505"/>
      <w:numFmt w:val="decimal"/>
      <w:lvlText w:val="(%6)"/>
      <w:lvlJc w:val="left"/>
      <w:pPr>
        <w:ind w:left="4320" w:hanging="480"/>
      </w:pPr>
    </w:lvl>
    <w:lvl w:ilvl="6">
      <w:start w:val="505"/>
      <w:numFmt w:val="decimal"/>
      <w:lvlText w:val="(%7)"/>
      <w:lvlJc w:val="left"/>
      <w:pPr>
        <w:ind w:left="5040" w:hanging="480"/>
      </w:pPr>
    </w:lvl>
    <w:lvl w:ilvl="7">
      <w:start w:val="505"/>
      <w:numFmt w:val="decimal"/>
      <w:lvlText w:val="(%8)"/>
      <w:lvlJc w:val="left"/>
      <w:pPr>
        <w:ind w:left="5760" w:hanging="480"/>
      </w:pPr>
    </w:lvl>
    <w:lvl w:ilvl="8">
      <w:start w:val="505"/>
      <w:numFmt w:val="decimal"/>
      <w:lvlText w:val="(%9)"/>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7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2">
    <w:abstractNumId w:val="9943505"/>
    <w:lvlOverride w:ilvl="0">
      <w:startOverride w:val="505"/>
    </w:lvlOverride>
    <w:lvlOverride w:ilvl="1">
      <w:startOverride w:val="505"/>
    </w:lvlOverride>
    <w:lvlOverride w:ilvl="2">
      <w:startOverride w:val="505"/>
    </w:lvlOverride>
    <w:lvlOverride w:ilvl="3">
      <w:startOverride w:val="505"/>
    </w:lvlOverride>
    <w:lvlOverride w:ilvl="4">
      <w:startOverride w:val="505"/>
    </w:lvlOverride>
    <w:lvlOverride w:ilvl="5">
      <w:startOverride w:val="505"/>
    </w:lvlOverride>
    <w:lvlOverride w:ilvl="6">
      <w:startOverride w:val="505"/>
    </w:lvlOverride>
    <w:lvlOverride w:ilvl="7">
      <w:startOverride w:val="505"/>
    </w:lvlOverride>
    <w:lvlOverride w:ilvl="8">
      <w:startOverride w:val="50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7"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sid w:val="00AB35C8"/>
    <w:pPr>
      <w:spacing w:after="180"/>
    </w:pPr>
    <w:rPr>
      <w:rFonts w:asciiTheme="majorHAnsi" w:hAnsiTheme="majorHAnsi"/>
    </w:rPr>
  </w:style>
  <w:style w:styleId="Heading1" w:type="paragraph">
    <w:name w:val="heading 1"/>
    <w:basedOn w:val="Normal"/>
    <w:next w:val="Normal"/>
    <w:uiPriority w:val="9"/>
    <w:qFormat/>
    <w:pPr>
      <w:keepNext/>
      <w:keepLines/>
      <w:spacing w:after="0" w:before="480"/>
      <w:outlineLvl w:val="0"/>
    </w:pPr>
    <w:rPr>
      <w:rFonts w:cstheme="majorBidi" w:eastAsiaTheme="majorEastAsia"/>
      <w:b/>
      <w:bCs/>
      <w:color w:themeColor="accent1" w:themeShade="B5" w:val="345A8A"/>
      <w:sz w:val="36"/>
      <w:szCs w:val="36"/>
    </w:rPr>
  </w:style>
  <w:style w:styleId="Heading2" w:type="paragraph">
    <w:name w:val="heading 2"/>
    <w:basedOn w:val="Normal"/>
    <w:next w:val="Normal"/>
    <w:uiPriority w:val="9"/>
    <w:unhideWhenUsed/>
    <w:qFormat/>
    <w:pPr>
      <w:keepNext/>
      <w:keepLines/>
      <w:spacing w:after="0" w:before="200"/>
      <w:outlineLvl w:val="1"/>
    </w:pPr>
    <w:rPr>
      <w:rFonts w:cstheme="majorBidi" w:eastAsiaTheme="majorEastAsia"/>
      <w:b/>
      <w:bCs/>
      <w:color w:themeColor="accent1" w:val="4F81BD"/>
      <w:sz w:val="32"/>
      <w:szCs w:val="32"/>
    </w:rPr>
  </w:style>
  <w:style w:styleId="Heading3" w:type="paragraph">
    <w:name w:val="heading 3"/>
    <w:basedOn w:val="Normal"/>
    <w:next w:val="Normal"/>
    <w:uiPriority w:val="9"/>
    <w:unhideWhenUsed/>
    <w:qFormat/>
    <w:rsid w:val="00F50DB1"/>
    <w:pPr>
      <w:keepNext/>
      <w:keepLines/>
      <w:spacing w:after="0" w:before="200"/>
      <w:outlineLvl w:val="2"/>
    </w:pPr>
    <w:rPr>
      <w:rFonts w:cstheme="majorBidi" w:eastAsiaTheme="majorEastAsia"/>
      <w:b/>
      <w:bCs/>
      <w:i/>
      <w:color w:themeColor="accent1" w:val="4F81BD"/>
      <w:sz w:val="28"/>
      <w:szCs w:val="28"/>
    </w:rPr>
  </w:style>
  <w:style w:styleId="Heading4" w:type="paragraph">
    <w:name w:val="heading 4"/>
    <w:basedOn w:val="Normal"/>
    <w:next w:val="Normal"/>
    <w:uiPriority w:val="9"/>
    <w:unhideWhenUsed/>
    <w:qFormat/>
    <w:pPr>
      <w:keepNext/>
      <w:keepLines/>
      <w:spacing w:after="0" w:before="200"/>
      <w:outlineLvl w:val="3"/>
    </w:pPr>
    <w:rPr>
      <w:rFonts w:cstheme="majorBidi" w:eastAsiaTheme="majorEastAsia"/>
      <w:b/>
      <w:bCs/>
      <w:color w:themeColor="accent1" w:val="4F81BD"/>
    </w:rPr>
  </w:style>
  <w:style w:styleId="Heading5" w:type="paragraph">
    <w:name w:val="heading 5"/>
    <w:basedOn w:val="Normal"/>
    <w:next w:val="Normal"/>
    <w:uiPriority w:val="9"/>
    <w:unhideWhenUsed/>
    <w:qFormat/>
    <w:pPr>
      <w:keepNext/>
      <w:keepLines/>
      <w:spacing w:after="0" w:before="200"/>
      <w:outlineLvl w:val="4"/>
    </w:pPr>
    <w:rPr>
      <w:rFonts w:cstheme="majorBidi" w:eastAsiaTheme="majorEastAsia"/>
      <w:i/>
      <w:iCs/>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Compact" w:type="paragraph">
    <w:name w:val="Compact"/>
    <w:basedOn w:val="Normal"/>
    <w:qFormat/>
    <w:pPr>
      <w:spacing w:after="36" w:before="36"/>
    </w:pPr>
  </w:style>
  <w:style w:styleId="Title" w:type="paragraph">
    <w:name w:val="Title"/>
    <w:basedOn w:val="Normal"/>
    <w:next w:val="Normal"/>
    <w:qFormat/>
    <w:pPr>
      <w:keepNext/>
      <w:keepLines/>
      <w:spacing w:after="240" w:before="480"/>
      <w:jc w:val="center"/>
    </w:pPr>
    <w:rPr>
      <w:rFonts w:cstheme="majorBidi" w:eastAsiaTheme="majorEastAsia"/>
      <w:b/>
      <w:bCs/>
      <w:color w:themeColor="accent1" w:themeShade="B5" w:val="345A8A"/>
      <w:sz w:val="36"/>
      <w:szCs w:val="36"/>
    </w:rPr>
  </w:style>
  <w:style w:customStyle="1" w:styleId="Authors" w:type="paragraph">
    <w:name w:val="Authors"/>
    <w:next w:val="Normal"/>
    <w:qFormat/>
    <w:pPr>
      <w:keepNext/>
      <w:keepLines/>
      <w:jc w:val="center"/>
    </w:pPr>
  </w:style>
  <w:style w:styleId="Date" w:type="paragraph">
    <w:name w:val="Date"/>
    <w:next w:val="Normal"/>
    <w:qFormat/>
    <w:pPr>
      <w:keepNext/>
      <w:keepLines/>
      <w:jc w:val="center"/>
    </w:pPr>
  </w:style>
  <w:style w:customStyle="1" w:styleId="BlockQuote" w:type="paragraph">
    <w:name w:val="Block Quote"/>
    <w:basedOn w:val="Normal"/>
    <w:next w:val="Normal"/>
    <w:uiPriority w:val="9"/>
    <w:unhideWhenUsed/>
    <w:qFormat/>
    <w:pPr>
      <w:spacing w:after="100" w:before="100"/>
    </w:pPr>
    <w:rPr>
      <w:rFonts w:cstheme="majorBidi" w:eastAsiaTheme="majorEastAsia"/>
      <w:bCs/>
      <w:sz w:val="20"/>
      <w:szCs w:val="20"/>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odyText" w:type="paragraph">
    <w:name w:val="Body Text"/>
    <w:basedOn w:val="Normal"/>
    <w:pPr>
      <w:spacing w:after="120"/>
    </w:pPr>
  </w:style>
  <w:style w:customStyle="1" w:styleId="TableCaption" w:type="paragraph">
    <w:name w:val="Table Caption"/>
    <w:basedOn w:val="Normal"/>
    <w:pPr>
      <w:spacing w:after="120"/>
    </w:pPr>
    <w:rPr>
      <w:i/>
    </w:rPr>
  </w:style>
  <w:style w:customStyle="1" w:styleId="ImageCaption" w:type="paragraph">
    <w:name w:val="Image Caption"/>
    <w:basedOn w:val="Normal"/>
    <w:link w:val="BodyTextChar"/>
    <w:pPr>
      <w:spacing w:after="120"/>
    </w:pPr>
    <w:rPr>
      <w:i/>
    </w:rPr>
  </w:style>
  <w:style w:customStyle="1" w:styleId="BodyTextChar" w:type="character">
    <w:name w:val="Body Text Char"/>
    <w:basedOn w:val="DefaultParagraphFont"/>
    <w:link w:val="ImageCaption"/>
  </w:style>
  <w:style w:customStyle="1" w:styleId="VerbatimChar" w:type="character">
    <w:name w:val="Verbatim Char"/>
    <w:basedOn w:val="BodyTextChar"/>
    <w:link w:val="SourceCode"/>
    <w:rPr>
      <w:rFonts w:ascii="Consolas" w:hAnsi="Consolas"/>
      <w:sz w:val="22"/>
    </w:rPr>
  </w:style>
  <w:style w:customStyle="1" w:styleId="FootnoteRef" w:type="character">
    <w:name w:val="Footnote Ref"/>
    <w:basedOn w:val="BodyTextChar"/>
    <w:rPr>
      <w:vertAlign w:val="superscript"/>
    </w:rPr>
  </w:style>
  <w:style w:customStyle="1" w:styleId="Link" w:type="character">
    <w:name w:val="Link"/>
    <w:basedOn w:val="BodyTextChar"/>
    <w:rPr>
      <w:color w:themeColor="accent1" w:val="4F81BD"/>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harTok" w:type="character">
    <w:name w:v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CommentTok" w:type="character">
    <w:name w:val="CommentTok"/>
    <w:basedOn w:val="VerbatimChar"/>
    <w:rPr>
      <w:rFonts w:ascii="Consolas" w:hAnsi="Consolas"/>
      <w:i/>
      <w:color w:val="60A0B0"/>
      <w:sz w:val="22"/>
    </w:rPr>
  </w:style>
  <w:style w:customStyle="1" w:styleId="OtherTok" w:type="character">
    <w:name w:val="OtherTok"/>
    <w:basedOn w:val="VerbatimChar"/>
    <w:rPr>
      <w:rFonts w:ascii="Consolas" w:hAnsi="Consolas"/>
      <w:color w:val="007020"/>
      <w:sz w:val="22"/>
    </w:rPr>
  </w:style>
  <w:style w:customStyle="1" w:styleId="AlertTok" w:type="character">
    <w:name w:val="AlertTok"/>
    <w:basedOn w:val="VerbatimChar"/>
    <w:rPr>
      <w:rFonts w:ascii="Consolas" w:hAnsi="Consolas"/>
      <w:b/>
      <w:color w:val="FF0000"/>
      <w:sz w:val="22"/>
    </w:rPr>
  </w:style>
  <w:style w:customStyle="1" w:styleId="FunctionTok" w:type="character">
    <w:name w:val="FunctionTok"/>
    <w:basedOn w:val="VerbatimChar"/>
    <w:rPr>
      <w:rFonts w:ascii="Consolas" w:hAnsi="Consolas"/>
      <w:color w:val="06287E"/>
      <w:sz w:val="22"/>
    </w:rPr>
  </w:style>
  <w:style w:customStyle="1" w:styleId="RegionMarkerTok" w:type="character">
    <w:name w:val="RegionMarkerTok"/>
    <w:basedOn w:val="VerbatimChar"/>
    <w:rPr>
      <w:rFonts w:ascii="Consolas" w:hAnsi="Consolas"/>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rcid.org/0000-0002-9109-2072" TargetMode="External" /></Relationships>
</file>

<file path=word/_rels/footnotes.xml.rels><?xml version="1.0" encoding="UTF-8"?><Relationships xmlns="http://schemas.openxmlformats.org/package/2006/relationships"><Relationship Type="http://schemas.openxmlformats.org/officeDocument/2006/relationships/hyperlink" Id="rId20" Target="https://orcid.org/0000-0002-9109-20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2024-07-08T22:39:15Z</dcterms:created>
  <dcterms:modified xsi:type="dcterms:W3CDTF">2024-07-08T22:39:15Z</dcterms:modified>
</cp:coreProperties>
</file>

<file path=docProps/custom.xml><?xml version="1.0" encoding="utf-8"?>
<Properties xmlns="http://schemas.openxmlformats.org/officeDocument/2006/custom-properties" xmlns:vt="http://schemas.openxmlformats.org/officeDocument/2006/docPropsVTypes"/>
</file>