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 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2014 - 2016, 2016 - 2018,</w:t>
      </w:r>
      <w:r>
        <w:t xml:space="preserve"> </w:t>
      </w:r>
      <w:r>
        <w:rPr>
          <w:i/>
        </w:rPr>
        <w:t xml:space="preserve">Promotion &amp; Tenure Committee</w:t>
      </w:r>
      <w:r>
        <w:t xml:space="preserve"> </w:t>
      </w:r>
      <w:r>
        <w:t xml:space="preserve">(Chair, 2015-Present)</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be31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60c3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efff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