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9" w:name="technical-reportsmanuscriptswhite-papers"/>
      <w:bookmarkEnd w:id="59"/>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0">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2" w:name="popular-articles"/>
      <w:bookmarkEnd w:id="6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3" w:name="instruction"/>
      <w:bookmarkEnd w:id="63"/>
      <w:r>
        <w:t xml:space="preserve">Instruction</w:t>
      </w:r>
    </w:p>
    <w:p>
      <w:pPr>
        <w:pStyle w:val="Heading3"/>
      </w:pPr>
      <w:bookmarkStart w:id="64" w:name="invited-lectures"/>
      <w:bookmarkEnd w:id="6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5">
        <w:r>
          <w:rPr>
            <w:rStyle w:val="Link"/>
          </w:rPr>
          <w:t xml:space="preserve">http://karlbenedict.com/presentations/2015-10_OILS500_Benedict/2015-10_OILS500_Benedict.html</w:t>
        </w:r>
      </w:hyperlink>
    </w:p>
    <w:p>
      <w:pPr>
        <w:pStyle w:val="Heading3"/>
      </w:pPr>
      <w:bookmarkStart w:id="66" w:name="credit-courses"/>
      <w:bookmarkEnd w:id="6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7" w:name="non-credit-instruction"/>
      <w:bookmarkEnd w:id="6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8" w:name="technical-skills"/>
      <w:bookmarkEnd w:id="68"/>
      <w:r>
        <w:t xml:space="preserve">Technical Skills</w:t>
      </w:r>
    </w:p>
    <w:p>
      <w:pPr>
        <w:pStyle w:val="Heading3"/>
      </w:pPr>
      <w:bookmarkStart w:id="69" w:name="programming-languages"/>
      <w:bookmarkEnd w:id="6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0" w:name="web-development"/>
      <w:bookmarkEnd w:id="7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1" w:name="statistical-mathematical-analysismodeling"/>
      <w:bookmarkEnd w:id="7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2" w:name="database-management"/>
      <w:bookmarkEnd w:id="7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3" w:name="geographic-information-technologies"/>
      <w:bookmarkEnd w:id="7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4" w:name="information-technology"/>
      <w:bookmarkEnd w:id="7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5" w:name="other-technical-skills"/>
      <w:bookmarkEnd w:id="7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6" w:name="advisors"/>
      <w:bookmarkEnd w:id="76"/>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7" w:name="committee-membership"/>
      <w:bookmarkEnd w:id="77"/>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21"/>
          <w:ilvl w:val="0"/>
        </w:numPr>
      </w:pPr>
      <w:r>
        <w:t xml:space="preserve">revised: 2015-12-7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d0fe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07d8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40841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