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BD5" w:rsidRDefault="00D60E33" w:rsidP="001C4AA2">
      <w:pPr>
        <w:jc w:val="center"/>
      </w:pPr>
      <w:r>
        <w:t>2016 Microcaps Trends</w:t>
      </w:r>
      <w:r w:rsidR="001C4AA2">
        <w:t xml:space="preserve"> – The Indians are </w:t>
      </w:r>
      <w:proofErr w:type="gramStart"/>
      <w:r w:rsidR="001C4AA2">
        <w:t>Coming</w:t>
      </w:r>
      <w:proofErr w:type="gramEnd"/>
      <w:r w:rsidR="001C4AA2">
        <w:t>!</w:t>
      </w:r>
    </w:p>
    <w:p w:rsidR="004629C1" w:rsidRDefault="004629C1" w:rsidP="001C4AA2">
      <w:pPr>
        <w:jc w:val="center"/>
      </w:pPr>
    </w:p>
    <w:p w:rsidR="008E0C8A" w:rsidRDefault="004629C1" w:rsidP="004629C1">
      <w:r>
        <w:t xml:space="preserve">According to Goldman Sachs Global Research, the top three performing economies for 2016 will be India, China and Indonesia in that </w:t>
      </w:r>
      <w:r w:rsidR="00AE1CCA">
        <w:t xml:space="preserve">order.  </w:t>
      </w:r>
      <w:r>
        <w:t>China</w:t>
      </w:r>
      <w:r w:rsidR="00AE1CCA">
        <w:t xml:space="preserve"> is obviously</w:t>
      </w:r>
      <w:r>
        <w:t xml:space="preserve"> already well established in US capital markets</w:t>
      </w:r>
      <w:r w:rsidR="006665E2">
        <w:t xml:space="preserve">, with </w:t>
      </w:r>
      <w:r w:rsidR="00D60E33">
        <w:t xml:space="preserve">roughly </w:t>
      </w:r>
      <w:r w:rsidR="006665E2">
        <w:t xml:space="preserve">198 ADR </w:t>
      </w:r>
      <w:r w:rsidR="00FB4BB3">
        <w:t xml:space="preserve">(American Depository Receipt) </w:t>
      </w:r>
      <w:r w:rsidR="006665E2">
        <w:t>listing</w:t>
      </w:r>
      <w:r w:rsidR="00AE1CCA">
        <w:t>s</w:t>
      </w:r>
      <w:r w:rsidR="006665E2">
        <w:t xml:space="preserve"> and </w:t>
      </w:r>
      <w:r w:rsidR="00AE1CCA">
        <w:t xml:space="preserve">a plethora of </w:t>
      </w:r>
      <w:r w:rsidR="006665E2">
        <w:t xml:space="preserve">other issues </w:t>
      </w:r>
      <w:r w:rsidR="00AE1CCA">
        <w:t>listed directly on US exchanges. All sizes of Chinese companies are represented, from Large Cap to Micro Cap. Indeed there is no shortage of</w:t>
      </w:r>
      <w:r w:rsidR="006665E2">
        <w:t xml:space="preserve"> supply for institutions seeking China exposure.</w:t>
      </w:r>
      <w:r>
        <w:t xml:space="preserve"> </w:t>
      </w:r>
      <w:r w:rsidR="0033323E">
        <w:t xml:space="preserve"> By contrast</w:t>
      </w:r>
      <w:r w:rsidR="00D60E33">
        <w:t>, what we find shocking, is the world’s top performing growth economy</w:t>
      </w:r>
      <w:r w:rsidR="008E0C8A">
        <w:t>, India,</w:t>
      </w:r>
      <w:r w:rsidR="00D60E33">
        <w:t xml:space="preserve"> is totally underrepresented in </w:t>
      </w:r>
      <w:proofErr w:type="spellStart"/>
      <w:r w:rsidR="00D60E33">
        <w:t>US</w:t>
      </w:r>
      <w:proofErr w:type="spellEnd"/>
      <w:r w:rsidR="00D60E33">
        <w:t xml:space="preserve"> markets. </w:t>
      </w:r>
      <w:r w:rsidR="0033323E">
        <w:t xml:space="preserve"> </w:t>
      </w:r>
    </w:p>
    <w:p w:rsidR="004629C1" w:rsidRDefault="00D60E33" w:rsidP="004629C1">
      <w:r>
        <w:t xml:space="preserve">Actually </w:t>
      </w:r>
      <w:r w:rsidR="0033323E">
        <w:t xml:space="preserve">there are only 12 Indian ADRs listed in the US totaling roughly $440B of market cap. </w:t>
      </w:r>
      <w:r>
        <w:t xml:space="preserve"> And of that, roughly $308B is contributed by one issue, HDFC Bank Ltd., NYSE-HDB.  </w:t>
      </w:r>
      <w:r w:rsidR="008E0C8A">
        <w:t>W</w:t>
      </w:r>
      <w:r w:rsidR="004629C1">
        <w:t>e expect institutional thirst for Indian equity exposure to increase substantially</w:t>
      </w:r>
      <w:r w:rsidR="008E0C8A">
        <w:t xml:space="preserve"> based on the China slow down and the relative decimation of commodity based </w:t>
      </w:r>
      <w:r w:rsidR="00526229">
        <w:t xml:space="preserve">BRIC </w:t>
      </w:r>
      <w:r w:rsidR="008E0C8A">
        <w:t>economies such as Brazil and Russia</w:t>
      </w:r>
      <w:r w:rsidR="004629C1">
        <w:t xml:space="preserve">. </w:t>
      </w:r>
      <w:r w:rsidR="008E0C8A">
        <w:t xml:space="preserve"> This supply demand imbalance, combined with inefficiency of capital availability in India domestically, should naturally create a flow of companies seeking the advantages of US listings.</w:t>
      </w:r>
      <w:r w:rsidR="004629C1">
        <w:t xml:space="preserve"> </w:t>
      </w:r>
    </w:p>
    <w:p w:rsidR="008E0C8A" w:rsidRDefault="006665E2" w:rsidP="008E0C8A">
      <w:pPr>
        <w:keepNext/>
      </w:pPr>
      <w:r>
        <w:rPr>
          <w:noProof/>
        </w:rPr>
        <w:drawing>
          <wp:inline distT="0" distB="0" distL="0" distR="0" wp14:anchorId="4247E84A" wp14:editId="5BA74981">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01-800x450.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4629C1" w:rsidRDefault="008E0C8A" w:rsidP="008E0C8A">
      <w:pPr>
        <w:pStyle w:val="Caption"/>
      </w:pPr>
      <w:r>
        <w:t xml:space="preserve">Figure </w:t>
      </w:r>
      <w:r>
        <w:fldChar w:fldCharType="begin"/>
      </w:r>
      <w:r>
        <w:instrText xml:space="preserve"> SEQ Figure \* ARABIC </w:instrText>
      </w:r>
      <w:r>
        <w:fldChar w:fldCharType="separate"/>
      </w:r>
      <w:r w:rsidR="00A07E86">
        <w:rPr>
          <w:noProof/>
        </w:rPr>
        <w:t>1</w:t>
      </w:r>
      <w:r>
        <w:fldChar w:fldCharType="end"/>
      </w:r>
      <w:r>
        <w:t>Source:</w:t>
      </w:r>
      <w:r w:rsidRPr="00E745F6">
        <w:t>http://www.goldmansachs.com/our-thinking/pages/outlook-2016/index.html</w:t>
      </w:r>
    </w:p>
    <w:p w:rsidR="001C4AA2" w:rsidRDefault="00A31402" w:rsidP="001C4AA2">
      <w:r w:rsidRPr="00A31402">
        <w:t>The Bombay Stock Exchange is the major trading venue for Indian companies and t</w:t>
      </w:r>
      <w:r w:rsidR="00E74E4B">
        <w:t>heir stocks. It’s the world’s 11</w:t>
      </w:r>
      <w:r w:rsidR="00E74E4B" w:rsidRPr="00E74E4B">
        <w:rPr>
          <w:vertAlign w:val="superscript"/>
        </w:rPr>
        <w:t>th</w:t>
      </w:r>
      <w:r w:rsidR="00E74E4B">
        <w:t xml:space="preserve"> largest stock exchange with </w:t>
      </w:r>
      <w:r w:rsidRPr="00A31402">
        <w:t>more th</w:t>
      </w:r>
      <w:r w:rsidR="00E74E4B">
        <w:t xml:space="preserve">an 5,000 companies </w:t>
      </w:r>
      <w:r w:rsidRPr="00A31402">
        <w:t>listed</w:t>
      </w:r>
      <w:r w:rsidR="00E74E4B">
        <w:t>.  Aggregate BSE market capitalization exceeds $1.7</w:t>
      </w:r>
      <w:r w:rsidRPr="00A31402">
        <w:t xml:space="preserve"> trillion. </w:t>
      </w:r>
      <w:r w:rsidR="00B040D6">
        <w:t xml:space="preserve"> Where liquidity in the top 100 issues is quite respectable, liquidity becomes a challenge in the smaller company equities.  These companies would be well served to consider level II ADR listings in the US.  ADR listing of this class of security would attract US institutional investors that have resisted buying domestic Indian issues due to currency risk, added costs and in certain cases, exposure to non-US securities laws and taxes.</w:t>
      </w:r>
    </w:p>
    <w:p w:rsidR="00426651" w:rsidRDefault="00526229" w:rsidP="001C4AA2">
      <w:r>
        <w:rPr>
          <w:noProof/>
        </w:rPr>
        <w:lastRenderedPageBreak/>
        <mc:AlternateContent>
          <mc:Choice Requires="wps">
            <w:drawing>
              <wp:anchor distT="0" distB="0" distL="114300" distR="114300" simplePos="0" relativeHeight="251660288" behindDoc="1" locked="0" layoutInCell="1" allowOverlap="1" wp14:anchorId="4B4D976F" wp14:editId="7AB76BB1">
                <wp:simplePos x="0" y="0"/>
                <wp:positionH relativeFrom="column">
                  <wp:posOffset>2775585</wp:posOffset>
                </wp:positionH>
                <wp:positionV relativeFrom="paragraph">
                  <wp:posOffset>2159000</wp:posOffset>
                </wp:positionV>
                <wp:extent cx="2970530"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2970530" cy="635"/>
                        </a:xfrm>
                        <a:prstGeom prst="rect">
                          <a:avLst/>
                        </a:prstGeom>
                        <a:solidFill>
                          <a:prstClr val="white"/>
                        </a:solidFill>
                        <a:ln>
                          <a:noFill/>
                        </a:ln>
                        <a:effectLst/>
                      </wps:spPr>
                      <wps:txbx>
                        <w:txbxContent>
                          <w:p w:rsidR="00526229" w:rsidRPr="00C92DC3" w:rsidRDefault="00526229" w:rsidP="00526229">
                            <w:pPr>
                              <w:pStyle w:val="Caption"/>
                              <w:rPr>
                                <w:noProof/>
                              </w:rPr>
                            </w:pPr>
                            <w:r>
                              <w:t xml:space="preserve">Figure </w:t>
                            </w:r>
                            <w:r>
                              <w:fldChar w:fldCharType="begin"/>
                            </w:r>
                            <w:r>
                              <w:instrText xml:space="preserve"> SEQ Figure \* ARABIC </w:instrText>
                            </w:r>
                            <w:r>
                              <w:fldChar w:fldCharType="separate"/>
                            </w:r>
                            <w:r w:rsidR="00A07E86">
                              <w:rPr>
                                <w:noProof/>
                              </w:rPr>
                              <w:t>2</w:t>
                            </w:r>
                            <w:r>
                              <w:fldChar w:fldCharType="end"/>
                            </w:r>
                            <w:r>
                              <w:t>Bombay Stock Exchange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4D976F" id="_x0000_t202" coordsize="21600,21600" o:spt="202" path="m,l,21600r21600,l21600,xe">
                <v:stroke joinstyle="miter"/>
                <v:path gradientshapeok="t" o:connecttype="rect"/>
              </v:shapetype>
              <v:shape id="Text Box 3" o:spid="_x0000_s1026" type="#_x0000_t202" style="position:absolute;margin-left:218.55pt;margin-top:170pt;width:233.9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" stroked="f">
                <v:textbox style="mso-fit-shape-to-text:t" inset="0,0,0,0">
                  <w:txbxContent>
                    <w:p w:rsidR="00526229" w:rsidRPr="00C92DC3" w:rsidRDefault="00526229" w:rsidP="00526229">
                      <w:pPr>
                        <w:pStyle w:val="Caption"/>
                        <w:rPr>
                          <w:noProof/>
                        </w:rPr>
                      </w:pPr>
                      <w:r>
                        <w:t xml:space="preserve">Figure </w:t>
                      </w:r>
                      <w:r>
                        <w:fldChar w:fldCharType="begin"/>
                      </w:r>
                      <w:r>
                        <w:instrText xml:space="preserve"> SEQ Figure \* ARABIC </w:instrText>
                      </w:r>
                      <w:r>
                        <w:fldChar w:fldCharType="separate"/>
                      </w:r>
                      <w:r w:rsidR="00A07E86">
                        <w:rPr>
                          <w:noProof/>
                        </w:rPr>
                        <w:t>2</w:t>
                      </w:r>
                      <w:r>
                        <w:fldChar w:fldCharType="end"/>
                      </w:r>
                      <w:r>
                        <w:t>Bombay Stock Exchange</w:t>
                      </w:r>
                    </w:p>
                  </w:txbxContent>
                </v:textbox>
                <w10:wrap type="tight"/>
              </v:shape>
            </w:pict>
          </mc:Fallback>
        </mc:AlternateContent>
      </w:r>
      <w:r>
        <w:rPr>
          <w:noProof/>
        </w:rPr>
        <w:drawing>
          <wp:anchor distT="0" distB="0" distL="114300" distR="114300" simplePos="0" relativeHeight="251658240" behindDoc="1" locked="0" layoutInCell="1" allowOverlap="1" wp14:anchorId="69AB547E" wp14:editId="6CD554E4">
            <wp:simplePos x="0" y="0"/>
            <wp:positionH relativeFrom="column">
              <wp:posOffset>2775585</wp:posOffset>
            </wp:positionH>
            <wp:positionV relativeFrom="paragraph">
              <wp:posOffset>44450</wp:posOffset>
            </wp:positionV>
            <wp:extent cx="2970530" cy="2057400"/>
            <wp:effectExtent l="0" t="0" r="1270" b="0"/>
            <wp:wrapTight wrapText="bothSides">
              <wp:wrapPolygon edited="0">
                <wp:start x="0" y="0"/>
                <wp:lineTo x="0" y="21400"/>
                <wp:lineTo x="21471" y="21400"/>
                <wp:lineTo x="2147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SE Image.jpg"/>
                    <pic:cNvPicPr/>
                  </pic:nvPicPr>
                  <pic:blipFill>
                    <a:blip r:embed="rId5">
                      <a:extLst>
                        <a:ext uri="{28A0092B-C50C-407E-A947-70E740481C1C}">
                          <a14:useLocalDpi xmlns:a14="http://schemas.microsoft.com/office/drawing/2010/main" val="0"/>
                        </a:ext>
                      </a:extLst>
                    </a:blip>
                    <a:stretch>
                      <a:fillRect/>
                    </a:stretch>
                  </pic:blipFill>
                  <pic:spPr>
                    <a:xfrm>
                      <a:off x="0" y="0"/>
                      <a:ext cx="2970530" cy="2057400"/>
                    </a:xfrm>
                    <a:prstGeom prst="rect">
                      <a:avLst/>
                    </a:prstGeom>
                  </pic:spPr>
                </pic:pic>
              </a:graphicData>
            </a:graphic>
            <wp14:sizeRelH relativeFrom="margin">
              <wp14:pctWidth>0</wp14:pctWidth>
            </wp14:sizeRelH>
            <wp14:sizeRelV relativeFrom="margin">
              <wp14:pctHeight>0</wp14:pctHeight>
            </wp14:sizeRelV>
          </wp:anchor>
        </w:drawing>
      </w:r>
      <w:r w:rsidR="0066587E">
        <w:t>Although the listing standards on the BSE are quite rigorous, the vast majority of US investors prefer the governance and transparency requirements of the US exchanges.  For companies already listed on the BSE, the ADR process is quite straight forward</w:t>
      </w:r>
      <w:r w:rsidR="00426651">
        <w:t xml:space="preserve">.  </w:t>
      </w:r>
    </w:p>
    <w:p w:rsidR="00426651" w:rsidRDefault="00426651" w:rsidP="001C4AA2">
      <w:r>
        <w:t>The basic ADR listing process is the Level I listing process.  And although there are some benefits such as providing a transition path for companies ultimately seeking national exchange listing, Level I does not provide the depth of investor access since securities under Level I are restricted to trading OTC.</w:t>
      </w:r>
    </w:p>
    <w:p w:rsidR="0066587E" w:rsidRDefault="00526229" w:rsidP="001C4AA2">
      <w:r>
        <w:t>However, t</w:t>
      </w:r>
      <w:r w:rsidR="00426651">
        <w:t>he level II ADR listing process allows companies to trade domestic share equivalents on a US national exchange. For qualified issuers, this listing process is the quickest path to achieving improved liquidity and eventually more efficient price discovery.</w:t>
      </w:r>
      <w:r>
        <w:t xml:space="preserve"> With Indian ADR’s in particular, quite often because of the under supply, Indian company ADR’s trade at a premium to the ordinaries.</w:t>
      </w:r>
    </w:p>
    <w:p w:rsidR="00426651" w:rsidRDefault="00426651" w:rsidP="001C4AA2">
      <w:r>
        <w:t xml:space="preserve">Level III </w:t>
      </w:r>
      <w:r w:rsidR="00526229">
        <w:t xml:space="preserve">ADR process </w:t>
      </w:r>
      <w:r>
        <w:t>actually combines national exchange listing with a capital raise. For lesser known companies, the</w:t>
      </w:r>
      <w:r w:rsidR="00526229">
        <w:t xml:space="preserve"> process</w:t>
      </w:r>
      <w:r w:rsidR="00FB4BB3">
        <w:t>es</w:t>
      </w:r>
      <w:r w:rsidR="00526229">
        <w:t xml:space="preserve"> inherent in “</w:t>
      </w:r>
      <w:r w:rsidR="00FB4BB3">
        <w:t>IPO securities offering activities</w:t>
      </w:r>
      <w:r w:rsidR="00526229">
        <w:t>”</w:t>
      </w:r>
      <w:r w:rsidR="00FB4BB3">
        <w:t xml:space="preserve"> for example the roadshow, serve to not only raise capital, but to educate buy side investors on the merits of owning the equity.</w:t>
      </w:r>
    </w:p>
    <w:p w:rsidR="00FB4BB3" w:rsidRDefault="00FB4BB3" w:rsidP="001C4AA2">
      <w:r>
        <w:br/>
      </w:r>
      <w:r w:rsidR="000C5715">
        <w:t xml:space="preserve">Overall, the ADR listing strategy is an excellent way to attract a much broader investor base into a particular security.  Listing on a US national exchange will also contribute to the prestige of lesser known Indian equities and promote more efficient price discovery.  </w:t>
      </w:r>
      <w:r>
        <w:t xml:space="preserve">Where the American Depository Receipts processes require that a company is already listed on an exchange locally, those companies that are privately listed, have the option to list domestically and pursue the ADR process, or they can consider a direct offering to the US markets. </w:t>
      </w:r>
      <w:r w:rsidR="00C74931">
        <w:t xml:space="preserve"> It’s this last category that quite possibly will create the best investment opportunities for US investors.</w:t>
      </w:r>
    </w:p>
    <w:p w:rsidR="00C74931" w:rsidRDefault="00C74931" w:rsidP="001C4AA2"/>
    <w:p w:rsidR="003A1264" w:rsidRDefault="00A07E86" w:rsidP="001C4AA2">
      <w:r>
        <w:rPr>
          <w:noProof/>
        </w:rPr>
        <mc:AlternateContent>
          <mc:Choice Requires="wps">
            <w:drawing>
              <wp:anchor distT="0" distB="0" distL="114300" distR="114300" simplePos="0" relativeHeight="251663360" behindDoc="1" locked="0" layoutInCell="1" allowOverlap="1" wp14:anchorId="077E8AD7" wp14:editId="1CA0FC80">
                <wp:simplePos x="0" y="0"/>
                <wp:positionH relativeFrom="column">
                  <wp:posOffset>2451735</wp:posOffset>
                </wp:positionH>
                <wp:positionV relativeFrom="paragraph">
                  <wp:posOffset>1829435</wp:posOffset>
                </wp:positionV>
                <wp:extent cx="386588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3865880" cy="635"/>
                        </a:xfrm>
                        <a:prstGeom prst="rect">
                          <a:avLst/>
                        </a:prstGeom>
                        <a:solidFill>
                          <a:prstClr val="white"/>
                        </a:solidFill>
                        <a:ln>
                          <a:noFill/>
                        </a:ln>
                        <a:effectLst/>
                      </wps:spPr>
                      <wps:txbx>
                        <w:txbxContent>
                          <w:p w:rsidR="00A07E86" w:rsidRPr="00CC400F" w:rsidRDefault="00A07E86" w:rsidP="00A07E86">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xml:space="preserve"> McKinsey Research - EMC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E8AD7" id="Text Box 5" o:spid="_x0000_s1027" type="#_x0000_t202" style="position:absolute;margin-left:193.05pt;margin-top:144.05pt;width:304.4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" stroked="f">
                <v:textbox style="mso-fit-shape-to-text:t" inset="0,0,0,0">
                  <w:txbxContent>
                    <w:p w:rsidR="00A07E86" w:rsidRPr="00CC400F" w:rsidRDefault="00A07E86" w:rsidP="00A07E86">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xml:space="preserve"> McKinsey Research - EMC </w:t>
                      </w:r>
                    </w:p>
                  </w:txbxContent>
                </v:textbox>
                <w10:wrap type="tight"/>
              </v:shape>
            </w:pict>
          </mc:Fallback>
        </mc:AlternateContent>
      </w:r>
      <w:r w:rsidR="003B0CF9" w:rsidRPr="003B0CF9">
        <w:rPr>
          <w:noProof/>
        </w:rPr>
        <w:drawing>
          <wp:anchor distT="0" distB="0" distL="114300" distR="114300" simplePos="0" relativeHeight="251661312" behindDoc="1" locked="0" layoutInCell="1" allowOverlap="1" wp14:anchorId="6CFE433E" wp14:editId="71669536">
            <wp:simplePos x="0" y="0"/>
            <wp:positionH relativeFrom="margin">
              <wp:posOffset>2451735</wp:posOffset>
            </wp:positionH>
            <wp:positionV relativeFrom="paragraph">
              <wp:posOffset>80010</wp:posOffset>
            </wp:positionV>
            <wp:extent cx="3865880" cy="1803400"/>
            <wp:effectExtent l="0" t="0" r="1270" b="6350"/>
            <wp:wrapTight wrapText="bothSides">
              <wp:wrapPolygon edited="0">
                <wp:start x="0" y="0"/>
                <wp:lineTo x="0" y="21448"/>
                <wp:lineTo x="21501" y="21448"/>
                <wp:lineTo x="2150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65880" cy="180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1264">
        <w:t>Private equity inv</w:t>
      </w:r>
      <w:r w:rsidR="007C0008">
        <w:t>estors have enjoyed a significant pool of mature cash flowing companies from which to choose in India.  High returns have been consistently generated from</w:t>
      </w:r>
      <w:r w:rsidR="003A1264">
        <w:t xml:space="preserve"> the significant number of competitively priced private equity deals that are available in India.  There are nu</w:t>
      </w:r>
      <w:r w:rsidR="003B0CF9">
        <w:t xml:space="preserve">merous </w:t>
      </w:r>
      <w:r w:rsidR="003A1264">
        <w:t>sect</w:t>
      </w:r>
      <w:r w:rsidR="007C0008">
        <w:t xml:space="preserve">ors where multiples are </w:t>
      </w:r>
      <w:r w:rsidR="003A1264">
        <w:t>consider</w:t>
      </w:r>
      <w:r w:rsidR="007C0008">
        <w:t xml:space="preserve">ably lower than their US equivalents.  </w:t>
      </w:r>
      <w:r w:rsidR="003B0CF9">
        <w:t xml:space="preserve">Another factor that may contribute to a </w:t>
      </w:r>
      <w:r>
        <w:rPr>
          <w:noProof/>
        </w:rPr>
        <mc:AlternateContent>
          <mc:Choice Requires="wps">
            <w:drawing>
              <wp:anchor distT="0" distB="0" distL="114300" distR="114300" simplePos="0" relativeHeight="251666432" behindDoc="1" locked="0" layoutInCell="1" allowOverlap="1" wp14:anchorId="2CA78D20" wp14:editId="32DDD5C6">
                <wp:simplePos x="0" y="0"/>
                <wp:positionH relativeFrom="column">
                  <wp:posOffset>2216150</wp:posOffset>
                </wp:positionH>
                <wp:positionV relativeFrom="paragraph">
                  <wp:posOffset>3099435</wp:posOffset>
                </wp:positionV>
                <wp:extent cx="3975100"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3975100" cy="635"/>
                        </a:xfrm>
                        <a:prstGeom prst="rect">
                          <a:avLst/>
                        </a:prstGeom>
                        <a:solidFill>
                          <a:prstClr val="white"/>
                        </a:solidFill>
                        <a:ln>
                          <a:noFill/>
                        </a:ln>
                        <a:effectLst/>
                      </wps:spPr>
                      <wps:txbx>
                        <w:txbxContent>
                          <w:p w:rsidR="00A07E86" w:rsidRPr="005C0BA0" w:rsidRDefault="00A07E86" w:rsidP="00A07E86">
                            <w:pPr>
                              <w:pStyle w:val="Caption"/>
                              <w:rPr>
                                <w:noProof/>
                              </w:rPr>
                            </w:pPr>
                            <w:r>
                              <w:t xml:space="preserve">Figure </w:t>
                            </w:r>
                            <w:r>
                              <w:fldChar w:fldCharType="begin"/>
                            </w:r>
                            <w:r>
                              <w:instrText xml:space="preserve"> SEQ Figure \* ARABIC </w:instrText>
                            </w:r>
                            <w:r>
                              <w:fldChar w:fldCharType="separate"/>
                            </w:r>
                            <w:r>
                              <w:rPr>
                                <w:noProof/>
                              </w:rPr>
                              <w:t>4</w:t>
                            </w:r>
                            <w:r>
                              <w:fldChar w:fldCharType="end"/>
                            </w:r>
                            <w:r>
                              <w:t xml:space="preserve"> McKinsey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78D20" id="Text Box 7" o:spid="_x0000_s1028" type="#_x0000_t202" style="position:absolute;margin-left:174.5pt;margin-top:244.05pt;width:313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" stroked="f">
                <v:textbox style="mso-fit-shape-to-text:t" inset="0,0,0,0">
                  <w:txbxContent>
                    <w:p w:rsidR="00A07E86" w:rsidRPr="005C0BA0" w:rsidRDefault="00A07E86" w:rsidP="00A07E86">
                      <w:pPr>
                        <w:pStyle w:val="Caption"/>
                        <w:rPr>
                          <w:noProof/>
                        </w:rPr>
                      </w:pPr>
                      <w:r>
                        <w:t xml:space="preserve">Figure </w:t>
                      </w:r>
                      <w:r>
                        <w:fldChar w:fldCharType="begin"/>
                      </w:r>
                      <w:r>
                        <w:instrText xml:space="preserve"> SEQ Figure \* ARABIC </w:instrText>
                      </w:r>
                      <w:r>
                        <w:fldChar w:fldCharType="separate"/>
                      </w:r>
                      <w:r>
                        <w:rPr>
                          <w:noProof/>
                        </w:rPr>
                        <w:t>4</w:t>
                      </w:r>
                      <w:r>
                        <w:fldChar w:fldCharType="end"/>
                      </w:r>
                      <w:r>
                        <w:t xml:space="preserve"> McKinsey</w:t>
                      </w:r>
                    </w:p>
                  </w:txbxContent>
                </v:textbox>
                <w10:wrap type="tight"/>
              </v:shape>
            </w:pict>
          </mc:Fallback>
        </mc:AlternateContent>
      </w:r>
      <w:r w:rsidRPr="00A07E86">
        <w:rPr>
          <w:noProof/>
        </w:rPr>
        <w:drawing>
          <wp:anchor distT="0" distB="0" distL="114300" distR="114300" simplePos="0" relativeHeight="251664384" behindDoc="1" locked="0" layoutInCell="1" allowOverlap="1" wp14:anchorId="6C3E1D1C" wp14:editId="25EFBB3A">
            <wp:simplePos x="0" y="0"/>
            <wp:positionH relativeFrom="column">
              <wp:posOffset>2216150</wp:posOffset>
            </wp:positionH>
            <wp:positionV relativeFrom="paragraph">
              <wp:posOffset>88900</wp:posOffset>
            </wp:positionV>
            <wp:extent cx="3975100" cy="2953385"/>
            <wp:effectExtent l="0" t="0" r="6350" b="0"/>
            <wp:wrapTight wrapText="bothSides">
              <wp:wrapPolygon edited="0">
                <wp:start x="0" y="0"/>
                <wp:lineTo x="0" y="21456"/>
                <wp:lineTo x="21531" y="21456"/>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5100" cy="2953385"/>
                    </a:xfrm>
                    <a:prstGeom prst="rect">
                      <a:avLst/>
                    </a:prstGeom>
                    <a:noFill/>
                    <a:ln>
                      <a:noFill/>
                    </a:ln>
                  </pic:spPr>
                </pic:pic>
              </a:graphicData>
            </a:graphic>
          </wp:anchor>
        </w:drawing>
      </w:r>
      <w:r w:rsidR="003B0CF9">
        <w:t xml:space="preserve">wave of Indian IPO’s is the desire to monetize growth and take money off the table.  According to McKinsey Research, of the $51 B invested in private equity, only $16B has actually exited.  </w:t>
      </w:r>
      <w:r>
        <w:t>US markets may offer an alternative to limited exit opportunities in India.</w:t>
      </w:r>
      <w:r w:rsidRPr="00A07E86">
        <w:t xml:space="preserve"> </w:t>
      </w:r>
      <w:r>
        <w:t xml:space="preserve">  With the improved liquidity for US investors and </w:t>
      </w:r>
      <w:r w:rsidR="00AD0AAA">
        <w:t>improved price discovery, PE investors may be able to exit at competitive multiple directly into the public companies.</w:t>
      </w:r>
    </w:p>
    <w:p w:rsidR="00AD0AAA" w:rsidRDefault="00AD0AAA" w:rsidP="001C4AA2"/>
    <w:p w:rsidR="00AD0AAA" w:rsidRDefault="00AD0AAA" w:rsidP="001C4AA2">
      <w:r>
        <w:t xml:space="preserve">All of these factors lend themselves to support for more Indian companies preparing ADR and IPO transactions for early 2016 and beyond.  And for </w:t>
      </w:r>
      <w:proofErr w:type="spellStart"/>
      <w:r>
        <w:t>MicroCap</w:t>
      </w:r>
      <w:proofErr w:type="spellEnd"/>
      <w:r>
        <w:t xml:space="preserve"> investors and issuers, we expect to see stepped up activity in the asset class for 2016.</w:t>
      </w:r>
      <w:bookmarkStart w:id="0" w:name="_GoBack"/>
      <w:bookmarkEnd w:id="0"/>
    </w:p>
    <w:p w:rsidR="00426651" w:rsidRDefault="00426651" w:rsidP="001C4AA2"/>
    <w:p w:rsidR="002D4D19" w:rsidRDefault="002D4D19" w:rsidP="001C4AA2"/>
    <w:p w:rsidR="00A07E86" w:rsidRDefault="00A07E86" w:rsidP="001C4AA2">
      <w:pPr>
        <w:rPr>
          <w:i/>
        </w:rPr>
      </w:pPr>
    </w:p>
    <w:p w:rsidR="00A07E86" w:rsidRDefault="00A07E86" w:rsidP="001C4AA2">
      <w:pPr>
        <w:rPr>
          <w:i/>
        </w:rPr>
      </w:pPr>
    </w:p>
    <w:p w:rsidR="00A07E86" w:rsidRDefault="00A07E86" w:rsidP="001C4AA2">
      <w:pPr>
        <w:rPr>
          <w:i/>
        </w:rPr>
      </w:pPr>
    </w:p>
    <w:p w:rsidR="00A07E86" w:rsidRDefault="00A07E86" w:rsidP="001C4AA2">
      <w:pPr>
        <w:rPr>
          <w:i/>
        </w:rPr>
      </w:pPr>
    </w:p>
    <w:p w:rsidR="00A07E86" w:rsidRDefault="00A07E86" w:rsidP="001C4AA2">
      <w:pPr>
        <w:rPr>
          <w:i/>
        </w:rPr>
      </w:pPr>
    </w:p>
    <w:p w:rsidR="00A07E86" w:rsidRDefault="00A07E86" w:rsidP="001C4AA2">
      <w:pPr>
        <w:rPr>
          <w:i/>
        </w:rPr>
      </w:pPr>
    </w:p>
    <w:p w:rsidR="00A07E86" w:rsidRDefault="00A07E86" w:rsidP="001C4AA2">
      <w:pPr>
        <w:rPr>
          <w:i/>
        </w:rPr>
      </w:pPr>
    </w:p>
    <w:p w:rsidR="00A07E86" w:rsidRDefault="00A07E86" w:rsidP="001C4AA2">
      <w:pPr>
        <w:rPr>
          <w:i/>
        </w:rPr>
      </w:pPr>
    </w:p>
    <w:p w:rsidR="00B040D6" w:rsidRPr="005C0E28" w:rsidRDefault="00B040D6" w:rsidP="001C4AA2">
      <w:pPr>
        <w:rPr>
          <w:i/>
        </w:rPr>
      </w:pPr>
      <w:r w:rsidRPr="005C0E28">
        <w:rPr>
          <w:i/>
        </w:rPr>
        <w:t>Wesley Ramjeet is CEO of PPMT Strategic Group, Inc., a Tax and Business Advisory Firm.</w:t>
      </w:r>
      <w:r w:rsidR="005C0E28" w:rsidRPr="005C0E28">
        <w:rPr>
          <w:i/>
        </w:rPr>
        <w:t xml:space="preserve">  PPMT is actively representing Indian companies considering the ADR listing process.</w:t>
      </w:r>
      <w:r w:rsidR="00782C07">
        <w:rPr>
          <w:i/>
        </w:rPr>
        <w:t xml:space="preserve"> Email: wramjeet@ppmtgroup.com</w:t>
      </w:r>
    </w:p>
    <w:p w:rsidR="002D356A" w:rsidRDefault="002D356A" w:rsidP="001C4AA2"/>
    <w:sectPr w:rsidR="002D3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AA2"/>
    <w:rsid w:val="00000D03"/>
    <w:rsid w:val="0001014F"/>
    <w:rsid w:val="00010C91"/>
    <w:rsid w:val="00010DDB"/>
    <w:rsid w:val="0002225B"/>
    <w:rsid w:val="00025373"/>
    <w:rsid w:val="0003122E"/>
    <w:rsid w:val="00031BD7"/>
    <w:rsid w:val="00034BF7"/>
    <w:rsid w:val="000362CC"/>
    <w:rsid w:val="00036C75"/>
    <w:rsid w:val="00042276"/>
    <w:rsid w:val="00043A32"/>
    <w:rsid w:val="00046C91"/>
    <w:rsid w:val="00047A0A"/>
    <w:rsid w:val="00047B8F"/>
    <w:rsid w:val="00050719"/>
    <w:rsid w:val="00053AB3"/>
    <w:rsid w:val="00056DE7"/>
    <w:rsid w:val="000642E8"/>
    <w:rsid w:val="000644F0"/>
    <w:rsid w:val="000650A8"/>
    <w:rsid w:val="000652BB"/>
    <w:rsid w:val="00066E2F"/>
    <w:rsid w:val="00070FDA"/>
    <w:rsid w:val="00071144"/>
    <w:rsid w:val="00072B1D"/>
    <w:rsid w:val="00072CEC"/>
    <w:rsid w:val="00073A52"/>
    <w:rsid w:val="00076D69"/>
    <w:rsid w:val="00076E28"/>
    <w:rsid w:val="00080BB4"/>
    <w:rsid w:val="000848F4"/>
    <w:rsid w:val="0008599E"/>
    <w:rsid w:val="00087036"/>
    <w:rsid w:val="00090AE3"/>
    <w:rsid w:val="00092CDF"/>
    <w:rsid w:val="00094A0F"/>
    <w:rsid w:val="00095E3E"/>
    <w:rsid w:val="000971D8"/>
    <w:rsid w:val="000A514B"/>
    <w:rsid w:val="000A6EF5"/>
    <w:rsid w:val="000B0FFE"/>
    <w:rsid w:val="000B199D"/>
    <w:rsid w:val="000B47AA"/>
    <w:rsid w:val="000B71FC"/>
    <w:rsid w:val="000B7CB5"/>
    <w:rsid w:val="000C0FA6"/>
    <w:rsid w:val="000C299E"/>
    <w:rsid w:val="000C36F1"/>
    <w:rsid w:val="000C3FCE"/>
    <w:rsid w:val="000C5715"/>
    <w:rsid w:val="000C70AC"/>
    <w:rsid w:val="000C7972"/>
    <w:rsid w:val="000D5A4D"/>
    <w:rsid w:val="000D5D7C"/>
    <w:rsid w:val="000D619E"/>
    <w:rsid w:val="000D785F"/>
    <w:rsid w:val="000E03CA"/>
    <w:rsid w:val="000E1CAA"/>
    <w:rsid w:val="000E3766"/>
    <w:rsid w:val="000E7CE9"/>
    <w:rsid w:val="000F316C"/>
    <w:rsid w:val="000F4FDB"/>
    <w:rsid w:val="000F6FFD"/>
    <w:rsid w:val="00100D71"/>
    <w:rsid w:val="00101ABA"/>
    <w:rsid w:val="00102F9A"/>
    <w:rsid w:val="00103064"/>
    <w:rsid w:val="001040DE"/>
    <w:rsid w:val="00104D93"/>
    <w:rsid w:val="0010614A"/>
    <w:rsid w:val="001134FB"/>
    <w:rsid w:val="001155BE"/>
    <w:rsid w:val="00115BD1"/>
    <w:rsid w:val="001205EC"/>
    <w:rsid w:val="0012099F"/>
    <w:rsid w:val="00120A5B"/>
    <w:rsid w:val="0012275A"/>
    <w:rsid w:val="00123EC8"/>
    <w:rsid w:val="00126EF5"/>
    <w:rsid w:val="00127B5E"/>
    <w:rsid w:val="0013074D"/>
    <w:rsid w:val="001307DC"/>
    <w:rsid w:val="00133AF4"/>
    <w:rsid w:val="0013475C"/>
    <w:rsid w:val="00136C4E"/>
    <w:rsid w:val="00141376"/>
    <w:rsid w:val="001413FB"/>
    <w:rsid w:val="00141691"/>
    <w:rsid w:val="0014271B"/>
    <w:rsid w:val="0014273F"/>
    <w:rsid w:val="00145AB1"/>
    <w:rsid w:val="00145DE9"/>
    <w:rsid w:val="00151384"/>
    <w:rsid w:val="001553C5"/>
    <w:rsid w:val="001558B9"/>
    <w:rsid w:val="001564E7"/>
    <w:rsid w:val="00161D5E"/>
    <w:rsid w:val="00162B8C"/>
    <w:rsid w:val="001720A5"/>
    <w:rsid w:val="00173C46"/>
    <w:rsid w:val="00174EB1"/>
    <w:rsid w:val="00175EB4"/>
    <w:rsid w:val="00177215"/>
    <w:rsid w:val="00180D1A"/>
    <w:rsid w:val="00185274"/>
    <w:rsid w:val="0019155C"/>
    <w:rsid w:val="001957AE"/>
    <w:rsid w:val="0019661B"/>
    <w:rsid w:val="001A0BA0"/>
    <w:rsid w:val="001A1AC0"/>
    <w:rsid w:val="001A5C33"/>
    <w:rsid w:val="001B3580"/>
    <w:rsid w:val="001B37BF"/>
    <w:rsid w:val="001B3E94"/>
    <w:rsid w:val="001B6A5C"/>
    <w:rsid w:val="001C2A43"/>
    <w:rsid w:val="001C2FCC"/>
    <w:rsid w:val="001C3993"/>
    <w:rsid w:val="001C4AA2"/>
    <w:rsid w:val="001D058F"/>
    <w:rsid w:val="001D08CB"/>
    <w:rsid w:val="001D324C"/>
    <w:rsid w:val="001E12CA"/>
    <w:rsid w:val="001E1A18"/>
    <w:rsid w:val="001E28C8"/>
    <w:rsid w:val="001E2EA7"/>
    <w:rsid w:val="001E67D8"/>
    <w:rsid w:val="001F1359"/>
    <w:rsid w:val="001F243A"/>
    <w:rsid w:val="001F27BC"/>
    <w:rsid w:val="001F317C"/>
    <w:rsid w:val="001F38CC"/>
    <w:rsid w:val="002011D7"/>
    <w:rsid w:val="00204DD3"/>
    <w:rsid w:val="00205594"/>
    <w:rsid w:val="0020588F"/>
    <w:rsid w:val="00212818"/>
    <w:rsid w:val="0021301E"/>
    <w:rsid w:val="00214199"/>
    <w:rsid w:val="002202A0"/>
    <w:rsid w:val="00221E1F"/>
    <w:rsid w:val="00222BFB"/>
    <w:rsid w:val="00222FF9"/>
    <w:rsid w:val="00225865"/>
    <w:rsid w:val="00231580"/>
    <w:rsid w:val="00232D80"/>
    <w:rsid w:val="00233FED"/>
    <w:rsid w:val="00234CF7"/>
    <w:rsid w:val="0023649F"/>
    <w:rsid w:val="00237590"/>
    <w:rsid w:val="00242335"/>
    <w:rsid w:val="002439AD"/>
    <w:rsid w:val="0024712F"/>
    <w:rsid w:val="00247308"/>
    <w:rsid w:val="002525CF"/>
    <w:rsid w:val="00252E0B"/>
    <w:rsid w:val="002545E6"/>
    <w:rsid w:val="00255465"/>
    <w:rsid w:val="00256C9B"/>
    <w:rsid w:val="002571FE"/>
    <w:rsid w:val="00261CD0"/>
    <w:rsid w:val="00263814"/>
    <w:rsid w:val="002647E6"/>
    <w:rsid w:val="002740B9"/>
    <w:rsid w:val="00274F71"/>
    <w:rsid w:val="00280461"/>
    <w:rsid w:val="002939B0"/>
    <w:rsid w:val="00296663"/>
    <w:rsid w:val="002968AE"/>
    <w:rsid w:val="002A1DA0"/>
    <w:rsid w:val="002B07AA"/>
    <w:rsid w:val="002B394B"/>
    <w:rsid w:val="002B570E"/>
    <w:rsid w:val="002C0248"/>
    <w:rsid w:val="002C0923"/>
    <w:rsid w:val="002C1BAC"/>
    <w:rsid w:val="002C21E3"/>
    <w:rsid w:val="002C25CA"/>
    <w:rsid w:val="002C4468"/>
    <w:rsid w:val="002C5112"/>
    <w:rsid w:val="002C699D"/>
    <w:rsid w:val="002D2458"/>
    <w:rsid w:val="002D356A"/>
    <w:rsid w:val="002D4D19"/>
    <w:rsid w:val="002D6F92"/>
    <w:rsid w:val="002D7616"/>
    <w:rsid w:val="002E0710"/>
    <w:rsid w:val="002E21EA"/>
    <w:rsid w:val="002E23C9"/>
    <w:rsid w:val="002E4B81"/>
    <w:rsid w:val="002E4DBA"/>
    <w:rsid w:val="002E7A41"/>
    <w:rsid w:val="002F1D55"/>
    <w:rsid w:val="002F318D"/>
    <w:rsid w:val="002F3D89"/>
    <w:rsid w:val="002F3EFC"/>
    <w:rsid w:val="002F4BCE"/>
    <w:rsid w:val="002F558E"/>
    <w:rsid w:val="002F674D"/>
    <w:rsid w:val="002F7938"/>
    <w:rsid w:val="00303BCF"/>
    <w:rsid w:val="003055D3"/>
    <w:rsid w:val="00305CB3"/>
    <w:rsid w:val="0030709F"/>
    <w:rsid w:val="00310146"/>
    <w:rsid w:val="003112D8"/>
    <w:rsid w:val="0031221B"/>
    <w:rsid w:val="00312F4A"/>
    <w:rsid w:val="00314D7C"/>
    <w:rsid w:val="003165DD"/>
    <w:rsid w:val="00316947"/>
    <w:rsid w:val="0032151C"/>
    <w:rsid w:val="00321A4B"/>
    <w:rsid w:val="0032256F"/>
    <w:rsid w:val="003252EE"/>
    <w:rsid w:val="00327206"/>
    <w:rsid w:val="00331D17"/>
    <w:rsid w:val="00332C1E"/>
    <w:rsid w:val="0033323E"/>
    <w:rsid w:val="003361DC"/>
    <w:rsid w:val="0033634C"/>
    <w:rsid w:val="003408C0"/>
    <w:rsid w:val="0034481B"/>
    <w:rsid w:val="0035363A"/>
    <w:rsid w:val="00357308"/>
    <w:rsid w:val="00357360"/>
    <w:rsid w:val="00357701"/>
    <w:rsid w:val="00363A90"/>
    <w:rsid w:val="003654B6"/>
    <w:rsid w:val="003700E1"/>
    <w:rsid w:val="0037305D"/>
    <w:rsid w:val="0037312F"/>
    <w:rsid w:val="00374979"/>
    <w:rsid w:val="00384F5A"/>
    <w:rsid w:val="0038574F"/>
    <w:rsid w:val="00391B21"/>
    <w:rsid w:val="00391DE4"/>
    <w:rsid w:val="00393618"/>
    <w:rsid w:val="00393C63"/>
    <w:rsid w:val="00394CE2"/>
    <w:rsid w:val="00395D3C"/>
    <w:rsid w:val="003A1264"/>
    <w:rsid w:val="003A3580"/>
    <w:rsid w:val="003A568A"/>
    <w:rsid w:val="003B0CF9"/>
    <w:rsid w:val="003C0DC3"/>
    <w:rsid w:val="003C3352"/>
    <w:rsid w:val="003C342E"/>
    <w:rsid w:val="003C6235"/>
    <w:rsid w:val="003C67A6"/>
    <w:rsid w:val="003D3871"/>
    <w:rsid w:val="003D4D3A"/>
    <w:rsid w:val="003E3C7C"/>
    <w:rsid w:val="003F4B4E"/>
    <w:rsid w:val="003F5D54"/>
    <w:rsid w:val="003F73ED"/>
    <w:rsid w:val="003F7E50"/>
    <w:rsid w:val="0040676C"/>
    <w:rsid w:val="0040797A"/>
    <w:rsid w:val="00411466"/>
    <w:rsid w:val="004151FE"/>
    <w:rsid w:val="00420970"/>
    <w:rsid w:val="00426651"/>
    <w:rsid w:val="00427659"/>
    <w:rsid w:val="00436A89"/>
    <w:rsid w:val="0044083D"/>
    <w:rsid w:val="00440B6B"/>
    <w:rsid w:val="00440E4A"/>
    <w:rsid w:val="0044538C"/>
    <w:rsid w:val="0044629E"/>
    <w:rsid w:val="00450834"/>
    <w:rsid w:val="00452299"/>
    <w:rsid w:val="004562AE"/>
    <w:rsid w:val="0046279E"/>
    <w:rsid w:val="004629C1"/>
    <w:rsid w:val="00462C5A"/>
    <w:rsid w:val="00463073"/>
    <w:rsid w:val="00470D6B"/>
    <w:rsid w:val="00471065"/>
    <w:rsid w:val="004714F0"/>
    <w:rsid w:val="00471539"/>
    <w:rsid w:val="00471CAE"/>
    <w:rsid w:val="00471D4A"/>
    <w:rsid w:val="00474D60"/>
    <w:rsid w:val="0047614B"/>
    <w:rsid w:val="00477CC8"/>
    <w:rsid w:val="0048161F"/>
    <w:rsid w:val="004847E3"/>
    <w:rsid w:val="00487358"/>
    <w:rsid w:val="004908FF"/>
    <w:rsid w:val="00491102"/>
    <w:rsid w:val="004A68C5"/>
    <w:rsid w:val="004A6BD3"/>
    <w:rsid w:val="004A7D28"/>
    <w:rsid w:val="004B0190"/>
    <w:rsid w:val="004B0304"/>
    <w:rsid w:val="004B528C"/>
    <w:rsid w:val="004B6E20"/>
    <w:rsid w:val="004C05C3"/>
    <w:rsid w:val="004C32EC"/>
    <w:rsid w:val="004C56D3"/>
    <w:rsid w:val="004C7734"/>
    <w:rsid w:val="004D246E"/>
    <w:rsid w:val="004D2EB4"/>
    <w:rsid w:val="004D4013"/>
    <w:rsid w:val="004D7B62"/>
    <w:rsid w:val="004E34A7"/>
    <w:rsid w:val="004E75BC"/>
    <w:rsid w:val="004F0875"/>
    <w:rsid w:val="004F2198"/>
    <w:rsid w:val="004F3D99"/>
    <w:rsid w:val="004F59D2"/>
    <w:rsid w:val="004F7D75"/>
    <w:rsid w:val="00500978"/>
    <w:rsid w:val="0050165D"/>
    <w:rsid w:val="00501673"/>
    <w:rsid w:val="00512250"/>
    <w:rsid w:val="00513BCC"/>
    <w:rsid w:val="00513DAF"/>
    <w:rsid w:val="00515CCB"/>
    <w:rsid w:val="00517072"/>
    <w:rsid w:val="005209F7"/>
    <w:rsid w:val="00523361"/>
    <w:rsid w:val="005247FA"/>
    <w:rsid w:val="0052543B"/>
    <w:rsid w:val="0052550F"/>
    <w:rsid w:val="00525521"/>
    <w:rsid w:val="005259FB"/>
    <w:rsid w:val="00526229"/>
    <w:rsid w:val="005322BD"/>
    <w:rsid w:val="00537A7A"/>
    <w:rsid w:val="00543192"/>
    <w:rsid w:val="00546767"/>
    <w:rsid w:val="00551A9F"/>
    <w:rsid w:val="00551EC2"/>
    <w:rsid w:val="005525AA"/>
    <w:rsid w:val="00555176"/>
    <w:rsid w:val="00556339"/>
    <w:rsid w:val="005569F1"/>
    <w:rsid w:val="00557C90"/>
    <w:rsid w:val="00561FC3"/>
    <w:rsid w:val="005626A7"/>
    <w:rsid w:val="005647E7"/>
    <w:rsid w:val="00565D79"/>
    <w:rsid w:val="005677F8"/>
    <w:rsid w:val="00567960"/>
    <w:rsid w:val="00567F35"/>
    <w:rsid w:val="00571201"/>
    <w:rsid w:val="00576291"/>
    <w:rsid w:val="005812CE"/>
    <w:rsid w:val="00585FF4"/>
    <w:rsid w:val="005861C6"/>
    <w:rsid w:val="00590E22"/>
    <w:rsid w:val="0059278F"/>
    <w:rsid w:val="00594013"/>
    <w:rsid w:val="00594305"/>
    <w:rsid w:val="005A073F"/>
    <w:rsid w:val="005A2612"/>
    <w:rsid w:val="005A3820"/>
    <w:rsid w:val="005A44AE"/>
    <w:rsid w:val="005A7F96"/>
    <w:rsid w:val="005B06F8"/>
    <w:rsid w:val="005B29E9"/>
    <w:rsid w:val="005B4885"/>
    <w:rsid w:val="005B4EE6"/>
    <w:rsid w:val="005B5AEF"/>
    <w:rsid w:val="005C04AA"/>
    <w:rsid w:val="005C0E28"/>
    <w:rsid w:val="005C774F"/>
    <w:rsid w:val="005D1D5A"/>
    <w:rsid w:val="005D2AE0"/>
    <w:rsid w:val="005D3FC0"/>
    <w:rsid w:val="005D4B4A"/>
    <w:rsid w:val="005D70D3"/>
    <w:rsid w:val="005E0197"/>
    <w:rsid w:val="005E37AE"/>
    <w:rsid w:val="005E6141"/>
    <w:rsid w:val="005F0EE1"/>
    <w:rsid w:val="005F1621"/>
    <w:rsid w:val="005F3DE4"/>
    <w:rsid w:val="005F421D"/>
    <w:rsid w:val="00602633"/>
    <w:rsid w:val="00605266"/>
    <w:rsid w:val="00610702"/>
    <w:rsid w:val="00611739"/>
    <w:rsid w:val="00612204"/>
    <w:rsid w:val="006126B1"/>
    <w:rsid w:val="00612D08"/>
    <w:rsid w:val="0061379E"/>
    <w:rsid w:val="00617FDF"/>
    <w:rsid w:val="00622184"/>
    <w:rsid w:val="0062459A"/>
    <w:rsid w:val="00627487"/>
    <w:rsid w:val="006279C1"/>
    <w:rsid w:val="00631B8B"/>
    <w:rsid w:val="00631ED8"/>
    <w:rsid w:val="006354E8"/>
    <w:rsid w:val="0063572E"/>
    <w:rsid w:val="006406C8"/>
    <w:rsid w:val="0064087B"/>
    <w:rsid w:val="0064295F"/>
    <w:rsid w:val="00642B3E"/>
    <w:rsid w:val="00643FB6"/>
    <w:rsid w:val="00644854"/>
    <w:rsid w:val="006476A4"/>
    <w:rsid w:val="00650AC2"/>
    <w:rsid w:val="00653018"/>
    <w:rsid w:val="0065503F"/>
    <w:rsid w:val="00656157"/>
    <w:rsid w:val="00656AAE"/>
    <w:rsid w:val="006603B7"/>
    <w:rsid w:val="00664EC7"/>
    <w:rsid w:val="0066587E"/>
    <w:rsid w:val="006665E2"/>
    <w:rsid w:val="0066663E"/>
    <w:rsid w:val="00680D45"/>
    <w:rsid w:val="0069333C"/>
    <w:rsid w:val="006A1514"/>
    <w:rsid w:val="006A654B"/>
    <w:rsid w:val="006A7AB5"/>
    <w:rsid w:val="006A7C37"/>
    <w:rsid w:val="006B20A3"/>
    <w:rsid w:val="006B4728"/>
    <w:rsid w:val="006B48A3"/>
    <w:rsid w:val="006C4DAC"/>
    <w:rsid w:val="006C6210"/>
    <w:rsid w:val="006D441C"/>
    <w:rsid w:val="006D6CD0"/>
    <w:rsid w:val="006D7B19"/>
    <w:rsid w:val="006E23C2"/>
    <w:rsid w:val="006E2718"/>
    <w:rsid w:val="006E4BF0"/>
    <w:rsid w:val="006E6F9D"/>
    <w:rsid w:val="006F0E99"/>
    <w:rsid w:val="006F4035"/>
    <w:rsid w:val="006F46E8"/>
    <w:rsid w:val="006F5ECB"/>
    <w:rsid w:val="0070107D"/>
    <w:rsid w:val="00704396"/>
    <w:rsid w:val="00705B5F"/>
    <w:rsid w:val="00712011"/>
    <w:rsid w:val="007126C7"/>
    <w:rsid w:val="00715B51"/>
    <w:rsid w:val="00715E18"/>
    <w:rsid w:val="00720A5E"/>
    <w:rsid w:val="00722875"/>
    <w:rsid w:val="00725B9D"/>
    <w:rsid w:val="00730273"/>
    <w:rsid w:val="00730323"/>
    <w:rsid w:val="00732832"/>
    <w:rsid w:val="00733559"/>
    <w:rsid w:val="00734EC6"/>
    <w:rsid w:val="00736A09"/>
    <w:rsid w:val="00737307"/>
    <w:rsid w:val="00737685"/>
    <w:rsid w:val="00741E89"/>
    <w:rsid w:val="00742116"/>
    <w:rsid w:val="0074301F"/>
    <w:rsid w:val="00743049"/>
    <w:rsid w:val="00743233"/>
    <w:rsid w:val="00746EAA"/>
    <w:rsid w:val="00747F7F"/>
    <w:rsid w:val="007529C8"/>
    <w:rsid w:val="007570F6"/>
    <w:rsid w:val="00762622"/>
    <w:rsid w:val="00764F28"/>
    <w:rsid w:val="00766C5A"/>
    <w:rsid w:val="0077226F"/>
    <w:rsid w:val="0078088D"/>
    <w:rsid w:val="00780E18"/>
    <w:rsid w:val="00782C07"/>
    <w:rsid w:val="00783A6F"/>
    <w:rsid w:val="007854A8"/>
    <w:rsid w:val="0079227E"/>
    <w:rsid w:val="00792A5A"/>
    <w:rsid w:val="007930E6"/>
    <w:rsid w:val="0079333F"/>
    <w:rsid w:val="007938CE"/>
    <w:rsid w:val="007946F6"/>
    <w:rsid w:val="00794AF5"/>
    <w:rsid w:val="007A22EB"/>
    <w:rsid w:val="007A5302"/>
    <w:rsid w:val="007B3F24"/>
    <w:rsid w:val="007B4B14"/>
    <w:rsid w:val="007C0008"/>
    <w:rsid w:val="007C0C13"/>
    <w:rsid w:val="007C0E8B"/>
    <w:rsid w:val="007C18C9"/>
    <w:rsid w:val="007D0008"/>
    <w:rsid w:val="007D3177"/>
    <w:rsid w:val="007D3B17"/>
    <w:rsid w:val="007D59D9"/>
    <w:rsid w:val="007D5C49"/>
    <w:rsid w:val="007E2576"/>
    <w:rsid w:val="007E404B"/>
    <w:rsid w:val="007E600F"/>
    <w:rsid w:val="007E7788"/>
    <w:rsid w:val="007F51C8"/>
    <w:rsid w:val="007F5C4F"/>
    <w:rsid w:val="007F646F"/>
    <w:rsid w:val="00802061"/>
    <w:rsid w:val="00805D5C"/>
    <w:rsid w:val="00806B8D"/>
    <w:rsid w:val="00806C60"/>
    <w:rsid w:val="008107A8"/>
    <w:rsid w:val="00810B37"/>
    <w:rsid w:val="00811A17"/>
    <w:rsid w:val="0081230D"/>
    <w:rsid w:val="00812ACA"/>
    <w:rsid w:val="00815689"/>
    <w:rsid w:val="00817D70"/>
    <w:rsid w:val="008325FB"/>
    <w:rsid w:val="00836F3B"/>
    <w:rsid w:val="0084199B"/>
    <w:rsid w:val="00841FCB"/>
    <w:rsid w:val="00842776"/>
    <w:rsid w:val="008449A9"/>
    <w:rsid w:val="008460ED"/>
    <w:rsid w:val="0086632C"/>
    <w:rsid w:val="008670A6"/>
    <w:rsid w:val="00873827"/>
    <w:rsid w:val="0087705C"/>
    <w:rsid w:val="008774E1"/>
    <w:rsid w:val="00887BF1"/>
    <w:rsid w:val="00896F2A"/>
    <w:rsid w:val="008A0E5E"/>
    <w:rsid w:val="008A1DD7"/>
    <w:rsid w:val="008A2265"/>
    <w:rsid w:val="008A7775"/>
    <w:rsid w:val="008B145D"/>
    <w:rsid w:val="008B5EDF"/>
    <w:rsid w:val="008B73E1"/>
    <w:rsid w:val="008C093C"/>
    <w:rsid w:val="008C2D67"/>
    <w:rsid w:val="008C4050"/>
    <w:rsid w:val="008C422D"/>
    <w:rsid w:val="008C740F"/>
    <w:rsid w:val="008D1F11"/>
    <w:rsid w:val="008D2000"/>
    <w:rsid w:val="008D25A7"/>
    <w:rsid w:val="008D2B72"/>
    <w:rsid w:val="008D50A4"/>
    <w:rsid w:val="008E0387"/>
    <w:rsid w:val="008E0C8A"/>
    <w:rsid w:val="008E6B63"/>
    <w:rsid w:val="008E761D"/>
    <w:rsid w:val="008F2D17"/>
    <w:rsid w:val="008F31AD"/>
    <w:rsid w:val="008F72BD"/>
    <w:rsid w:val="009037D7"/>
    <w:rsid w:val="00912830"/>
    <w:rsid w:val="00913193"/>
    <w:rsid w:val="00914386"/>
    <w:rsid w:val="0092189C"/>
    <w:rsid w:val="00922F99"/>
    <w:rsid w:val="00931DDA"/>
    <w:rsid w:val="0093306F"/>
    <w:rsid w:val="00934331"/>
    <w:rsid w:val="00934917"/>
    <w:rsid w:val="009418DA"/>
    <w:rsid w:val="00947F08"/>
    <w:rsid w:val="0095069C"/>
    <w:rsid w:val="00951171"/>
    <w:rsid w:val="00954985"/>
    <w:rsid w:val="00955F71"/>
    <w:rsid w:val="009646D2"/>
    <w:rsid w:val="00964E6C"/>
    <w:rsid w:val="00966339"/>
    <w:rsid w:val="00966770"/>
    <w:rsid w:val="00970079"/>
    <w:rsid w:val="009705E2"/>
    <w:rsid w:val="009713E8"/>
    <w:rsid w:val="009755A1"/>
    <w:rsid w:val="0097711F"/>
    <w:rsid w:val="009800C3"/>
    <w:rsid w:val="00987FE0"/>
    <w:rsid w:val="0099601A"/>
    <w:rsid w:val="009977A5"/>
    <w:rsid w:val="009A2426"/>
    <w:rsid w:val="009A2BC9"/>
    <w:rsid w:val="009A30EE"/>
    <w:rsid w:val="009A3D8C"/>
    <w:rsid w:val="009A3DD1"/>
    <w:rsid w:val="009A4D2B"/>
    <w:rsid w:val="009B0473"/>
    <w:rsid w:val="009B0B20"/>
    <w:rsid w:val="009B321A"/>
    <w:rsid w:val="009B3687"/>
    <w:rsid w:val="009B483B"/>
    <w:rsid w:val="009B4849"/>
    <w:rsid w:val="009B4975"/>
    <w:rsid w:val="009B5D0B"/>
    <w:rsid w:val="009B5D4D"/>
    <w:rsid w:val="009C3CB5"/>
    <w:rsid w:val="009C49F1"/>
    <w:rsid w:val="009C748C"/>
    <w:rsid w:val="009C7CA1"/>
    <w:rsid w:val="009D03A2"/>
    <w:rsid w:val="009D09E9"/>
    <w:rsid w:val="009D1D6E"/>
    <w:rsid w:val="009D2233"/>
    <w:rsid w:val="009D361C"/>
    <w:rsid w:val="009D4B31"/>
    <w:rsid w:val="009E0A8C"/>
    <w:rsid w:val="009E1733"/>
    <w:rsid w:val="009E1903"/>
    <w:rsid w:val="009E30B5"/>
    <w:rsid w:val="009E380D"/>
    <w:rsid w:val="009E5A63"/>
    <w:rsid w:val="009F5C0F"/>
    <w:rsid w:val="009F6D5A"/>
    <w:rsid w:val="009F76CB"/>
    <w:rsid w:val="009F7731"/>
    <w:rsid w:val="00A03565"/>
    <w:rsid w:val="00A03D31"/>
    <w:rsid w:val="00A042C9"/>
    <w:rsid w:val="00A0442E"/>
    <w:rsid w:val="00A0670B"/>
    <w:rsid w:val="00A07246"/>
    <w:rsid w:val="00A07E86"/>
    <w:rsid w:val="00A10FDE"/>
    <w:rsid w:val="00A11DF0"/>
    <w:rsid w:val="00A14B1A"/>
    <w:rsid w:val="00A15EE1"/>
    <w:rsid w:val="00A17725"/>
    <w:rsid w:val="00A22C20"/>
    <w:rsid w:val="00A31402"/>
    <w:rsid w:val="00A31AB5"/>
    <w:rsid w:val="00A36075"/>
    <w:rsid w:val="00A36AC8"/>
    <w:rsid w:val="00A44FCC"/>
    <w:rsid w:val="00A45E31"/>
    <w:rsid w:val="00A47F02"/>
    <w:rsid w:val="00A57BF7"/>
    <w:rsid w:val="00A60005"/>
    <w:rsid w:val="00A6063F"/>
    <w:rsid w:val="00A60AE5"/>
    <w:rsid w:val="00A634AE"/>
    <w:rsid w:val="00A634D4"/>
    <w:rsid w:val="00A648CE"/>
    <w:rsid w:val="00A65F2F"/>
    <w:rsid w:val="00A7123F"/>
    <w:rsid w:val="00A762B9"/>
    <w:rsid w:val="00A774C0"/>
    <w:rsid w:val="00A77956"/>
    <w:rsid w:val="00A82532"/>
    <w:rsid w:val="00A83C89"/>
    <w:rsid w:val="00A85E7E"/>
    <w:rsid w:val="00A87073"/>
    <w:rsid w:val="00A908F1"/>
    <w:rsid w:val="00A91051"/>
    <w:rsid w:val="00A95399"/>
    <w:rsid w:val="00A96351"/>
    <w:rsid w:val="00AA13AB"/>
    <w:rsid w:val="00AA2310"/>
    <w:rsid w:val="00AA4466"/>
    <w:rsid w:val="00AB0E7D"/>
    <w:rsid w:val="00AB2321"/>
    <w:rsid w:val="00AB7FF0"/>
    <w:rsid w:val="00AC1CDA"/>
    <w:rsid w:val="00AC20AC"/>
    <w:rsid w:val="00AC25BB"/>
    <w:rsid w:val="00AC5072"/>
    <w:rsid w:val="00AC7DBA"/>
    <w:rsid w:val="00AD036D"/>
    <w:rsid w:val="00AD0AAA"/>
    <w:rsid w:val="00AD1D62"/>
    <w:rsid w:val="00AD36F6"/>
    <w:rsid w:val="00AD37A4"/>
    <w:rsid w:val="00AD61C3"/>
    <w:rsid w:val="00AE151C"/>
    <w:rsid w:val="00AE1CCA"/>
    <w:rsid w:val="00AE655A"/>
    <w:rsid w:val="00AF05A1"/>
    <w:rsid w:val="00AF0AB2"/>
    <w:rsid w:val="00AF362E"/>
    <w:rsid w:val="00AF3A5D"/>
    <w:rsid w:val="00AF4E46"/>
    <w:rsid w:val="00B0133F"/>
    <w:rsid w:val="00B01FFB"/>
    <w:rsid w:val="00B040D6"/>
    <w:rsid w:val="00B122C0"/>
    <w:rsid w:val="00B15864"/>
    <w:rsid w:val="00B16C95"/>
    <w:rsid w:val="00B16EA1"/>
    <w:rsid w:val="00B170AF"/>
    <w:rsid w:val="00B23786"/>
    <w:rsid w:val="00B239C2"/>
    <w:rsid w:val="00B239ED"/>
    <w:rsid w:val="00B257EF"/>
    <w:rsid w:val="00B2607B"/>
    <w:rsid w:val="00B313BA"/>
    <w:rsid w:val="00B34540"/>
    <w:rsid w:val="00B44944"/>
    <w:rsid w:val="00B44E04"/>
    <w:rsid w:val="00B456CB"/>
    <w:rsid w:val="00B46354"/>
    <w:rsid w:val="00B46C45"/>
    <w:rsid w:val="00B50585"/>
    <w:rsid w:val="00B50BFC"/>
    <w:rsid w:val="00B50CD8"/>
    <w:rsid w:val="00B52BCE"/>
    <w:rsid w:val="00B53D28"/>
    <w:rsid w:val="00B629B9"/>
    <w:rsid w:val="00B65532"/>
    <w:rsid w:val="00B65FF1"/>
    <w:rsid w:val="00B66DDC"/>
    <w:rsid w:val="00B6735C"/>
    <w:rsid w:val="00B725AB"/>
    <w:rsid w:val="00B744A4"/>
    <w:rsid w:val="00B76457"/>
    <w:rsid w:val="00B77872"/>
    <w:rsid w:val="00B82464"/>
    <w:rsid w:val="00B82A3E"/>
    <w:rsid w:val="00B832EC"/>
    <w:rsid w:val="00B840E5"/>
    <w:rsid w:val="00B85227"/>
    <w:rsid w:val="00B87BDF"/>
    <w:rsid w:val="00B87D3C"/>
    <w:rsid w:val="00B907FD"/>
    <w:rsid w:val="00B92B20"/>
    <w:rsid w:val="00B9406A"/>
    <w:rsid w:val="00B96D06"/>
    <w:rsid w:val="00BA0289"/>
    <w:rsid w:val="00BA2C2A"/>
    <w:rsid w:val="00BA38E1"/>
    <w:rsid w:val="00BA51B6"/>
    <w:rsid w:val="00BA5405"/>
    <w:rsid w:val="00BA6A18"/>
    <w:rsid w:val="00BA7529"/>
    <w:rsid w:val="00BB00EC"/>
    <w:rsid w:val="00BB1B2F"/>
    <w:rsid w:val="00BB3846"/>
    <w:rsid w:val="00BB4DA8"/>
    <w:rsid w:val="00BB5506"/>
    <w:rsid w:val="00BB79D6"/>
    <w:rsid w:val="00BC22F1"/>
    <w:rsid w:val="00BD03DA"/>
    <w:rsid w:val="00BD13AF"/>
    <w:rsid w:val="00BD19BA"/>
    <w:rsid w:val="00BD2777"/>
    <w:rsid w:val="00BD4C74"/>
    <w:rsid w:val="00BD6F9E"/>
    <w:rsid w:val="00BE079C"/>
    <w:rsid w:val="00BE092D"/>
    <w:rsid w:val="00BE1D5F"/>
    <w:rsid w:val="00BE21F1"/>
    <w:rsid w:val="00BE68B8"/>
    <w:rsid w:val="00BF16EF"/>
    <w:rsid w:val="00BF187B"/>
    <w:rsid w:val="00BF5230"/>
    <w:rsid w:val="00BF7704"/>
    <w:rsid w:val="00C007FF"/>
    <w:rsid w:val="00C00E21"/>
    <w:rsid w:val="00C02245"/>
    <w:rsid w:val="00C023F5"/>
    <w:rsid w:val="00C07371"/>
    <w:rsid w:val="00C11F96"/>
    <w:rsid w:val="00C1415B"/>
    <w:rsid w:val="00C14F30"/>
    <w:rsid w:val="00C1733C"/>
    <w:rsid w:val="00C22C1A"/>
    <w:rsid w:val="00C23757"/>
    <w:rsid w:val="00C25261"/>
    <w:rsid w:val="00C3585A"/>
    <w:rsid w:val="00C52073"/>
    <w:rsid w:val="00C52499"/>
    <w:rsid w:val="00C55DED"/>
    <w:rsid w:val="00C60E3F"/>
    <w:rsid w:val="00C615B7"/>
    <w:rsid w:val="00C644C7"/>
    <w:rsid w:val="00C645FE"/>
    <w:rsid w:val="00C7004A"/>
    <w:rsid w:val="00C74931"/>
    <w:rsid w:val="00C80129"/>
    <w:rsid w:val="00C8078A"/>
    <w:rsid w:val="00C83233"/>
    <w:rsid w:val="00C84D2B"/>
    <w:rsid w:val="00C85070"/>
    <w:rsid w:val="00C86433"/>
    <w:rsid w:val="00C86E0F"/>
    <w:rsid w:val="00C903D7"/>
    <w:rsid w:val="00C90BD5"/>
    <w:rsid w:val="00C96115"/>
    <w:rsid w:val="00C96518"/>
    <w:rsid w:val="00CA15B0"/>
    <w:rsid w:val="00CA49DB"/>
    <w:rsid w:val="00CB04C6"/>
    <w:rsid w:val="00CB073C"/>
    <w:rsid w:val="00CB150F"/>
    <w:rsid w:val="00CB1658"/>
    <w:rsid w:val="00CB4A1B"/>
    <w:rsid w:val="00CB66B2"/>
    <w:rsid w:val="00CB7836"/>
    <w:rsid w:val="00CB78CF"/>
    <w:rsid w:val="00CC0801"/>
    <w:rsid w:val="00CC17A8"/>
    <w:rsid w:val="00CC184D"/>
    <w:rsid w:val="00CD05E3"/>
    <w:rsid w:val="00CD05F6"/>
    <w:rsid w:val="00CD15BF"/>
    <w:rsid w:val="00CD1C81"/>
    <w:rsid w:val="00CD232A"/>
    <w:rsid w:val="00CE13E6"/>
    <w:rsid w:val="00CE2FE2"/>
    <w:rsid w:val="00CE370B"/>
    <w:rsid w:val="00CE3CD5"/>
    <w:rsid w:val="00CE4216"/>
    <w:rsid w:val="00CE6E3D"/>
    <w:rsid w:val="00CF26E0"/>
    <w:rsid w:val="00CF5754"/>
    <w:rsid w:val="00CF7BA8"/>
    <w:rsid w:val="00D101B1"/>
    <w:rsid w:val="00D1377C"/>
    <w:rsid w:val="00D14319"/>
    <w:rsid w:val="00D17DD0"/>
    <w:rsid w:val="00D201FC"/>
    <w:rsid w:val="00D25FB0"/>
    <w:rsid w:val="00D31D65"/>
    <w:rsid w:val="00D35768"/>
    <w:rsid w:val="00D35814"/>
    <w:rsid w:val="00D363C3"/>
    <w:rsid w:val="00D412D3"/>
    <w:rsid w:val="00D4323C"/>
    <w:rsid w:val="00D4373D"/>
    <w:rsid w:val="00D470D1"/>
    <w:rsid w:val="00D52D62"/>
    <w:rsid w:val="00D53728"/>
    <w:rsid w:val="00D547AF"/>
    <w:rsid w:val="00D55357"/>
    <w:rsid w:val="00D5621D"/>
    <w:rsid w:val="00D60E33"/>
    <w:rsid w:val="00D6225C"/>
    <w:rsid w:val="00D63555"/>
    <w:rsid w:val="00D651DA"/>
    <w:rsid w:val="00D65723"/>
    <w:rsid w:val="00D65FE6"/>
    <w:rsid w:val="00D661FF"/>
    <w:rsid w:val="00D71CC1"/>
    <w:rsid w:val="00D72587"/>
    <w:rsid w:val="00D73683"/>
    <w:rsid w:val="00D74F69"/>
    <w:rsid w:val="00D808D7"/>
    <w:rsid w:val="00D82EF8"/>
    <w:rsid w:val="00D83488"/>
    <w:rsid w:val="00D84C06"/>
    <w:rsid w:val="00D852A6"/>
    <w:rsid w:val="00D91068"/>
    <w:rsid w:val="00D91AB4"/>
    <w:rsid w:val="00D92A43"/>
    <w:rsid w:val="00DA2A94"/>
    <w:rsid w:val="00DA4B39"/>
    <w:rsid w:val="00DA669B"/>
    <w:rsid w:val="00DA763B"/>
    <w:rsid w:val="00DC038B"/>
    <w:rsid w:val="00DC2B51"/>
    <w:rsid w:val="00DD2BB6"/>
    <w:rsid w:val="00DD3AE7"/>
    <w:rsid w:val="00DD3BAC"/>
    <w:rsid w:val="00DD4653"/>
    <w:rsid w:val="00DD7C8B"/>
    <w:rsid w:val="00DE0D90"/>
    <w:rsid w:val="00DE0DE3"/>
    <w:rsid w:val="00DE15EE"/>
    <w:rsid w:val="00DE6CD0"/>
    <w:rsid w:val="00DF07F3"/>
    <w:rsid w:val="00DF3A81"/>
    <w:rsid w:val="00DF6677"/>
    <w:rsid w:val="00E011CE"/>
    <w:rsid w:val="00E01425"/>
    <w:rsid w:val="00E040AF"/>
    <w:rsid w:val="00E04E46"/>
    <w:rsid w:val="00E06EB9"/>
    <w:rsid w:val="00E10E33"/>
    <w:rsid w:val="00E20DB4"/>
    <w:rsid w:val="00E20F07"/>
    <w:rsid w:val="00E20FD5"/>
    <w:rsid w:val="00E2182B"/>
    <w:rsid w:val="00E24055"/>
    <w:rsid w:val="00E24877"/>
    <w:rsid w:val="00E273E3"/>
    <w:rsid w:val="00E30D79"/>
    <w:rsid w:val="00E30DC1"/>
    <w:rsid w:val="00E33476"/>
    <w:rsid w:val="00E40089"/>
    <w:rsid w:val="00E40C07"/>
    <w:rsid w:val="00E41809"/>
    <w:rsid w:val="00E43BD2"/>
    <w:rsid w:val="00E45DEB"/>
    <w:rsid w:val="00E46AFF"/>
    <w:rsid w:val="00E508BB"/>
    <w:rsid w:val="00E51134"/>
    <w:rsid w:val="00E51A6C"/>
    <w:rsid w:val="00E51BA0"/>
    <w:rsid w:val="00E54F55"/>
    <w:rsid w:val="00E563AD"/>
    <w:rsid w:val="00E571EB"/>
    <w:rsid w:val="00E57EBB"/>
    <w:rsid w:val="00E60B58"/>
    <w:rsid w:val="00E6727B"/>
    <w:rsid w:val="00E70CE1"/>
    <w:rsid w:val="00E74470"/>
    <w:rsid w:val="00E74E4B"/>
    <w:rsid w:val="00E764A4"/>
    <w:rsid w:val="00E76CFF"/>
    <w:rsid w:val="00E80D1A"/>
    <w:rsid w:val="00E815C0"/>
    <w:rsid w:val="00E81CD2"/>
    <w:rsid w:val="00E84981"/>
    <w:rsid w:val="00E84A08"/>
    <w:rsid w:val="00E84B8F"/>
    <w:rsid w:val="00E91743"/>
    <w:rsid w:val="00EA0705"/>
    <w:rsid w:val="00EA1B12"/>
    <w:rsid w:val="00EA7A3D"/>
    <w:rsid w:val="00EB112F"/>
    <w:rsid w:val="00EB5745"/>
    <w:rsid w:val="00EB6C25"/>
    <w:rsid w:val="00EB6DAD"/>
    <w:rsid w:val="00EB7D36"/>
    <w:rsid w:val="00EC2974"/>
    <w:rsid w:val="00ED0F72"/>
    <w:rsid w:val="00ED3981"/>
    <w:rsid w:val="00ED4F83"/>
    <w:rsid w:val="00ED7070"/>
    <w:rsid w:val="00EE1204"/>
    <w:rsid w:val="00EE3185"/>
    <w:rsid w:val="00EF228A"/>
    <w:rsid w:val="00EF2530"/>
    <w:rsid w:val="00EF5783"/>
    <w:rsid w:val="00EF6EDB"/>
    <w:rsid w:val="00EF7AC4"/>
    <w:rsid w:val="00EF7B2A"/>
    <w:rsid w:val="00F00806"/>
    <w:rsid w:val="00F03242"/>
    <w:rsid w:val="00F0413B"/>
    <w:rsid w:val="00F068C5"/>
    <w:rsid w:val="00F1119C"/>
    <w:rsid w:val="00F11C45"/>
    <w:rsid w:val="00F15F82"/>
    <w:rsid w:val="00F21E3B"/>
    <w:rsid w:val="00F22C59"/>
    <w:rsid w:val="00F23083"/>
    <w:rsid w:val="00F243AE"/>
    <w:rsid w:val="00F263CB"/>
    <w:rsid w:val="00F32051"/>
    <w:rsid w:val="00F345A1"/>
    <w:rsid w:val="00F37FED"/>
    <w:rsid w:val="00F42CE7"/>
    <w:rsid w:val="00F43D39"/>
    <w:rsid w:val="00F44F79"/>
    <w:rsid w:val="00F44FF7"/>
    <w:rsid w:val="00F46C0D"/>
    <w:rsid w:val="00F51C48"/>
    <w:rsid w:val="00F568D9"/>
    <w:rsid w:val="00F60296"/>
    <w:rsid w:val="00F60DDA"/>
    <w:rsid w:val="00F62D1E"/>
    <w:rsid w:val="00F639D0"/>
    <w:rsid w:val="00F64F83"/>
    <w:rsid w:val="00F67999"/>
    <w:rsid w:val="00F71666"/>
    <w:rsid w:val="00F723E8"/>
    <w:rsid w:val="00F72C76"/>
    <w:rsid w:val="00F7426C"/>
    <w:rsid w:val="00F815DC"/>
    <w:rsid w:val="00F8472E"/>
    <w:rsid w:val="00F87D35"/>
    <w:rsid w:val="00F9253B"/>
    <w:rsid w:val="00F928B4"/>
    <w:rsid w:val="00FA104B"/>
    <w:rsid w:val="00FA562E"/>
    <w:rsid w:val="00FA56BB"/>
    <w:rsid w:val="00FA7197"/>
    <w:rsid w:val="00FB15BA"/>
    <w:rsid w:val="00FB4BB3"/>
    <w:rsid w:val="00FB6739"/>
    <w:rsid w:val="00FC0903"/>
    <w:rsid w:val="00FC1C0F"/>
    <w:rsid w:val="00FC3B82"/>
    <w:rsid w:val="00FC42C0"/>
    <w:rsid w:val="00FC4C9E"/>
    <w:rsid w:val="00FD2F18"/>
    <w:rsid w:val="00FD627E"/>
    <w:rsid w:val="00FE0167"/>
    <w:rsid w:val="00FE2653"/>
    <w:rsid w:val="00FE31B3"/>
    <w:rsid w:val="00FF0B70"/>
    <w:rsid w:val="00FF32C7"/>
    <w:rsid w:val="00FF61A8"/>
    <w:rsid w:val="00FF6E7C"/>
    <w:rsid w:val="00FF74F8"/>
    <w:rsid w:val="00FF7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859B39-B49A-4B6C-928C-F1E45ECF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E0C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Douglas</dc:creator>
  <cp:keywords/>
  <dc:description/>
  <cp:lastModifiedBy>Karl Douglas</cp:lastModifiedBy>
  <cp:revision>2</cp:revision>
  <dcterms:created xsi:type="dcterms:W3CDTF">2015-12-31T06:01:00Z</dcterms:created>
  <dcterms:modified xsi:type="dcterms:W3CDTF">2015-12-31T06:01:00Z</dcterms:modified>
</cp:coreProperties>
</file>