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bookmarkStart w:id="0" w:name="_Hlk483432088"/>
      <w:bookmarkEnd w:id="0"/>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proofErr w:type="spellStart"/>
      <w:r w:rsidRPr="0058252B">
        <w:rPr>
          <w:sz w:val="40"/>
          <w:szCs w:val="40"/>
        </w:rPr>
        <w:t>Telomeeride</w:t>
      </w:r>
      <w:proofErr w:type="spellEnd"/>
      <w:r w:rsidRPr="0058252B">
        <w:rPr>
          <w:sz w:val="40"/>
          <w:szCs w:val="40"/>
        </w:rPr>
        <w:t xml:space="preserve"> keskmise pikkuse hindamine teise generatsiooni </w:t>
      </w:r>
      <w:proofErr w:type="spellStart"/>
      <w:r w:rsidRPr="0058252B">
        <w:rPr>
          <w:sz w:val="40"/>
          <w:szCs w:val="40"/>
        </w:rPr>
        <w:t>sekveneerimisandmetest</w:t>
      </w:r>
      <w:proofErr w:type="spellEnd"/>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AB55B4" w:rsidRDefault="00AB55B4" w:rsidP="00B708C4">
      <w:pPr>
        <w:jc w:val="center"/>
      </w:pPr>
      <w:r>
        <w:t>TARTU 2017</w:t>
      </w:r>
    </w:p>
    <w:p w:rsidR="00E26370" w:rsidRPr="00D1716E" w:rsidRDefault="00E26370" w:rsidP="00D1716E">
      <w:pPr>
        <w:pStyle w:val="Pealkiri1"/>
        <w:numPr>
          <w:ilvl w:val="0"/>
          <w:numId w:val="0"/>
        </w:numPr>
        <w:ind w:left="432" w:hanging="432"/>
      </w:pPr>
      <w:r w:rsidRPr="00D1716E">
        <w:rPr>
          <w:rStyle w:val="Tugev"/>
          <w:b w:val="0"/>
          <w:bCs w:val="0"/>
        </w:rPr>
        <w:lastRenderedPageBreak/>
        <w:t>Sissejuhatus</w:t>
      </w:r>
    </w:p>
    <w:p w:rsidR="00B708C4" w:rsidRDefault="00E26370" w:rsidP="00B708C4">
      <w:pPr>
        <w:pStyle w:val="Pealkiri1"/>
      </w:pPr>
      <w:r>
        <w:t>Kirjanduse ülevaade</w:t>
      </w:r>
    </w:p>
    <w:p w:rsidR="00D1716E" w:rsidRDefault="00D1716E" w:rsidP="00D1716E">
      <w:pPr>
        <w:pStyle w:val="Pealkiri2"/>
      </w:pPr>
      <w:proofErr w:type="spellStart"/>
      <w:r>
        <w:t>Telomeerid</w:t>
      </w:r>
      <w:proofErr w:type="spellEnd"/>
    </w:p>
    <w:p w:rsidR="00D1716E" w:rsidRPr="00D1716E" w:rsidRDefault="00ED5BD4" w:rsidP="00D1716E">
      <w:proofErr w:type="spellStart"/>
      <w:r>
        <w:t>Telomeerid</w:t>
      </w:r>
      <w:proofErr w:type="spellEnd"/>
      <w:r>
        <w:t xml:space="preserve"> on </w:t>
      </w:r>
      <w:r w:rsidR="00E602B7">
        <w:t xml:space="preserve">spetsiaalsete valkudega seotud </w:t>
      </w:r>
      <w:r>
        <w:t>tandemkordused kromosoomide otstes</w:t>
      </w:r>
      <w:r w:rsidR="00E602B7">
        <w:t xml:space="preserve">, mis </w:t>
      </w:r>
      <w:proofErr w:type="spellStart"/>
      <w:r w:rsidR="00E602B7">
        <w:t>kaistsevad</w:t>
      </w:r>
      <w:proofErr w:type="spellEnd"/>
      <w:r w:rsidR="00E602B7">
        <w:t xml:space="preserve"> neid lagundamise ja </w:t>
      </w:r>
      <w:proofErr w:type="spellStart"/>
      <w:r w:rsidR="00E602B7">
        <w:t>kokkukleepumise</w:t>
      </w:r>
      <w:proofErr w:type="spellEnd"/>
      <w:r w:rsidR="00E602B7">
        <w:t xml:space="preserve"> eest. </w:t>
      </w:r>
      <w:proofErr w:type="spellStart"/>
      <w:r w:rsidR="00E602B7">
        <w:t>Telomeerid</w:t>
      </w:r>
      <w:proofErr w:type="spellEnd"/>
      <w:r w:rsidR="00E602B7">
        <w:t xml:space="preserve"> esinevad vaid lineaarsetes kromosoomides. </w:t>
      </w:r>
      <w:r w:rsidR="00E602B7">
        <w:fldChar w:fldCharType="begin" w:fldLock="1"/>
      </w:r>
      <w:r w:rsidR="00422CE6">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E602B7" w:rsidRPr="00E602B7">
        <w:rPr>
          <w:noProof/>
        </w:rPr>
        <w:t>(Witzany, 2008)</w:t>
      </w:r>
      <w:r w:rsidR="00E602B7">
        <w:fldChar w:fldCharType="end"/>
      </w:r>
    </w:p>
    <w:p w:rsidR="00D1716E" w:rsidRDefault="00422CE6" w:rsidP="00D1716E">
      <w:pPr>
        <w:pStyle w:val="Pealkiri3"/>
      </w:pPr>
      <w:r>
        <w:t>Struktuur</w:t>
      </w:r>
    </w:p>
    <w:p w:rsidR="00C91DE9" w:rsidRDefault="008C18AA" w:rsidP="008C18AA">
      <w:r>
        <w:t xml:space="preserve">Imetajate </w:t>
      </w:r>
      <w:proofErr w:type="spellStart"/>
      <w:r>
        <w:t>telomeerid</w:t>
      </w:r>
      <w:proofErr w:type="spellEnd"/>
      <w:r>
        <w:t xml:space="preserve"> koosnevad </w:t>
      </w:r>
      <w:r w:rsidRPr="008C18AA">
        <w:t>TTAGGG</w:t>
      </w:r>
      <w:r>
        <w:t xml:space="preserve"> kordustest ja</w:t>
      </w:r>
      <w:r w:rsidR="0029233F">
        <w:t xml:space="preserve"> </w:t>
      </w:r>
      <w:r>
        <w:t xml:space="preserve">valgukompleksist nimega </w:t>
      </w:r>
      <w:proofErr w:type="spellStart"/>
      <w:r w:rsidRPr="008C18AA">
        <w:rPr>
          <w:i/>
        </w:rPr>
        <w:t>shelterin</w:t>
      </w:r>
      <w:proofErr w:type="spellEnd"/>
      <w:r>
        <w:t>.</w:t>
      </w:r>
      <w:r w:rsidR="00C91DE9">
        <w:t xml:space="preserve"> </w:t>
      </w:r>
      <w:r w:rsidR="00C91DE9">
        <w:fldChar w:fldCharType="begin" w:fldLock="1"/>
      </w:r>
      <w:r w:rsidR="00C91DE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8C18AA" w:rsidRDefault="008C18AA" w:rsidP="008C18AA">
      <w:proofErr w:type="spellStart"/>
      <w:r>
        <w:t>Telomeeride</w:t>
      </w:r>
      <w:proofErr w:type="spellEnd"/>
      <w:r>
        <w:t xml:space="preserve"> pikkus on erinevatel liikidel erinev – inimesel 10-15 </w:t>
      </w:r>
      <w:proofErr w:type="spellStart"/>
      <w:r>
        <w:t>Kb</w:t>
      </w:r>
      <w:proofErr w:type="spellEnd"/>
      <w:r>
        <w:t xml:space="preserve">, hiirtel 25-50 </w:t>
      </w:r>
      <w:proofErr w:type="spellStart"/>
      <w:r>
        <w:t>Kb</w:t>
      </w:r>
      <w:proofErr w:type="spellEnd"/>
      <w:r w:rsidR="0029233F">
        <w:t xml:space="preserve">. </w:t>
      </w:r>
      <w:proofErr w:type="spellStart"/>
      <w:r w:rsidR="0029233F">
        <w:t>Telomeeri</w:t>
      </w:r>
      <w:proofErr w:type="spellEnd"/>
      <w:r w:rsidR="0029233F">
        <w:t xml:space="preserve"> otsale on iseloomulik 150-200 nukleotiidi pikkune üleulatuv G-rikas 3’ ahel, mis keerab lõpuosa </w:t>
      </w:r>
      <w:proofErr w:type="spellStart"/>
      <w:r w:rsidR="0029233F">
        <w:t>T-linguks</w:t>
      </w:r>
      <w:proofErr w:type="spellEnd"/>
      <w:r w:rsidR="0029233F">
        <w:t xml:space="preserve">. Üleulatuv osa tungib </w:t>
      </w:r>
      <w:proofErr w:type="spellStart"/>
      <w:r w:rsidR="0029233F">
        <w:t>kaheahelalise</w:t>
      </w:r>
      <w:proofErr w:type="spellEnd"/>
      <w:r w:rsidR="0029233F">
        <w:t xml:space="preserve"> osa vahele ja moodustub D-ling.</w:t>
      </w:r>
      <w:r w:rsidR="00C91DE9">
        <w:t xml:space="preserve"> </w:t>
      </w:r>
      <w:r w:rsidR="00C91DE9">
        <w:fldChar w:fldCharType="begin" w:fldLock="1"/>
      </w:r>
      <w:r w:rsidR="00504D6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BD57FD" w:rsidRDefault="00C91DE9" w:rsidP="008C18AA">
      <w:proofErr w:type="spellStart"/>
      <w:r w:rsidRPr="00BD57FD">
        <w:rPr>
          <w:i/>
        </w:rPr>
        <w:t>Shelterin</w:t>
      </w:r>
      <w:proofErr w:type="spellEnd"/>
      <w:r>
        <w:t xml:space="preserve"> </w:t>
      </w:r>
      <w:r w:rsidR="00BD57FD">
        <w:t xml:space="preserve">koosneb kuuest ühikust: </w:t>
      </w:r>
    </w:p>
    <w:p w:rsidR="00C91DE9" w:rsidRDefault="00BD57FD" w:rsidP="00BD57FD">
      <w:pPr>
        <w:pStyle w:val="Loendilik"/>
        <w:numPr>
          <w:ilvl w:val="0"/>
          <w:numId w:val="2"/>
        </w:numPr>
      </w:pPr>
      <w:proofErr w:type="spellStart"/>
      <w:r>
        <w:t>telomeeri</w:t>
      </w:r>
      <w:proofErr w:type="spellEnd"/>
      <w:r>
        <w:t xml:space="preserve"> kordusseonduvad faktorid (</w:t>
      </w:r>
      <w:proofErr w:type="spellStart"/>
      <w:r w:rsidRPr="00BD57FD">
        <w:rPr>
          <w:i/>
        </w:rPr>
        <w:t>telomeric</w:t>
      </w:r>
      <w:proofErr w:type="spellEnd"/>
      <w:r w:rsidRPr="00BD57FD">
        <w:rPr>
          <w:i/>
        </w:rPr>
        <w:t xml:space="preserve"> </w:t>
      </w:r>
      <w:proofErr w:type="spellStart"/>
      <w:r w:rsidRPr="00BD57FD">
        <w:rPr>
          <w:i/>
        </w:rPr>
        <w:t>repeat</w:t>
      </w:r>
      <w:proofErr w:type="spellEnd"/>
      <w:r w:rsidRPr="00BD57FD">
        <w:rPr>
          <w:i/>
        </w:rPr>
        <w:t xml:space="preserve"> </w:t>
      </w:r>
      <w:proofErr w:type="spellStart"/>
      <w:r w:rsidRPr="00BD57FD">
        <w:rPr>
          <w:i/>
        </w:rPr>
        <w:t>binding</w:t>
      </w:r>
      <w:proofErr w:type="spellEnd"/>
      <w:r w:rsidRPr="00BD57FD">
        <w:rPr>
          <w:i/>
        </w:rPr>
        <w:t xml:space="preserve"> </w:t>
      </w:r>
      <w:proofErr w:type="spellStart"/>
      <w:r w:rsidRPr="00BD57FD">
        <w:rPr>
          <w:i/>
        </w:rPr>
        <w:t>factors</w:t>
      </w:r>
      <w:proofErr w:type="spellEnd"/>
      <w:r>
        <w:t>)</w:t>
      </w:r>
      <w:r w:rsidRPr="00BD57FD">
        <w:t xml:space="preserve"> </w:t>
      </w:r>
      <w:r>
        <w:t>TRF1 ja TRF2</w:t>
      </w:r>
    </w:p>
    <w:p w:rsidR="00BD57FD" w:rsidRDefault="00BD57FD" w:rsidP="00BD57FD">
      <w:pPr>
        <w:pStyle w:val="Loendilik"/>
        <w:numPr>
          <w:ilvl w:val="0"/>
          <w:numId w:val="2"/>
        </w:numPr>
      </w:pPr>
      <w:r>
        <w:t xml:space="preserve">TRF-1 </w:t>
      </w:r>
      <w:proofErr w:type="spellStart"/>
      <w:r>
        <w:t>interakteeruv</w:t>
      </w:r>
      <w:proofErr w:type="spellEnd"/>
      <w:r>
        <w:t xml:space="preserve">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proofErr w:type="spellStart"/>
      <w:r>
        <w:t>repressor</w:t>
      </w:r>
      <w:proofErr w:type="spellEnd"/>
      <w:r>
        <w:t>/</w:t>
      </w:r>
      <w:proofErr w:type="spellStart"/>
      <w:r>
        <w:t>aktivaator</w:t>
      </w:r>
      <w:proofErr w:type="spellEnd"/>
      <w:r>
        <w:t xml:space="preserve"> valk RAP1.</w:t>
      </w:r>
    </w:p>
    <w:p w:rsidR="00BD57FD" w:rsidRPr="008C18AA" w:rsidRDefault="00BD57FD" w:rsidP="00BD57FD">
      <w:r>
        <w:t xml:space="preserve">TRF1, TRF2 ja POT1 seonduvad otse </w:t>
      </w:r>
      <w:proofErr w:type="spellStart"/>
      <w:r>
        <w:t>telomeersele</w:t>
      </w:r>
      <w:proofErr w:type="spellEnd"/>
      <w:r>
        <w:t xml:space="preserve"> DNA-le. kusjuures viimane ainult üleulatuvale ahelale.</w:t>
      </w:r>
      <w:r w:rsidR="008419ED">
        <w:t xml:space="preserve"> TIN2 seondub ühe TRF valguga ja on vajalik TPP1-POT1 kompleksi seondumiseks.</w:t>
      </w:r>
    </w:p>
    <w:p w:rsidR="00422CE6" w:rsidRDefault="00422CE6" w:rsidP="00422CE6">
      <w:pPr>
        <w:pStyle w:val="Pealkiri3"/>
      </w:pPr>
      <w:r>
        <w:t>Funktsioon</w:t>
      </w:r>
    </w:p>
    <w:p w:rsidR="00BD57FD" w:rsidRPr="00BD57FD" w:rsidRDefault="00BD57FD" w:rsidP="00BD57FD"/>
    <w:p w:rsidR="00422CE6" w:rsidRDefault="00422CE6" w:rsidP="00422CE6">
      <w:pPr>
        <w:pStyle w:val="Pealkiri3"/>
      </w:pPr>
      <w:r>
        <w:t>Otsa replikatsioon probleem</w:t>
      </w:r>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w:t>
      </w:r>
      <w:proofErr w:type="spellStart"/>
      <w:r>
        <w:t>Okazaki</w:t>
      </w:r>
      <w:proofErr w:type="spellEnd"/>
      <w:r>
        <w:t xml:space="preserve"> fragmentide, kaupa. Selleks, et DNA </w:t>
      </w:r>
      <w:proofErr w:type="spellStart"/>
      <w:r>
        <w:t>pülmeraas</w:t>
      </w:r>
      <w:proofErr w:type="spellEnd"/>
      <w:r>
        <w:t xml:space="preserve"> saaks </w:t>
      </w:r>
      <w:proofErr w:type="spellStart"/>
      <w:r>
        <w:t>Okazaki</w:t>
      </w:r>
      <w:proofErr w:type="spellEnd"/>
      <w:r>
        <w:t xml:space="preserve"> fragmendi sünteesi alustada, seondub matriitsahelaga RNA-</w:t>
      </w:r>
      <w:proofErr w:type="spellStart"/>
      <w:r>
        <w:t>praimer</w:t>
      </w:r>
      <w:proofErr w:type="spellEnd"/>
      <w:r>
        <w:t xml:space="preserve">. Nende </w:t>
      </w:r>
      <w:proofErr w:type="spellStart"/>
      <w:r>
        <w:lastRenderedPageBreak/>
        <w:t>praimerite</w:t>
      </w:r>
      <w:proofErr w:type="spellEnd"/>
      <w:r>
        <w:t xml:space="preserve"> asemele sünteesitakse hiljem 5’ – 3’ suunal DNA. Kuna pärast RNA eemaldamist DNA juppide sünteesiks läheb vaja 3’ OH otsa, aga kromosoomi otsas, viimase RNA </w:t>
      </w:r>
      <w:proofErr w:type="spellStart"/>
      <w:r>
        <w:t>praimeri</w:t>
      </w:r>
      <w:proofErr w:type="spellEnd"/>
      <w:r>
        <w:t xml:space="preserve"> järel rohkem DNA-d ei ole, jääb kromosoomi lõpust matriitsahelaga komplementaarne DNA sünteesimata.</w:t>
      </w:r>
      <w:r w:rsidR="008C18AA">
        <w:t xml:space="preserve"> </w:t>
      </w:r>
      <w:r>
        <w:fldChar w:fldCharType="begin" w:fldLock="1"/>
      </w:r>
      <w:r w:rsidR="00C91DE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Pr="00422CE6">
        <w:rPr>
          <w:noProof/>
        </w:rPr>
        <w:t>(Witzany, 2008)</w:t>
      </w:r>
      <w:r>
        <w:fldChar w:fldCharType="end"/>
      </w:r>
    </w:p>
    <w:p w:rsidR="00422CE6" w:rsidRDefault="00422CE6" w:rsidP="00422CE6">
      <w:pPr>
        <w:pStyle w:val="Pealkiri3"/>
      </w:pPr>
      <w:proofErr w:type="spellStart"/>
      <w:r>
        <w:t>Telomeraas</w:t>
      </w:r>
      <w:proofErr w:type="spellEnd"/>
    </w:p>
    <w:p w:rsidR="008C18AA" w:rsidRDefault="008C18AA" w:rsidP="008C18AA">
      <w:proofErr w:type="spellStart"/>
      <w:r>
        <w:t>Telomeraas</w:t>
      </w:r>
      <w:proofErr w:type="spellEnd"/>
      <w:r>
        <w:t xml:space="preserve"> on </w:t>
      </w:r>
      <w:proofErr w:type="spellStart"/>
      <w:r w:rsidR="009E11BF">
        <w:t>ribonukleoproteiin</w:t>
      </w:r>
      <w:proofErr w:type="spellEnd"/>
      <w:r>
        <w:t xml:space="preserve">, mis </w:t>
      </w:r>
      <w:r w:rsidR="009E11BF">
        <w:t xml:space="preserve">koosneb </w:t>
      </w:r>
      <w:proofErr w:type="spellStart"/>
      <w:r w:rsidR="009E11BF">
        <w:t>telomeraasi</w:t>
      </w:r>
      <w:proofErr w:type="spellEnd"/>
      <w:r w:rsidR="009E11BF">
        <w:t xml:space="preserve"> RNA-st (TER) ja </w:t>
      </w:r>
      <w:proofErr w:type="spellStart"/>
      <w:r w:rsidR="009E11BF">
        <w:t>telomeraasi</w:t>
      </w:r>
      <w:proofErr w:type="spellEnd"/>
      <w:r w:rsidR="009E11BF">
        <w:t xml:space="preserve"> </w:t>
      </w:r>
      <w:proofErr w:type="spellStart"/>
      <w:r w:rsidR="009E11BF">
        <w:t>pöördtranskriptaasist</w:t>
      </w:r>
      <w:proofErr w:type="spellEnd"/>
      <w:r w:rsidR="009E11BF">
        <w:t xml:space="preserve"> (TERT). </w:t>
      </w:r>
      <w:proofErr w:type="spellStart"/>
      <w:r w:rsidR="009E11BF">
        <w:t>Telomeraas</w:t>
      </w:r>
      <w:proofErr w:type="spellEnd"/>
      <w:r w:rsidR="009E11BF">
        <w:t xml:space="preserve"> katalüüsib üleulatuva G-otsa uute </w:t>
      </w:r>
      <w:proofErr w:type="spellStart"/>
      <w:r w:rsidR="009E11BF">
        <w:t>telomeeri</w:t>
      </w:r>
      <w:proofErr w:type="spellEnd"/>
      <w:r w:rsidR="009E11BF">
        <w:t xml:space="preserve">-korduste sünteesi. </w:t>
      </w:r>
      <w:proofErr w:type="spellStart"/>
      <w:r w:rsidR="00FC6979">
        <w:t>Telomeraasi</w:t>
      </w:r>
      <w:proofErr w:type="spellEnd"/>
      <w:r w:rsidR="00FC6979">
        <w:t xml:space="preserve"> aktiivsus on </w:t>
      </w:r>
      <w:r w:rsidR="00504D69">
        <w:t xml:space="preserve">enamuses </w:t>
      </w:r>
      <w:r w:rsidR="00FC6979">
        <w:t>somaatilistes rakk</w:t>
      </w:r>
      <w:r w:rsidR="00504D69">
        <w:t xml:space="preserve">udes madal või </w:t>
      </w:r>
      <w:proofErr w:type="spellStart"/>
      <w:r w:rsidR="00504D69">
        <w:t>tuvastamatu</w:t>
      </w:r>
      <w:proofErr w:type="spellEnd"/>
      <w:r w:rsidR="00504D69">
        <w:t xml:space="preserve">, kuid umbes 85%-s vähirakkudes ülesreguleeritud. See </w:t>
      </w:r>
      <w:proofErr w:type="spellStart"/>
      <w:r w:rsidR="00504D69">
        <w:t>telomeraasne</w:t>
      </w:r>
      <w:proofErr w:type="spellEnd"/>
      <w:r w:rsidR="00504D69">
        <w:t xml:space="preserve"> aktiivsus panustab vähirakkude surematusse. </w:t>
      </w:r>
      <w:r w:rsidR="00504D69">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Chen, &amp; Liu, 2009)", "plainTextFormattedCitation" : "(Tian, Chen, &amp; Liu, 2009)", "previouslyFormattedCitation" : "(Tian, Chen, &amp; Liu, 2009)" }, "properties" : { "noteIndex" : 0 }, "schema" : "https://github.com/citation-style-language/schema/raw/master/csl-citation.json" }</w:instrText>
      </w:r>
      <w:r w:rsidR="00504D69">
        <w:fldChar w:fldCharType="separate"/>
      </w:r>
      <w:r w:rsidR="00504D69" w:rsidRPr="00504D69">
        <w:rPr>
          <w:noProof/>
        </w:rPr>
        <w:t>(Tian, Chen, &amp; Liu, 2009)</w:t>
      </w:r>
      <w:r w:rsidR="00504D69">
        <w:fldChar w:fldCharType="end"/>
      </w:r>
    </w:p>
    <w:p w:rsidR="00504D69" w:rsidRDefault="00504D69" w:rsidP="00504D69">
      <w:pPr>
        <w:pStyle w:val="Pealkiri4"/>
      </w:pPr>
      <w:proofErr w:type="spellStart"/>
      <w:r>
        <w:t>Telomeraasi</w:t>
      </w:r>
      <w:proofErr w:type="spellEnd"/>
      <w:r>
        <w:t xml:space="preserve"> aktiivsuse regulatsioon</w:t>
      </w:r>
    </w:p>
    <w:p w:rsidR="00504D69" w:rsidRDefault="00504D69" w:rsidP="008C18AA">
      <w:proofErr w:type="spellStart"/>
      <w:r>
        <w:t>Telomeraasi</w:t>
      </w:r>
      <w:proofErr w:type="spellEnd"/>
      <w:r>
        <w:t xml:space="preserve"> TER komponenti </w:t>
      </w:r>
      <w:proofErr w:type="spellStart"/>
      <w:r>
        <w:t>ekspresseeritakse</w:t>
      </w:r>
      <w:proofErr w:type="spellEnd"/>
      <w:r>
        <w:t xml:space="preserve"> </w:t>
      </w:r>
      <w:r w:rsidR="00441335">
        <w:t xml:space="preserve">kõikides rakkudes ühesugusel määral, kuid </w:t>
      </w:r>
      <w:proofErr w:type="spellStart"/>
      <w:r w:rsidR="00441335">
        <w:t>katalüütilist</w:t>
      </w:r>
      <w:proofErr w:type="spellEnd"/>
      <w:r w:rsidR="00441335">
        <w:t xml:space="preserve"> TERT </w:t>
      </w:r>
      <w:proofErr w:type="spellStart"/>
      <w:r w:rsidR="00441335">
        <w:t>subühikut</w:t>
      </w:r>
      <w:proofErr w:type="spellEnd"/>
      <w:r w:rsidR="00441335">
        <w:t xml:space="preserve"> </w:t>
      </w:r>
      <w:proofErr w:type="spellStart"/>
      <w:r w:rsidR="00441335">
        <w:t>ekspresseeritakse</w:t>
      </w:r>
      <w:proofErr w:type="spellEnd"/>
      <w:r w:rsidR="00441335">
        <w:t xml:space="preserve"> vaid vähirakkudes. TTAGGG korduste lisamine kromosoomi otsa toimub kahes etapis – esmalt sünteesitakse TER komponendiga komplementaarne DNA jupp ning pausi järel liigub ensüüm edasi. </w:t>
      </w:r>
      <w:proofErr w:type="spellStart"/>
      <w:r w:rsidR="00441335">
        <w:t>hTERT</w:t>
      </w:r>
      <w:proofErr w:type="spellEnd"/>
      <w:r w:rsidR="002B11DC">
        <w:t xml:space="preserve"> (</w:t>
      </w:r>
      <w:proofErr w:type="spellStart"/>
      <w:r w:rsidR="002B11DC" w:rsidRPr="00123084">
        <w:rPr>
          <w:i/>
        </w:rPr>
        <w:t>human</w:t>
      </w:r>
      <w:proofErr w:type="spellEnd"/>
      <w:r w:rsidR="002B11DC" w:rsidRPr="00123084">
        <w:rPr>
          <w:i/>
        </w:rPr>
        <w:t xml:space="preserve"> TERT</w:t>
      </w:r>
      <w:r w:rsidR="002B11DC">
        <w:t>)</w:t>
      </w:r>
      <w:r w:rsidR="00441335">
        <w:t xml:space="preserve"> geen asub viienda kromosoomi lühema õla otsas.</w:t>
      </w:r>
      <w:r w:rsidR="00123084" w:rsidRPr="00123084">
        <w:t xml:space="preserve"> </w:t>
      </w:r>
      <w:r w:rsidR="00123084">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123084" w:rsidRPr="00123084">
        <w:rPr>
          <w:noProof/>
        </w:rPr>
        <w:t>(Tian et al., 2009)</w:t>
      </w:r>
      <w:r w:rsidR="00123084">
        <w:fldChar w:fldCharType="end"/>
      </w:r>
      <w:r w:rsidR="00123084">
        <w:t xml:space="preserve"> </w:t>
      </w:r>
      <w:r w:rsidR="00441335">
        <w:t xml:space="preserve"> Arvatakse, et</w:t>
      </w:r>
      <w:r w:rsidR="00123084">
        <w:t xml:space="preserve"> TERT peamine regulatsioonimehhanism on </w:t>
      </w:r>
      <w:proofErr w:type="spellStart"/>
      <w:r w:rsidR="00123084">
        <w:t>transkriptsiooniline</w:t>
      </w:r>
      <w:proofErr w:type="spellEnd"/>
      <w:r w:rsidR="00123084">
        <w:t xml:space="preserve"> kontroll. Mitmete </w:t>
      </w:r>
      <w:proofErr w:type="spellStart"/>
      <w:r w:rsidR="00123084">
        <w:t>onkogeenide</w:t>
      </w:r>
      <w:proofErr w:type="spellEnd"/>
      <w:r w:rsidR="00123084">
        <w:t xml:space="preserve"> (nt c-</w:t>
      </w:r>
      <w:proofErr w:type="spellStart"/>
      <w:r w:rsidR="00123084">
        <w:t>Myc</w:t>
      </w:r>
      <w:proofErr w:type="spellEnd"/>
      <w:r w:rsidR="00123084">
        <w:t xml:space="preserve">) ja kasvajate supressiooni geenide (WT1, p53) produktid avaldavad </w:t>
      </w:r>
      <w:proofErr w:type="spellStart"/>
      <w:r w:rsidR="00123084">
        <w:t>üleekspresseerimise</w:t>
      </w:r>
      <w:proofErr w:type="spellEnd"/>
      <w:r w:rsidR="00123084">
        <w:t xml:space="preserve"> korral mõju </w:t>
      </w:r>
      <w:proofErr w:type="spellStart"/>
      <w:r w:rsidR="00123084">
        <w:t>hTERT</w:t>
      </w:r>
      <w:proofErr w:type="spellEnd"/>
      <w:r w:rsidR="00123084">
        <w:t xml:space="preserve"> transkriptsioonile. </w:t>
      </w:r>
      <w:r w:rsidR="00123084">
        <w:fldChar w:fldCharType="begin" w:fldLock="1"/>
      </w:r>
      <w:r w:rsidR="00A77412">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&amp; Barrett, 2003)", "plainTextFormattedCitation" : "(Horikawa &amp; Barrett, 2003)", "previouslyFormattedCitation" : "(Horikawa &amp; Barrett, 2003)" }, "properties" : { "noteIndex" : 0 }, "schema" : "https://github.com/citation-style-language/schema/raw/master/csl-citation.json" }</w:instrText>
      </w:r>
      <w:r w:rsidR="00123084">
        <w:fldChar w:fldCharType="separate"/>
      </w:r>
      <w:r w:rsidR="00123084" w:rsidRPr="00123084">
        <w:rPr>
          <w:noProof/>
        </w:rPr>
        <w:t>(Horikawa &amp; Barrett, 2003)</w:t>
      </w:r>
      <w:r w:rsidR="00123084">
        <w:fldChar w:fldCharType="end"/>
      </w:r>
    </w:p>
    <w:p w:rsidR="00A77412" w:rsidRPr="00A77412" w:rsidRDefault="00A77412" w:rsidP="00A77412">
      <w:pPr>
        <w:pStyle w:val="Pealkiri3"/>
      </w:pPr>
      <w:proofErr w:type="spellStart"/>
      <w:r>
        <w:t>Telomeeride</w:t>
      </w:r>
      <w:proofErr w:type="spellEnd"/>
      <w:r>
        <w:t xml:space="preserve"> pikkus</w:t>
      </w:r>
    </w:p>
    <w:p w:rsidR="00422CE6" w:rsidRDefault="00A77412" w:rsidP="00A77412">
      <w:pPr>
        <w:pStyle w:val="Pealkiri4"/>
      </w:pPr>
      <w:proofErr w:type="spellStart"/>
      <w:r>
        <w:t>Telomeeride</w:t>
      </w:r>
      <w:proofErr w:type="spellEnd"/>
      <w:r>
        <w:t xml:space="preserve"> pikkus vananemise </w:t>
      </w:r>
      <w:proofErr w:type="spellStart"/>
      <w:r>
        <w:t>biomarkerina</w:t>
      </w:r>
      <w:proofErr w:type="spellEnd"/>
    </w:p>
    <w:p w:rsidR="00A77412" w:rsidRDefault="00A77412" w:rsidP="00A77412">
      <w:r>
        <w:t xml:space="preserve">Vananemise </w:t>
      </w:r>
      <w:proofErr w:type="spellStart"/>
      <w:r>
        <w:t>biomarkerite</w:t>
      </w:r>
      <w:proofErr w:type="spellEnd"/>
      <w:r>
        <w:t xml:space="preserv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Jorm, Parslow, &amp; Christensen, 2011)", "plainTextFormattedCitation" : "(Mather, Jorm, Parslow, &amp; Christensen, 2011)", "previouslyFormattedCitation" : "(Mather, Jorm, Parslow, &amp; Christensen, 2011)" }, "properties" : { "noteIndex" : 0 }, "schema" : "https://github.com/citation-style-language/schema/raw/master/csl-citation.json" }</w:instrText>
      </w:r>
      <w:r>
        <w:fldChar w:fldCharType="separate"/>
      </w:r>
      <w:r w:rsidRPr="00A77412">
        <w:rPr>
          <w:noProof/>
        </w:rPr>
        <w:t>(Mather, Jorm, Parslow, &amp; Christensen, 2011)</w:t>
      </w:r>
      <w:r>
        <w:fldChar w:fldCharType="end"/>
      </w:r>
    </w:p>
    <w:p w:rsidR="00A77412" w:rsidRDefault="00A77412" w:rsidP="00A77412">
      <w:proofErr w:type="spellStart"/>
      <w:r>
        <w:t>Telomeeride</w:t>
      </w:r>
      <w:proofErr w:type="spellEnd"/>
      <w:r>
        <w:t xml:space="preserve"> puhul on leitud, et </w:t>
      </w:r>
      <w:proofErr w:type="spellStart"/>
      <w:r>
        <w:t>telomeeride</w:t>
      </w:r>
      <w:proofErr w:type="spellEnd"/>
      <w:r>
        <w:t xml:space="preserve"> pikkus ja inimese vanus on negatiivselt korrelatsioonis. Ka on leitud seoseid </w:t>
      </w:r>
      <w:proofErr w:type="spellStart"/>
      <w:r>
        <w:t>telomeeride</w:t>
      </w:r>
      <w:proofErr w:type="spellEnd"/>
      <w:r>
        <w:t xml:space="preserve"> pikkuse ja muude vanusest sõltuvate näitajate, haiguste ning suremuse vahel, kuid tulemuste tõlgendused on ebaselged.</w:t>
      </w:r>
    </w:p>
    <w:p w:rsidR="00A77412" w:rsidRDefault="008C26FA" w:rsidP="00A77412">
      <w:r>
        <w:t xml:space="preserve">Näiteks üle 60 aastaste inimeste sead oli kõige lühemate </w:t>
      </w:r>
      <w:proofErr w:type="spellStart"/>
      <w:r>
        <w:t>telomeeridega</w:t>
      </w:r>
      <w:proofErr w:type="spellEnd"/>
      <w:r>
        <w:t xml:space="preserve"> grupil suurem suremus – kolm korda suurem suremus südamehaigustest ning kaheksa korda suurem nakkushaigustest. Kui sama uuringu andmeid analüüsiti aga vanusevahemike kaupa, ei olnud </w:t>
      </w:r>
      <w:r>
        <w:lastRenderedPageBreak/>
        <w:t>tulemus enam üle 74 aastaste seas</w:t>
      </w:r>
      <w:r w:rsidR="00527858">
        <w:t xml:space="preserve"> statistiliselt oluline. Seda võib seletada ellujääja-efektiga – kui lühemate </w:t>
      </w:r>
      <w:proofErr w:type="spellStart"/>
      <w:r w:rsidR="00527858">
        <w:t>telomeeridega</w:t>
      </w:r>
      <w:proofErr w:type="spellEnd"/>
      <w:r w:rsidR="00527858">
        <w:t xml:space="preserve"> inimesed sureks varem, ei ole neid vanemates vahemikes. </w:t>
      </w:r>
      <w:r w:rsidR="00527858">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527858" w:rsidRPr="00527858">
        <w:rPr>
          <w:noProof/>
        </w:rPr>
        <w:t>(Mather et al., 2011)</w:t>
      </w:r>
      <w:r w:rsidR="00527858">
        <w:fldChar w:fldCharType="end"/>
      </w:r>
    </w:p>
    <w:p w:rsidR="00527858" w:rsidRDefault="00527858" w:rsidP="00A77412">
      <w:proofErr w:type="spellStart"/>
      <w:r>
        <w:t>Longituuduuringute</w:t>
      </w:r>
      <w:proofErr w:type="spellEnd"/>
      <w:r>
        <w:t xml:space="preserve"> puhul on saadud väga varieeruvaid tulemusi – </w:t>
      </w:r>
      <w:proofErr w:type="spellStart"/>
      <w:r>
        <w:t>telomeeride</w:t>
      </w:r>
      <w:proofErr w:type="spellEnd"/>
      <w:r>
        <w:t xml:space="preserve"> pikkus võib aja jooksul nii suureneda kui väheneda. </w:t>
      </w:r>
      <w:r>
        <w:fldChar w:fldCharType="begin" w:fldLock="1"/>
      </w:r>
      <w:r w:rsidR="00B1590E">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527858">
        <w:rPr>
          <w:noProof/>
        </w:rPr>
        <w:t>(Mather et al., 2011)</w:t>
      </w:r>
      <w:r>
        <w:fldChar w:fldCharType="end"/>
      </w:r>
    </w:p>
    <w:p w:rsidR="00C90D91" w:rsidRDefault="00893169" w:rsidP="00C90D91">
      <w:pPr>
        <w:keepNext/>
      </w:pPr>
      <w:r>
        <w:rPr>
          <w:noProof/>
          <w:lang w:eastAsia="et-EE"/>
        </w:rPr>
        <w:drawing>
          <wp:inline distT="0" distB="0" distL="0" distR="0" wp14:anchorId="5B3DDF4B" wp14:editId="1F61B782">
            <wp:extent cx="4328160" cy="3634872"/>
            <wp:effectExtent l="0" t="0" r="0" b="381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069" cy="3649073"/>
                    </a:xfrm>
                    <a:prstGeom prst="rect">
                      <a:avLst/>
                    </a:prstGeom>
                  </pic:spPr>
                </pic:pic>
              </a:graphicData>
            </a:graphic>
          </wp:inline>
        </w:drawing>
      </w:r>
    </w:p>
    <w:p w:rsidR="00893169" w:rsidRDefault="00C90D91" w:rsidP="00C90D91">
      <w:pPr>
        <w:pStyle w:val="Pealdis"/>
      </w:pPr>
      <w:r>
        <w:t xml:space="preserve">Joonis </w:t>
      </w:r>
      <w:r w:rsidR="001D7CC1">
        <w:fldChar w:fldCharType="begin"/>
      </w:r>
      <w:r w:rsidR="001D7CC1">
        <w:instrText xml:space="preserve"> SEQ Joonis \* ARABIC </w:instrText>
      </w:r>
      <w:r w:rsidR="001D7CC1">
        <w:fldChar w:fldCharType="separate"/>
      </w:r>
      <w:r w:rsidR="002F684F">
        <w:rPr>
          <w:noProof/>
        </w:rPr>
        <w:t>1</w:t>
      </w:r>
      <w:r w:rsidR="001D7CC1">
        <w:rPr>
          <w:noProof/>
        </w:rPr>
        <w:fldChar w:fldCharType="end"/>
      </w:r>
      <w:r>
        <w:t xml:space="preserve"> </w:t>
      </w:r>
      <w:proofErr w:type="spellStart"/>
      <w:r>
        <w:t>Telomeeride</w:t>
      </w:r>
      <w:proofErr w:type="spellEnd"/>
      <w:r>
        <w:t xml:space="preserve"> pikkuse sõltuvus vanusest </w:t>
      </w:r>
      <w:r>
        <w:fldChar w:fldCharType="begin" w:fldLock="1"/>
      </w:r>
      <w:r w:rsidR="00C3222D">
        <w:instrText>ADDIN CSL_CITATION { "citationItems" : [ { "id" : "ITEM-1", "itemData" : { "DOI" : "10.1093/jnci/djv074", "ISBN" : "0027-8874", "ISSN" : "1460-2105", "PMID" : "25862531", "abstract" : "BACKGROUND Short telomeres in peripheral blood leukocytes are associated with older age and age-related diseases. We tested the hypotheses that short telomeres are associated with both increased cancer mortality and all-cause mortality. METHODS Individuals (n = 64637) were recruited from 1991 onwards from two Danish prospective cohort studies: the Copenhagen City Heart Study and the Copenhagen General Population Study. All had telomere length measured by quantitative polymerase chain reaction and the genotypes rs1317082 (TERC), rs7726159 (TERT), and rs2487999 (OBFC1) determined. The sum of telomere-shortening alleles from these three genotypes was calculated. We conducted Cox regression analyses and instrumental variable analyses using the allele sum as an instrument. All statistical tests were two-sided. RESULTS Among 7607 individuals who died during follow-up (0-22 years, median = 7 years), 2420 had cancer and 2633 had cardiovascular disease as causes of death. Decreasing telomere length deciles were associated with increasing all-cause mortality (P(trend) = 2*10(-15)). The multivariable-adjusted hazard ratio of all-cause mortality was 1.40 (95% confidence interval [CI] = 1.25 to 1.57) for individuals in the shortest vs the longest decile. Results were similar for cancer mortality and cardiovascular mortality. Telomere length decreased 69 base pairs (95% CI = 61 to 76) per allele for the allele sum, and the per-allele hazard ratio for cancer mortality was 0.95 (95% CI = 0.91 to 0.99). Allele sum was not associated with cardiovascular, other, or all-cause mortality. CONCLUSION Short telomeres in peripheral blood leukocytes were associated with high mortality in association analyses. In contrast, genetically determined short telomeres were associated with low cancer mortality but not with all-cause mortality.", "author" : [ { "dropping-particle" : "", "family" : "Rode", "given" : "Line", "non-dropping-particle" : "", "parse-names" : false, "suffix" : "" }, { "dropping-particle" : "", "family" : "Nordestgaard", "given" : "B\u00f8rge G", "non-dropping-particle" : "", "parse-names" : false, "suffix" : "" }, { "dropping-particle" : "", "family" : "Bojesen", "given" : "Stig E", "non-dropping-particle" : "", "parse-names" : false, "suffix" : "" } ], "container-title" : "Journal of the National Cancer Institute", "id" : "ITEM-1", "issue" : "6", "issued" : { "date-parts" : [ [ "2015" ] ] }, "page" : "djv074", "title" : "Peripheral blood leukocyte telomere length and mortality among 64,637 individuals from the general population.", "type" : "article-journal", "volume" : "107" }, "uris" : [ "http://www.mendeley.com/documents/?uuid=6c7bf146-5131-3bed-b5eb-8f8379abd2d5" ] } ], "mendeley" : { "formattedCitation" : "(Rode, Nordestgaard, &amp; Bojesen, 2015)", "plainTextFormattedCitation" : "(Rode, Nordestgaard, &amp; Bojesen, 2015)", "previouslyFormattedCitation" : "(Rode, Nordestgaard, &amp; Bojesen, 2015)" }, "properties" : { "noteIndex" : 0 }, "schema" : "https://github.com/citation-style-language/schema/raw/master/csl-citation.json" }</w:instrText>
      </w:r>
      <w:r>
        <w:fldChar w:fldCharType="separate"/>
      </w:r>
      <w:r w:rsidRPr="00C90D91">
        <w:rPr>
          <w:i w:val="0"/>
          <w:noProof/>
        </w:rPr>
        <w:t>(Rode, Nordestgaard, &amp; Bojesen, 2015)</w:t>
      </w:r>
      <w:r>
        <w:fldChar w:fldCharType="end"/>
      </w:r>
    </w:p>
    <w:p w:rsidR="00B1590E" w:rsidRDefault="00B1590E" w:rsidP="00B1590E">
      <w:pPr>
        <w:pStyle w:val="Pealkiri3"/>
      </w:pPr>
      <w:proofErr w:type="spellStart"/>
      <w:r>
        <w:t>Telomeeride</w:t>
      </w:r>
      <w:proofErr w:type="spellEnd"/>
      <w:r>
        <w:t xml:space="preserve"> pikkust mõjutavad faktorid</w:t>
      </w:r>
    </w:p>
    <w:p w:rsidR="00B1590E" w:rsidRPr="00B1590E" w:rsidRDefault="00B1590E" w:rsidP="00B1590E">
      <w:proofErr w:type="spellStart"/>
      <w:r>
        <w:t>Telomeeride</w:t>
      </w:r>
      <w:proofErr w:type="spellEnd"/>
      <w:r>
        <w:t xml:space="preserve"> pikkust võib mõjutada isa vanus järglase sünni ajal, põletikreaktsioonid, suitsetamine, füüsiline aktiivsus, sugu, klass, kehamassiindeks, </w:t>
      </w:r>
      <w:proofErr w:type="spellStart"/>
      <w:r>
        <w:t>multivitamiinide</w:t>
      </w:r>
      <w:proofErr w:type="spellEnd"/>
      <w:r>
        <w:t xml:space="preserve"> tarbimine, antioksüdantide tarbimine, alkoholi tarbimine, </w:t>
      </w:r>
      <w:proofErr w:type="spellStart"/>
      <w:r>
        <w:t>hormooniasendusteraapa</w:t>
      </w:r>
      <w:proofErr w:type="spellEnd"/>
      <w:r>
        <w:t xml:space="preserve"> ning rass. </w:t>
      </w:r>
      <w:r>
        <w:fldChar w:fldCharType="begin" w:fldLock="1"/>
      </w:r>
      <w:r w:rsidR="00AC0550">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B1590E">
        <w:rPr>
          <w:noProof/>
        </w:rPr>
        <w:t>(Mather et al., 2011)</w:t>
      </w:r>
      <w:r>
        <w:fldChar w:fldCharType="end"/>
      </w:r>
    </w:p>
    <w:p w:rsidR="00A77412" w:rsidRDefault="00A77412" w:rsidP="00A77412">
      <w:pPr>
        <w:pStyle w:val="Pealkiri3"/>
      </w:pPr>
      <w:proofErr w:type="spellStart"/>
      <w:r>
        <w:t>Telomeeride</w:t>
      </w:r>
      <w:proofErr w:type="spellEnd"/>
      <w:r>
        <w:t xml:space="preserve"> pikkuse</w:t>
      </w:r>
      <w:r w:rsidR="000C5483">
        <w:t xml:space="preserve"> laboratoorne</w:t>
      </w:r>
      <w:r>
        <w:t xml:space="preserve"> mõõtmine</w:t>
      </w:r>
    </w:p>
    <w:p w:rsidR="00B1590E" w:rsidRDefault="000C5483" w:rsidP="000C5483">
      <w:pPr>
        <w:pStyle w:val="Pealkiri4"/>
      </w:pPr>
      <w:r>
        <w:t xml:space="preserve">Terminaalsete </w:t>
      </w:r>
      <w:proofErr w:type="spellStart"/>
      <w:r>
        <w:t>restriktsioonifragmentide</w:t>
      </w:r>
      <w:proofErr w:type="spellEnd"/>
      <w:r>
        <w:t xml:space="preserv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w:t>
      </w:r>
      <w:proofErr w:type="spellStart"/>
      <w:r w:rsidR="00A673DE">
        <w:t>geelektroforeesil</w:t>
      </w:r>
      <w:proofErr w:type="spellEnd"/>
      <w:r w:rsidR="00A673DE">
        <w:t xml:space="preserve"> ning kinnitatakse, et proov </w:t>
      </w:r>
      <w:r w:rsidR="00A673DE">
        <w:lastRenderedPageBreak/>
        <w:t xml:space="preserve">visualiseerub tiheda ja mitte laialivalgunud vöödina. Katkiste DNA proovide analüüs selle meetodiga annab tulemuseks tegelikust lühema </w:t>
      </w:r>
      <w:proofErr w:type="spellStart"/>
      <w:r w:rsidR="00A673DE">
        <w:t>telomeeri</w:t>
      </w:r>
      <w:proofErr w:type="spellEnd"/>
      <w:r w:rsidR="00A673DE">
        <w:t xml:space="preserve"> pikkuse. </w:t>
      </w:r>
      <w:r w:rsidR="00A673DE">
        <w:fldChar w:fldCharType="begin" w:fldLock="1"/>
      </w:r>
      <w:r w:rsidR="00F26977">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673DE" w:rsidRPr="00A673DE">
        <w:rPr>
          <w:noProof/>
        </w:rPr>
        <w:t>(Kimura et al., 2010)</w:t>
      </w:r>
      <w:r w:rsidR="00A673DE">
        <w:fldChar w:fldCharType="end"/>
      </w:r>
    </w:p>
    <w:p w:rsidR="001B0926" w:rsidRPr="000C5483" w:rsidRDefault="000C5483" w:rsidP="000C5483">
      <w:r>
        <w:t xml:space="preserve">DNA </w:t>
      </w:r>
      <w:proofErr w:type="spellStart"/>
      <w:r>
        <w:t>lõigtakse</w:t>
      </w:r>
      <w:proofErr w:type="spellEnd"/>
      <w:r>
        <w:t xml:space="preserve"> </w:t>
      </w:r>
      <w:proofErr w:type="spellStart"/>
      <w:r>
        <w:t>restritsiooniensüümidega</w:t>
      </w:r>
      <w:proofErr w:type="spellEnd"/>
      <w:r w:rsidR="00A673DE">
        <w:t xml:space="preserve"> (</w:t>
      </w:r>
      <w:proofErr w:type="spellStart"/>
      <w:r w:rsidR="00A673DE" w:rsidRPr="00A673DE">
        <w:rPr>
          <w:i/>
        </w:rPr>
        <w:t>Hinf</w:t>
      </w:r>
      <w:r w:rsidR="00A673DE">
        <w:t>I</w:t>
      </w:r>
      <w:proofErr w:type="spellEnd"/>
      <w:r w:rsidR="00A673DE">
        <w:t xml:space="preserve"> ja </w:t>
      </w:r>
      <w:proofErr w:type="spellStart"/>
      <w:r w:rsidR="00A673DE" w:rsidRPr="00A673DE">
        <w:rPr>
          <w:i/>
        </w:rPr>
        <w:t>RsaI</w:t>
      </w:r>
      <w:proofErr w:type="spellEnd"/>
      <w:r w:rsidR="00A673DE">
        <w:t>)</w:t>
      </w:r>
      <w:r>
        <w:t xml:space="preserve">, millel pole äratundmiskohti ei </w:t>
      </w:r>
      <w:proofErr w:type="spellStart"/>
      <w:r>
        <w:t>telomeeri</w:t>
      </w:r>
      <w:proofErr w:type="spellEnd"/>
      <w:r>
        <w:t xml:space="preserve"> sees ega </w:t>
      </w:r>
      <w:proofErr w:type="spellStart"/>
      <w:r>
        <w:t>telomeeri</w:t>
      </w:r>
      <w:proofErr w:type="spellEnd"/>
      <w:r>
        <w:t>-eelses alas.</w:t>
      </w:r>
      <w:r w:rsidR="00A673DE">
        <w:t xml:space="preserve"> See protsess rikastab proovid pikkade </w:t>
      </w:r>
      <w:proofErr w:type="spellStart"/>
      <w:r w:rsidR="00A673DE">
        <w:t>telomeersete</w:t>
      </w:r>
      <w:proofErr w:type="spellEnd"/>
      <w:r w:rsidR="00A673DE">
        <w:t xml:space="preserve"> fraktsioonidega – ülejäänud genoom lõigatakse </w:t>
      </w:r>
      <w:r w:rsidR="006D01CB">
        <w:t xml:space="preserve">kuni 800bp pikkusteks tükkideks ning </w:t>
      </w:r>
      <w:r w:rsidR="001B0926">
        <w:t xml:space="preserve">eraldatakse agaroosgeelil ning visualiseeritakse </w:t>
      </w:r>
      <w:proofErr w:type="spellStart"/>
      <w:r w:rsidR="001B0926">
        <w:t>southern</w:t>
      </w:r>
      <w:proofErr w:type="spellEnd"/>
      <w:r w:rsidR="001B0926">
        <w:t xml:space="preserve"> </w:t>
      </w:r>
      <w:proofErr w:type="spellStart"/>
      <w:r w:rsidR="001B0926">
        <w:t>blot</w:t>
      </w:r>
      <w:proofErr w:type="spellEnd"/>
      <w:r w:rsidR="001B0926">
        <w:t xml:space="preserve"> meetodiga. Visualiseerimiseks kasutatakse TTAGGG komplementaarseid märgistatud </w:t>
      </w:r>
      <w:proofErr w:type="spellStart"/>
      <w:r w:rsidR="001B0926">
        <w:t>oligonukleotiide</w:t>
      </w:r>
      <w:proofErr w:type="spellEnd"/>
      <w:r w:rsidR="001B0926">
        <w:t>.</w:t>
      </w:r>
      <w:r w:rsidR="00A673DE">
        <w:t xml:space="preserve"> </w:t>
      </w:r>
      <w:proofErr w:type="spellStart"/>
      <w:r w:rsidR="001B0926">
        <w:t>Telomeeride</w:t>
      </w:r>
      <w:proofErr w:type="spellEnd"/>
      <w:r w:rsidR="001B0926">
        <w:t xml:space="preserve"> pikkused saadakse </w:t>
      </w:r>
      <w:proofErr w:type="spellStart"/>
      <w:r w:rsidR="001B0926" w:rsidRPr="001B0926">
        <w:rPr>
          <w:i/>
        </w:rPr>
        <w:t>ladder</w:t>
      </w:r>
      <w:proofErr w:type="spellEnd"/>
      <w:r w:rsidR="001B0926">
        <w:t>-DNA-ga võrdlemisel või eelnevalt valmistatud ruudustiku abil.</w:t>
      </w:r>
      <w:r w:rsidR="00AC0550">
        <w:t xml:space="preserve"> </w:t>
      </w:r>
      <w:r w:rsidR="00AC0550">
        <w:fldChar w:fldCharType="begin" w:fldLock="1"/>
      </w:r>
      <w:r w:rsidR="00A673DE">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C0550" w:rsidRPr="00AC0550">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proofErr w:type="spellStart"/>
      <w:r w:rsidR="00B1590E">
        <w:t>qPCR</w:t>
      </w:r>
      <w:proofErr w:type="spellEnd"/>
    </w:p>
    <w:p w:rsidR="001B0926" w:rsidRDefault="00F26977" w:rsidP="001B0926">
      <w:r>
        <w:t xml:space="preserve">Vähem DNA materjali kui TRF analüüsi jaoks, kulub </w:t>
      </w:r>
      <w:proofErr w:type="spellStart"/>
      <w:r>
        <w:t>qPCR</w:t>
      </w:r>
      <w:proofErr w:type="spellEnd"/>
      <w:r>
        <w:t xml:space="preserve">-põhiste meetoditega </w:t>
      </w:r>
      <w:proofErr w:type="spellStart"/>
      <w:r>
        <w:t>telomeeride</w:t>
      </w:r>
      <w:proofErr w:type="spellEnd"/>
      <w:r>
        <w:t xml:space="preserve"> pikkuse mõõtmiseks. </w:t>
      </w:r>
      <w:proofErr w:type="spellStart"/>
      <w:r>
        <w:t>qPCR</w:t>
      </w:r>
      <w:proofErr w:type="spellEnd"/>
      <w:r>
        <w:t xml:space="preserve"> meetodid põhinevad </w:t>
      </w:r>
      <w:proofErr w:type="spellStart"/>
      <w:r>
        <w:t>fluorofooride</w:t>
      </w:r>
      <w:proofErr w:type="spellEnd"/>
      <w:r>
        <w:t xml:space="preserve"> kasutamisel. </w:t>
      </w:r>
      <w:proofErr w:type="spellStart"/>
      <w:r>
        <w:t>Fluorofoorid</w:t>
      </w:r>
      <w:proofErr w:type="spellEnd"/>
      <w:r>
        <w:t xml:space="preserve"> annavad fluorestsents-signaali, kui huvipakkuv järjestus </w:t>
      </w:r>
      <w:proofErr w:type="spellStart"/>
      <w:r>
        <w:t>paljundatakase</w:t>
      </w:r>
      <w:proofErr w:type="spellEnd"/>
      <w:r>
        <w:t xml:space="preserve"> ning võimaldavad paljundatavat DNA-d kvantifitseerida. </w:t>
      </w:r>
      <w:proofErr w:type="spellStart"/>
      <w:r>
        <w:t>qPCR</w:t>
      </w:r>
      <w:proofErr w:type="spellEnd"/>
      <w:r>
        <w:t xml:space="preserve"> põhiste meetodite peamine keerukus seisneb selles, et </w:t>
      </w:r>
      <w:proofErr w:type="spellStart"/>
      <w:r>
        <w:t>telomeeri</w:t>
      </w:r>
      <w:proofErr w:type="spellEnd"/>
      <w:r>
        <w:t xml:space="preserve">-spetsiifilised </w:t>
      </w:r>
      <w:proofErr w:type="spellStart"/>
      <w:r>
        <w:t>praimerid</w:t>
      </w:r>
      <w:proofErr w:type="spellEnd"/>
      <w:r>
        <w:t xml:space="preserve"> on üksteisega komplementaarsed ning moodustavad omavahel </w:t>
      </w:r>
      <w:proofErr w:type="spellStart"/>
      <w:r>
        <w:t>dimeere</w:t>
      </w:r>
      <w:proofErr w:type="spellEnd"/>
      <w:r>
        <w:t xml:space="preserve">.  </w:t>
      </w:r>
      <w:r>
        <w:fldChar w:fldCharType="begin" w:fldLock="1"/>
      </w:r>
      <w:r w:rsidR="008556C6">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Pr="00F26977">
        <w:rPr>
          <w:noProof/>
        </w:rPr>
        <w:t>(Montpetit et al., 2014)</w:t>
      </w:r>
      <w:r>
        <w:fldChar w:fldCharType="end"/>
      </w:r>
    </w:p>
    <w:p w:rsidR="00F26977" w:rsidRPr="001B0926" w:rsidRDefault="008556C6" w:rsidP="001B0926">
      <w:proofErr w:type="spellStart"/>
      <w:r>
        <w:t>Praimerite</w:t>
      </w:r>
      <w:proofErr w:type="spellEnd"/>
      <w:r>
        <w:t xml:space="preserve"> </w:t>
      </w:r>
      <w:proofErr w:type="spellStart"/>
      <w:r>
        <w:t>dimeeride</w:t>
      </w:r>
      <w:proofErr w:type="spellEnd"/>
      <w:r>
        <w:t xml:space="preserve"> tekkimise vastu aitas spetsiaalsete </w:t>
      </w:r>
      <w:proofErr w:type="spellStart"/>
      <w:r>
        <w:t>praimerite</w:t>
      </w:r>
      <w:proofErr w:type="spellEnd"/>
      <w:r>
        <w:t xml:space="preserve"> disain, mille puhul DNA polümeraas paljundas käivitus vaid siis, kui </w:t>
      </w:r>
      <w:proofErr w:type="spellStart"/>
      <w:r>
        <w:t>praimer</w:t>
      </w:r>
      <w:proofErr w:type="spellEnd"/>
      <w:r>
        <w:t xml:space="preserve"> oli seondunud </w:t>
      </w:r>
      <w:proofErr w:type="spellStart"/>
      <w:r>
        <w:t>telomeeriga</w:t>
      </w:r>
      <w:proofErr w:type="spellEnd"/>
      <w:r>
        <w:t xml:space="preserve">, mitte teise </w:t>
      </w:r>
      <w:proofErr w:type="spellStart"/>
      <w:r>
        <w:t>praimeriga</w:t>
      </w:r>
      <w:proofErr w:type="spellEnd"/>
      <w:r>
        <w:t xml:space="preserve">. Lisaks mõõdetakse selle meetodi puhul lisaks </w:t>
      </w:r>
      <w:proofErr w:type="spellStart"/>
      <w:r>
        <w:t>telomeeri</w:t>
      </w:r>
      <w:proofErr w:type="spellEnd"/>
      <w:r>
        <w:t xml:space="preserve"> </w:t>
      </w:r>
      <w:proofErr w:type="spellStart"/>
      <w:r>
        <w:t>amplifikatsiooni</w:t>
      </w:r>
      <w:proofErr w:type="spellEnd"/>
      <w:r>
        <w:t xml:space="preserve"> produktile (T) ka ühe </w:t>
      </w:r>
      <w:proofErr w:type="spellStart"/>
      <w:r w:rsidRPr="008556C6">
        <w:rPr>
          <w:i/>
        </w:rPr>
        <w:t>single-copy</w:t>
      </w:r>
      <w:proofErr w:type="spellEnd"/>
      <w:r>
        <w:t xml:space="preserve"> geeni hulk (S). Nende põhjal saadakse T/S suhe, mis korreleerub keskmise </w:t>
      </w:r>
      <w:proofErr w:type="spellStart"/>
      <w:r>
        <w:t>telomeeri</w:t>
      </w:r>
      <w:proofErr w:type="spellEnd"/>
      <w:r>
        <w:t xml:space="preserve"> pikkusega. </w:t>
      </w:r>
      <w:r>
        <w:fldChar w:fldCharType="begin" w:fldLock="1"/>
      </w:r>
      <w:r w:rsidR="004A2BD4">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Pr="008556C6">
        <w:rPr>
          <w:noProof/>
        </w:rPr>
        <w:t>(Cawthon, 2002)</w:t>
      </w:r>
      <w:r>
        <w:fldChar w:fldCharType="end"/>
      </w:r>
      <w:r>
        <w:t xml:space="preserve"> Esimese </w:t>
      </w:r>
      <w:proofErr w:type="spellStart"/>
      <w:r>
        <w:t>qPCR</w:t>
      </w:r>
      <w:proofErr w:type="spellEnd"/>
      <w:r>
        <w:t xml:space="preserve"> põhise </w:t>
      </w:r>
      <w:proofErr w:type="spellStart"/>
      <w:r>
        <w:t>telomeeride</w:t>
      </w:r>
      <w:proofErr w:type="spellEnd"/>
      <w:r>
        <w:t xml:space="preserve"> pikkuse mõõtmise meetodi puuduseks oli mõõtmise ebatäpsus mis tekib T ja S </w:t>
      </w:r>
      <w:r w:rsidR="004A2BD4">
        <w:t xml:space="preserve">võimenduste eraldi reaktsioonidest mõõtmisest. Selle ebatäpsuse vältimiseks tehakse meetodi edasiarendatud versioonis reaktsioon ühes tuubis – T signaal kogutakse PCR varajastes tsüklites, enne kui S signaal </w:t>
      </w:r>
      <w:proofErr w:type="spellStart"/>
      <w:r w:rsidR="004A2BD4">
        <w:t>detekteerimispiiri</w:t>
      </w:r>
      <w:proofErr w:type="spellEnd"/>
      <w:r w:rsidR="004A2BD4">
        <w:t xml:space="preserve"> ületab.</w:t>
      </w:r>
      <w:r w:rsidR="004A2BD4" w:rsidRPr="004A2BD4">
        <w:t xml:space="preserve"> </w:t>
      </w:r>
      <w:r w:rsidR="004A2BD4">
        <w:fldChar w:fldCharType="begin" w:fldLock="1"/>
      </w:r>
      <w:r w:rsidR="005D7B84">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4A2BD4" w:rsidRPr="004A2BD4">
        <w:rPr>
          <w:noProof/>
        </w:rPr>
        <w:t>(Cawthon, 2009)</w:t>
      </w:r>
      <w:r w:rsidR="004A2BD4">
        <w:fldChar w:fldCharType="end"/>
      </w:r>
    </w:p>
    <w:p w:rsidR="000C5483" w:rsidRDefault="005D7B84" w:rsidP="000C5483">
      <w:pPr>
        <w:pStyle w:val="Pealkiri4"/>
      </w:pPr>
      <w:r>
        <w:t xml:space="preserve">Üksiku </w:t>
      </w:r>
      <w:proofErr w:type="spellStart"/>
      <w:r>
        <w:t>telomeeri</w:t>
      </w:r>
      <w:proofErr w:type="spellEnd"/>
      <w:r>
        <w:t xml:space="preserve"> pikkuse analüüs - </w:t>
      </w:r>
      <w:r w:rsidR="004A2BD4">
        <w:t>STELA</w:t>
      </w:r>
    </w:p>
    <w:p w:rsidR="004A2BD4" w:rsidRPr="004A2BD4" w:rsidRDefault="004A2BD4" w:rsidP="004A2BD4">
      <w:r>
        <w:t xml:space="preserve">TRF ja PCR põhiste meetoditega saab mõõta vaid </w:t>
      </w:r>
      <w:proofErr w:type="spellStart"/>
      <w:r>
        <w:t>telomeeride</w:t>
      </w:r>
      <w:proofErr w:type="spellEnd"/>
      <w:r>
        <w:t xml:space="preserve"> keskmist pikkust proovist. Kuna on näidatud, et ka üksiku või mõne </w:t>
      </w:r>
      <w:proofErr w:type="spellStart"/>
      <w:r>
        <w:t>telomeeri</w:t>
      </w:r>
      <w:proofErr w:type="spellEnd"/>
      <w:r>
        <w:t xml:space="preserve"> kriitiline lühenemine võib esile kutsuda rakujagunemise lõppemist või </w:t>
      </w:r>
      <w:proofErr w:type="spellStart"/>
      <w:r>
        <w:t>apoptoosi</w:t>
      </w:r>
      <w:proofErr w:type="spellEnd"/>
      <w:r>
        <w:t xml:space="preserve">, võib üksikute </w:t>
      </w:r>
      <w:proofErr w:type="spellStart"/>
      <w:r>
        <w:t>telomeeride</w:t>
      </w:r>
      <w:proofErr w:type="spellEnd"/>
      <w:r>
        <w:t xml:space="preserve"> pikkuse mõõtmine olla rohkemate praktiliste kasutusaladega. </w:t>
      </w:r>
      <w:r w:rsidR="005D7B84">
        <w:t xml:space="preserve">STELA meetod täiendab tavalist </w:t>
      </w:r>
      <w:proofErr w:type="spellStart"/>
      <w:r w:rsidR="005D7B84">
        <w:t>qPCR</w:t>
      </w:r>
      <w:proofErr w:type="spellEnd"/>
      <w:r w:rsidR="005D7B84">
        <w:t xml:space="preserve"> põhist meetodit nii, et kasutab </w:t>
      </w:r>
      <w:proofErr w:type="spellStart"/>
      <w:r w:rsidR="005D7B84">
        <w:t>telomeeri</w:t>
      </w:r>
      <w:proofErr w:type="spellEnd"/>
      <w:r w:rsidR="005D7B84">
        <w:t xml:space="preserve">-eelsele alale seonduvat </w:t>
      </w:r>
      <w:proofErr w:type="spellStart"/>
      <w:r w:rsidR="005D7B84">
        <w:t>praimerit</w:t>
      </w:r>
      <w:proofErr w:type="spellEnd"/>
      <w:r w:rsidR="005D7B84">
        <w:t xml:space="preserve">. Selle meetodiga saab mõõta vaid </w:t>
      </w:r>
      <w:r w:rsidR="005D7B84">
        <w:lastRenderedPageBreak/>
        <w:t xml:space="preserve">nende kromosoomide </w:t>
      </w:r>
      <w:proofErr w:type="spellStart"/>
      <w:r w:rsidR="005D7B84">
        <w:t>telomeere</w:t>
      </w:r>
      <w:proofErr w:type="spellEnd"/>
      <w:r w:rsidR="005D7B84">
        <w:t xml:space="preserve">, mille </w:t>
      </w:r>
      <w:proofErr w:type="spellStart"/>
      <w:r w:rsidR="005D7B84">
        <w:t>telomeeri</w:t>
      </w:r>
      <w:proofErr w:type="spellEnd"/>
      <w:r w:rsidR="005D7B84">
        <w:t xml:space="preserve">-eelne ala on unikaalne </w:t>
      </w:r>
      <w:r w:rsidR="005D7B84" w:rsidRPr="005D7B84">
        <w:t>(</w:t>
      </w:r>
      <w:proofErr w:type="spellStart"/>
      <w:r w:rsidR="005D7B84" w:rsidRPr="005D7B84">
        <w:t>XpYp</w:t>
      </w:r>
      <w:proofErr w:type="spellEnd"/>
      <w:r w:rsidR="005D7B84" w:rsidRPr="005D7B84">
        <w:t>, 2p, 11q, 12q, and 17p)</w:t>
      </w:r>
      <w:r w:rsidR="005D7B84">
        <w:t xml:space="preserve">. </w:t>
      </w:r>
      <w:r w:rsidR="005D7B84">
        <w:fldChar w:fldCharType="begin" w:fldLock="1"/>
      </w:r>
      <w:r w:rsidR="00CE50A0">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5D7B84" w:rsidRPr="005D7B84">
        <w:rPr>
          <w:noProof/>
        </w:rPr>
        <w:t>(Montpetit et al., 2014)</w:t>
      </w:r>
      <w:r w:rsidR="005D7B84">
        <w:fldChar w:fldCharType="end"/>
      </w:r>
    </w:p>
    <w:p w:rsidR="004A2BD4" w:rsidRDefault="00532B7C" w:rsidP="004A2BD4">
      <w:pPr>
        <w:pStyle w:val="Pealkiri4"/>
      </w:pPr>
      <w:proofErr w:type="spellStart"/>
      <w:r>
        <w:t>Hübridisatsiooni</w:t>
      </w:r>
      <w:proofErr w:type="spellEnd"/>
      <w:r w:rsidR="004302F8">
        <w:t>-kaitse meetod – HPA</w:t>
      </w:r>
    </w:p>
    <w:p w:rsidR="005D7B84" w:rsidRPr="005D7B84" w:rsidRDefault="004302F8" w:rsidP="005D7B84">
      <w:r>
        <w:t xml:space="preserve">See meetod võimaldab mõõta keskmist </w:t>
      </w:r>
      <w:proofErr w:type="spellStart"/>
      <w:r>
        <w:t>telomeeride</w:t>
      </w:r>
      <w:proofErr w:type="spellEnd"/>
      <w:r>
        <w:t xml:space="preserve"> pikkust nii puhastatud DNA-st kui ka </w:t>
      </w:r>
      <w:proofErr w:type="spellStart"/>
      <w:r>
        <w:t>rakulüsaadist</w:t>
      </w:r>
      <w:proofErr w:type="spellEnd"/>
      <w:r>
        <w:t>.</w:t>
      </w:r>
      <w:r w:rsidR="00CE50A0">
        <w:t xml:space="preserve"> Erinevalt TRF meetodist, ei pea DNA </w:t>
      </w:r>
      <w:proofErr w:type="spellStart"/>
      <w:r w:rsidR="00CE50A0">
        <w:t>intaktne</w:t>
      </w:r>
      <w:proofErr w:type="spellEnd"/>
      <w:r w:rsidR="00CE50A0">
        <w:t xml:space="preserve"> olema.</w:t>
      </w:r>
      <w:r>
        <w:t xml:space="preserve"> Meetod põhineb </w:t>
      </w:r>
      <w:proofErr w:type="spellStart"/>
      <w:r>
        <w:t>telomeersete</w:t>
      </w:r>
      <w:proofErr w:type="spellEnd"/>
      <w:r>
        <w:t xml:space="preserve"> korduste töötlemises komplementaarsete </w:t>
      </w:r>
      <w:proofErr w:type="spellStart"/>
      <w:r>
        <w:t>oligonukleotiididega</w:t>
      </w:r>
      <w:proofErr w:type="spellEnd"/>
      <w:r>
        <w:t xml:space="preserve">, mis </w:t>
      </w:r>
      <w:r w:rsidR="00CE50A0">
        <w:t xml:space="preserve">on märgistatud </w:t>
      </w:r>
      <w:proofErr w:type="spellStart"/>
      <w:r w:rsidR="00CE50A0" w:rsidRPr="00CE50A0">
        <w:rPr>
          <w:i/>
        </w:rPr>
        <w:t>acridinium</w:t>
      </w:r>
      <w:proofErr w:type="spellEnd"/>
      <w:r w:rsidR="00CE50A0">
        <w:t xml:space="preserve"> est</w:t>
      </w:r>
      <w:r>
        <w:t>r</w:t>
      </w:r>
      <w:r w:rsidR="00CE50A0">
        <w:t xml:space="preserve">i molekulidega. </w:t>
      </w:r>
      <w:proofErr w:type="spellStart"/>
      <w:r w:rsidR="00CE50A0">
        <w:t>Hübridiseerumata</w:t>
      </w:r>
      <w:proofErr w:type="spellEnd"/>
      <w:r w:rsidR="00CE50A0">
        <w:t xml:space="preserve"> märgistatud </w:t>
      </w:r>
      <w:proofErr w:type="spellStart"/>
      <w:r w:rsidR="00CE50A0">
        <w:t>oligonukleotiidid</w:t>
      </w:r>
      <w:proofErr w:type="spellEnd"/>
      <w:r w:rsidR="00CE50A0">
        <w:t xml:space="preserve"> inaktiveeritakse hüdrolüüsi-lahuse abil, kuid </w:t>
      </w:r>
      <w:proofErr w:type="spellStart"/>
      <w:r w:rsidR="00CE50A0">
        <w:t>hübridiseerunud</w:t>
      </w:r>
      <w:proofErr w:type="spellEnd"/>
      <w:r w:rsidR="00CE50A0">
        <w:t xml:space="preserve"> märgised on hüdrolüüsi eest kaitstud. </w:t>
      </w:r>
      <w:proofErr w:type="spellStart"/>
      <w:r w:rsidR="00CE50A0">
        <w:t>Telomeerne</w:t>
      </w:r>
      <w:proofErr w:type="spellEnd"/>
      <w:r w:rsidR="00CE50A0">
        <w:t xml:space="preserve"> DNA-lt mõõdetakse </w:t>
      </w:r>
      <w:proofErr w:type="spellStart"/>
      <w:r w:rsidR="00CE50A0">
        <w:t>kemoluminestsents</w:t>
      </w:r>
      <w:proofErr w:type="spellEnd"/>
      <w:r w:rsidR="00CE50A0">
        <w:t xml:space="preserve">-signaal (T). Selleks, et saadud signaali põhjal </w:t>
      </w:r>
      <w:proofErr w:type="spellStart"/>
      <w:r w:rsidR="00CE50A0">
        <w:t>telomeeride</w:t>
      </w:r>
      <w:proofErr w:type="spellEnd"/>
      <w:r w:rsidR="00CE50A0">
        <w:t xml:space="preserve"> pikkust hinnata, mõõdetakse ka luminestsents-signaal, mis tekib mõne Alu-järjestusega komplementaarse märgistatud </w:t>
      </w:r>
      <w:proofErr w:type="spellStart"/>
      <w:r w:rsidR="00CE50A0">
        <w:t>oligonukleotiidiga</w:t>
      </w:r>
      <w:proofErr w:type="spellEnd"/>
      <w:r w:rsidR="00CE50A0">
        <w:t xml:space="preserve"> (A). Analoogselt </w:t>
      </w:r>
      <w:proofErr w:type="spellStart"/>
      <w:r w:rsidR="00CE50A0">
        <w:t>qPCR</w:t>
      </w:r>
      <w:proofErr w:type="spellEnd"/>
      <w:r w:rsidR="00CE50A0">
        <w:t xml:space="preserve">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7724E1">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CE50A0" w:rsidRPr="00CE50A0">
        <w:rPr>
          <w:noProof/>
        </w:rPr>
        <w:t>(Nakamura et al., 1999)</w:t>
      </w:r>
      <w:r w:rsidR="00CE50A0">
        <w:fldChar w:fldCharType="end"/>
      </w:r>
    </w:p>
    <w:p w:rsidR="005F5750" w:rsidRDefault="005F5750" w:rsidP="005F5750">
      <w:pPr>
        <w:pStyle w:val="Pealkiri3"/>
      </w:pPr>
      <w:proofErr w:type="spellStart"/>
      <w:r>
        <w:t>Telomeeride</w:t>
      </w:r>
      <w:proofErr w:type="spellEnd"/>
      <w:r>
        <w:t xml:space="preserve"> pikkuse </w:t>
      </w:r>
      <w:r w:rsidR="00AC63F8">
        <w:t xml:space="preserve">hindamine </w:t>
      </w:r>
      <w:proofErr w:type="spellStart"/>
      <w:r w:rsidR="00AC63F8">
        <w:t>sekveneerimisandmetest</w:t>
      </w:r>
      <w:proofErr w:type="spellEnd"/>
    </w:p>
    <w:p w:rsidR="00D456EA" w:rsidRPr="00D456EA" w:rsidRDefault="00D456EA" w:rsidP="00D456EA">
      <w:r>
        <w:t>DNA pimejärjestamisega (</w:t>
      </w:r>
      <w:proofErr w:type="spellStart"/>
      <w:r w:rsidRPr="00D456EA">
        <w:rPr>
          <w:i/>
        </w:rPr>
        <w:t>whole</w:t>
      </w:r>
      <w:proofErr w:type="spellEnd"/>
      <w:r w:rsidRPr="00D456EA">
        <w:rPr>
          <w:i/>
        </w:rPr>
        <w:t xml:space="preserve"> </w:t>
      </w:r>
      <w:proofErr w:type="spellStart"/>
      <w:r w:rsidRPr="00D456EA">
        <w:rPr>
          <w:i/>
        </w:rPr>
        <w:t>genome</w:t>
      </w:r>
      <w:proofErr w:type="spellEnd"/>
      <w:r w:rsidRPr="00D456EA">
        <w:rPr>
          <w:i/>
        </w:rPr>
        <w:t xml:space="preserve"> </w:t>
      </w:r>
      <w:proofErr w:type="spellStart"/>
      <w:r w:rsidRPr="00D456EA">
        <w:rPr>
          <w:i/>
        </w:rPr>
        <w:t>shotgun</w:t>
      </w:r>
      <w:proofErr w:type="spellEnd"/>
      <w:r w:rsidRPr="00D456EA">
        <w:rPr>
          <w:i/>
        </w:rPr>
        <w:t xml:space="preserve"> </w:t>
      </w:r>
      <w:proofErr w:type="spellStart"/>
      <w:r w:rsidRPr="00D456EA">
        <w:rPr>
          <w:i/>
        </w:rPr>
        <w:t>sequencing</w:t>
      </w:r>
      <w:proofErr w:type="spellEnd"/>
      <w:r>
        <w:t xml:space="preserve">) saadakse järjestused ka </w:t>
      </w:r>
      <w:proofErr w:type="spellStart"/>
      <w:r>
        <w:t>telomeersete</w:t>
      </w:r>
      <w:proofErr w:type="spellEnd"/>
      <w:r>
        <w:t xml:space="preserve"> osade kohta, kuid kuna </w:t>
      </w:r>
      <w:proofErr w:type="spellStart"/>
      <w:r>
        <w:t>telomeersed</w:t>
      </w:r>
      <w:proofErr w:type="spellEnd"/>
      <w:r>
        <w:t xml:space="preserve"> järjestused on väga korduvad, ei ole nende täpne referentsjärjestusega joondamine võimalik. </w:t>
      </w:r>
      <w:proofErr w:type="spellStart"/>
      <w:r>
        <w:t>Telomeeride</w:t>
      </w:r>
      <w:proofErr w:type="spellEnd"/>
      <w:r>
        <w:t xml:space="preserve"> pikkused on aga tuvastatavad</w:t>
      </w:r>
      <w:r w:rsidR="00BA6240">
        <w:t xml:space="preserve"> TTAGGG korduste arvu põhjal</w:t>
      </w:r>
      <w:r w:rsidR="00C33E35">
        <w:t>.</w:t>
      </w:r>
      <w:r>
        <w:t xml:space="preserve">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Mangino, Aviv, Spector, &amp; Durbin, 2014)", "plainTextFormattedCitation" : "(Ding, Mangino, Aviv, Spector, &amp; Durbin, 2014)", "previouslyFormattedCitation" : "(Ding, Mangino, Aviv, Spector, &amp; Durbin, 2014)" }, "properties" : { "noteIndex" : 0 }, "schema" : "https://github.com/citation-style-language/schema/raw/master/csl-citation.json" }</w:instrText>
      </w:r>
      <w:r w:rsidR="007724E1">
        <w:fldChar w:fldCharType="separate"/>
      </w:r>
      <w:r w:rsidR="007724E1" w:rsidRPr="007724E1">
        <w:rPr>
          <w:noProof/>
        </w:rPr>
        <w:t>(Ding, Mangino, Aviv, Spector, &amp; Durbin, 2014)</w:t>
      </w:r>
      <w:r w:rsidR="007724E1">
        <w:fldChar w:fldCharType="end"/>
      </w:r>
    </w:p>
    <w:p w:rsidR="00D76099" w:rsidRDefault="00D76099" w:rsidP="00D76099">
      <w:pPr>
        <w:pStyle w:val="Pealkiri4"/>
      </w:pPr>
      <w:proofErr w:type="spellStart"/>
      <w:r>
        <w:t>TelSeq</w:t>
      </w:r>
      <w:proofErr w:type="spellEnd"/>
    </w:p>
    <w:p w:rsidR="00D456EA" w:rsidRPr="00B22F74" w:rsidRDefault="00C33E35" w:rsidP="00D456EA">
      <w:proofErr w:type="spellStart"/>
      <w:r>
        <w:t>TelSeq</w:t>
      </w:r>
      <w:proofErr w:type="spellEnd"/>
      <w:r>
        <w:t xml:space="preserve"> tarkvara</w:t>
      </w:r>
      <w:r w:rsidR="00822B0D">
        <w:t xml:space="preserve"> </w:t>
      </w:r>
      <w:r w:rsidR="00BA6240">
        <w:t xml:space="preserve">kasutab sisendiks BAM faili. </w:t>
      </w:r>
      <w:proofErr w:type="spellStart"/>
      <w:r w:rsidR="00BA6240">
        <w:t>TelSeq</w:t>
      </w:r>
      <w:proofErr w:type="spellEnd"/>
      <w:r w:rsidR="00BA6240">
        <w:t xml:space="preserve"> loeb kokku </w:t>
      </w:r>
      <w:proofErr w:type="spellStart"/>
      <w:r w:rsidR="00BA6240">
        <w:t>telomeerseid</w:t>
      </w:r>
      <w:proofErr w:type="spellEnd"/>
      <w:r w:rsidR="00BA6240">
        <w:t xml:space="preserve"> järjestusi sisaldavad </w:t>
      </w:r>
      <w:proofErr w:type="spellStart"/>
      <w:r w:rsidR="00BA6240" w:rsidRPr="00BA6240">
        <w:rPr>
          <w:i/>
        </w:rPr>
        <w:t>read</w:t>
      </w:r>
      <w:r w:rsidR="00BA6240">
        <w:t>id</w:t>
      </w:r>
      <w:proofErr w:type="spellEnd"/>
      <w:r w:rsidR="00BA6240">
        <w:t xml:space="preserve"> ning hindab </w:t>
      </w:r>
      <w:proofErr w:type="spellStart"/>
      <w:r w:rsidR="00BA6240">
        <w:t>telomeeri</w:t>
      </w:r>
      <w:proofErr w:type="spellEnd"/>
      <w:r w:rsidR="00BA6240">
        <w:t xml:space="preserve"> füüsilist pikkust valemi </w:t>
      </w:r>
      <w:r w:rsidR="00BA6240" w:rsidRPr="00BA6240">
        <w:rPr>
          <w:i/>
        </w:rPr>
        <w:t>l=</w:t>
      </w:r>
      <w:proofErr w:type="spellStart"/>
      <w:r w:rsidR="00BA6240" w:rsidRPr="00BA6240">
        <w:rPr>
          <w:i/>
        </w:rPr>
        <w:t>t</w:t>
      </w:r>
      <w:r w:rsidR="00BA6240" w:rsidRPr="00BA6240">
        <w:rPr>
          <w:i/>
          <w:vertAlign w:val="subscript"/>
        </w:rPr>
        <w:t>k</w:t>
      </w:r>
      <w:r w:rsidR="00BA6240" w:rsidRPr="00BA6240">
        <w:rPr>
          <w:i/>
        </w:rPr>
        <w:t>sc</w:t>
      </w:r>
      <w:proofErr w:type="spellEnd"/>
      <w:r w:rsidR="00BA6240">
        <w:t xml:space="preserve"> järgi, kus l on hinnatav pikkus, </w:t>
      </w:r>
      <w:r w:rsidR="00BA6240" w:rsidRPr="00BA6240">
        <w:rPr>
          <w:i/>
        </w:rPr>
        <w:t>t</w:t>
      </w:r>
      <w:r w:rsidR="00BA6240" w:rsidRPr="00BA6240">
        <w:rPr>
          <w:i/>
          <w:vertAlign w:val="subscript"/>
        </w:rPr>
        <w:t>k</w:t>
      </w:r>
      <w:r w:rsidR="00BA6240">
        <w:t xml:space="preserve"> on </w:t>
      </w:r>
      <w:proofErr w:type="spellStart"/>
      <w:r w:rsidR="00BA6240">
        <w:t>telomeersete</w:t>
      </w:r>
      <w:proofErr w:type="spellEnd"/>
      <w:r w:rsidR="00BA6240">
        <w:t xml:space="preserve"> korduste hulk läve </w:t>
      </w:r>
      <w:r w:rsidR="00BA6240" w:rsidRPr="00BA6240">
        <w:rPr>
          <w:i/>
        </w:rPr>
        <w:t>k</w:t>
      </w:r>
      <w:r w:rsidR="00BA6240">
        <w:t xml:space="preserve"> juures, s on suurusfaktor, </w:t>
      </w:r>
      <w:r w:rsidR="00B22F74">
        <w:t xml:space="preserve">ning c on genoomi pikkus jagatud </w:t>
      </w:r>
      <w:proofErr w:type="spellStart"/>
      <w:r w:rsidR="00B22F74">
        <w:t>telomeeri</w:t>
      </w:r>
      <w:proofErr w:type="spellEnd"/>
      <w:r w:rsidR="00B22F74">
        <w:t xml:space="preserve"> otste (</w:t>
      </w:r>
      <w:r w:rsidR="00B22F74" w:rsidRPr="00B22F74">
        <w:t>23×2</w:t>
      </w:r>
      <w:r w:rsidR="00B22F74">
        <w:t>) arvuga</w:t>
      </w:r>
      <w:r w:rsidR="00BA6240">
        <w:t>.</w:t>
      </w:r>
      <w:r w:rsidR="00B22F74">
        <w:t xml:space="preserve"> Suurusfaktori väärtuseks valitakse nende </w:t>
      </w:r>
      <w:proofErr w:type="spellStart"/>
      <w:r w:rsidR="00B22F74">
        <w:t>readide</w:t>
      </w:r>
      <w:proofErr w:type="spellEnd"/>
      <w:r w:rsidR="00B22F74">
        <w:t xml:space="preserve"> arv, kus GC sisaldus on 48% kuni 52%.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7724E1" w:rsidRPr="007724E1">
        <w:rPr>
          <w:noProof/>
        </w:rPr>
        <w:t>(Ding et al., 2014)</w:t>
      </w:r>
      <w:r w:rsidR="007724E1">
        <w:fldChar w:fldCharType="end"/>
      </w:r>
    </w:p>
    <w:p w:rsidR="0021784E" w:rsidRDefault="00D955E3" w:rsidP="00D76099">
      <w:pPr>
        <w:pStyle w:val="Pealkiri4"/>
      </w:pPr>
      <w:proofErr w:type="spellStart"/>
      <w:r>
        <w:t>Computel</w:t>
      </w:r>
      <w:proofErr w:type="spellEnd"/>
    </w:p>
    <w:p w:rsidR="00B22F74" w:rsidRDefault="00933707" w:rsidP="00B22F74">
      <w:proofErr w:type="spellStart"/>
      <w:r>
        <w:t>C</w:t>
      </w:r>
      <w:r w:rsidR="00F17780">
        <w:t>omputel</w:t>
      </w:r>
      <w:proofErr w:type="spellEnd"/>
      <w:r w:rsidR="00F17780">
        <w:t xml:space="preserve"> tarkvara joondab </w:t>
      </w:r>
      <w:proofErr w:type="spellStart"/>
      <w:r w:rsidR="00F17780" w:rsidRPr="00F17780">
        <w:rPr>
          <w:i/>
        </w:rPr>
        <w:t>read</w:t>
      </w:r>
      <w:r w:rsidR="00F17780">
        <w:t>id</w:t>
      </w:r>
      <w:proofErr w:type="spellEnd"/>
      <w:r w:rsidR="00F17780">
        <w:t xml:space="preserve"> </w:t>
      </w:r>
      <w:proofErr w:type="spellStart"/>
      <w:r w:rsidR="00F17780">
        <w:t>telomeerse</w:t>
      </w:r>
      <w:proofErr w:type="spellEnd"/>
      <w:r w:rsidR="00F17780">
        <w:t xml:space="preserve"> järjestuse indeksiga. Selleks, et täiesti kõik </w:t>
      </w:r>
      <w:proofErr w:type="spellStart"/>
      <w:r w:rsidR="00F17780">
        <w:t>telomeersed</w:t>
      </w:r>
      <w:proofErr w:type="spellEnd"/>
      <w:r w:rsidR="00F17780">
        <w:t xml:space="preserve"> </w:t>
      </w:r>
      <w:proofErr w:type="spellStart"/>
      <w:r w:rsidR="00F17780" w:rsidRPr="00F17780">
        <w:rPr>
          <w:i/>
        </w:rPr>
        <w:t>read</w:t>
      </w:r>
      <w:r w:rsidR="00F17780">
        <w:t>id</w:t>
      </w:r>
      <w:proofErr w:type="spellEnd"/>
      <w:r w:rsidR="00F17780">
        <w:t xml:space="preserve"> arvutusel arvesse võetaks, koostatakse indeks nii, et loetaks ka neid </w:t>
      </w:r>
      <w:proofErr w:type="spellStart"/>
      <w:r w:rsidR="00F17780" w:rsidRPr="00F17780">
        <w:rPr>
          <w:i/>
        </w:rPr>
        <w:t>read</w:t>
      </w:r>
      <w:r w:rsidR="00F17780">
        <w:t>e</w:t>
      </w:r>
      <w:proofErr w:type="spellEnd"/>
      <w:r w:rsidR="00F17780">
        <w:t xml:space="preserve">, mis sisaldavad </w:t>
      </w:r>
      <w:proofErr w:type="spellStart"/>
      <w:r w:rsidR="00F17780">
        <w:t>subtelomeerseid</w:t>
      </w:r>
      <w:proofErr w:type="spellEnd"/>
      <w:r w:rsidR="00F17780">
        <w:t xml:space="preserve"> osi. Ka arvestab programm </w:t>
      </w:r>
      <w:proofErr w:type="spellStart"/>
      <w:r w:rsidR="00F17780">
        <w:t>telomeersete</w:t>
      </w:r>
      <w:proofErr w:type="spellEnd"/>
      <w:r w:rsidR="00F17780">
        <w:t xml:space="preserve"> järjestuste joondamisel </w:t>
      </w:r>
      <w:proofErr w:type="spellStart"/>
      <w:r w:rsidR="00F17780">
        <w:t>sekveneerimsvigadega</w:t>
      </w:r>
      <w:proofErr w:type="spellEnd"/>
      <w:r w:rsidR="00F17780">
        <w:t xml:space="preserve">. Keskmine </w:t>
      </w:r>
      <w:proofErr w:type="spellStart"/>
      <w:r w:rsidR="00F17780">
        <w:t>telomeeride</w:t>
      </w:r>
      <w:proofErr w:type="spellEnd"/>
      <w:r w:rsidR="00F17780">
        <w:t xml:space="preserve"> pikkus arvutatakse valemiga </w:t>
      </w:r>
      <w:r w:rsidR="001F520C">
        <w:t>MTL=(</w:t>
      </w:r>
      <w:proofErr w:type="spellStart"/>
      <w:r w:rsidR="001F520C">
        <w:t>mean</w:t>
      </w:r>
      <w:proofErr w:type="spellEnd"/>
      <w:r w:rsidR="001F520C">
        <w:t>(</w:t>
      </w:r>
      <w:proofErr w:type="spellStart"/>
      <w:r w:rsidR="001F520C">
        <w:t>rel.cov</w:t>
      </w:r>
      <w:proofErr w:type="spellEnd"/>
      <w:r w:rsidR="001F520C">
        <w:t>)) * (rl+pl-1)/(2*</w:t>
      </w:r>
      <w:proofErr w:type="spellStart"/>
      <w:r w:rsidR="001F520C">
        <w:t>n_chr</w:t>
      </w:r>
      <w:proofErr w:type="spellEnd"/>
      <w:r w:rsidR="001F520C">
        <w:t xml:space="preserve">), kus </w:t>
      </w:r>
      <w:proofErr w:type="spellStart"/>
      <w:r w:rsidR="001F520C">
        <w:t>rel.cov</w:t>
      </w:r>
      <w:proofErr w:type="spellEnd"/>
      <w:r w:rsidR="001F520C">
        <w:t xml:space="preserve"> on baaskatvuse (</w:t>
      </w:r>
      <w:proofErr w:type="spellStart"/>
      <w:r w:rsidR="001F520C">
        <w:t>readide</w:t>
      </w:r>
      <w:proofErr w:type="spellEnd"/>
      <w:r w:rsidR="001F520C">
        <w:t xml:space="preserve"> arv) * (</w:t>
      </w:r>
      <w:proofErr w:type="spellStart"/>
      <w:r w:rsidR="001F520C">
        <w:t>readi</w:t>
      </w:r>
      <w:proofErr w:type="spellEnd"/>
      <w:r w:rsidR="001F520C">
        <w:t xml:space="preserve"> pikkus) / (genoomi pikkus) ning </w:t>
      </w:r>
      <w:proofErr w:type="spellStart"/>
      <w:r w:rsidR="001F520C">
        <w:t>telomeerse</w:t>
      </w:r>
      <w:proofErr w:type="spellEnd"/>
      <w:r w:rsidR="001F520C">
        <w:t xml:space="preserve"> katvuse (mitu </w:t>
      </w:r>
      <w:proofErr w:type="spellStart"/>
      <w:r w:rsidR="001F520C">
        <w:t>read’i</w:t>
      </w:r>
      <w:proofErr w:type="spellEnd"/>
      <w:r w:rsidR="001F520C">
        <w:t xml:space="preserve"> indeksiga joondati) suhe; </w:t>
      </w:r>
      <w:proofErr w:type="spellStart"/>
      <w:r w:rsidR="001F520C">
        <w:t>rl</w:t>
      </w:r>
      <w:proofErr w:type="spellEnd"/>
      <w:r w:rsidR="001F520C">
        <w:t xml:space="preserve"> </w:t>
      </w:r>
      <w:r w:rsidR="001F520C">
        <w:lastRenderedPageBreak/>
        <w:t xml:space="preserve">on </w:t>
      </w:r>
      <w:proofErr w:type="spellStart"/>
      <w:r w:rsidR="001F520C">
        <w:t>readi</w:t>
      </w:r>
      <w:proofErr w:type="spellEnd"/>
      <w:r w:rsidR="001F520C">
        <w:t xml:space="preserve"> pikkus, </w:t>
      </w:r>
      <w:proofErr w:type="spellStart"/>
      <w:r w:rsidR="001F520C">
        <w:t>pl</w:t>
      </w:r>
      <w:proofErr w:type="spellEnd"/>
      <w:r w:rsidR="001F520C">
        <w:t xml:space="preserve"> on indeksi </w:t>
      </w:r>
      <w:proofErr w:type="spellStart"/>
      <w:r w:rsidR="001F520C">
        <w:t>telomeerse</w:t>
      </w:r>
      <w:proofErr w:type="spellEnd"/>
      <w:r w:rsidR="001F520C">
        <w:t xml:space="preserve"> osa pikkus ning </w:t>
      </w:r>
      <w:proofErr w:type="spellStart"/>
      <w:r w:rsidR="001F520C">
        <w:t>n_chr</w:t>
      </w:r>
      <w:proofErr w:type="spellEnd"/>
      <w:r w:rsidR="001F520C">
        <w:t xml:space="preserve"> on kromosoomide arv.</w:t>
      </w:r>
      <w:r w:rsidR="003639E3">
        <w:t xml:space="preserve"> </w:t>
      </w:r>
      <w:r w:rsidR="003639E3">
        <w:fldChar w:fldCharType="begin" w:fldLock="1"/>
      </w:r>
      <w:r w:rsidR="00542E73">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&amp; Arakelyan, 2015)", "plainTextFormattedCitation" : "(Nersisyan &amp; Arakelyan, 2015)", "previouslyFormattedCitation" : "(Nersisyan &amp; Arakelyan, 2015)" }, "properties" : { "noteIndex" : 0 }, "schema" : "https://github.com/citation-style-language/schema/raw/master/csl-citation.json" }</w:instrText>
      </w:r>
      <w:r w:rsidR="003639E3">
        <w:fldChar w:fldCharType="separate"/>
      </w:r>
      <w:r w:rsidR="003639E3" w:rsidRPr="003639E3">
        <w:rPr>
          <w:noProof/>
        </w:rPr>
        <w:t>(Nersisyan &amp; Arakelyan, 2015)</w:t>
      </w:r>
      <w:r w:rsidR="003639E3">
        <w:fldChar w:fldCharType="end"/>
      </w:r>
    </w:p>
    <w:p w:rsidR="00431C81" w:rsidRDefault="00431C81" w:rsidP="00431C81">
      <w:pPr>
        <w:pStyle w:val="Pealkiri2"/>
      </w:pPr>
      <w:r>
        <w:t>Alu elemendid</w:t>
      </w:r>
    </w:p>
    <w:p w:rsidR="00790FA3" w:rsidRPr="00790FA3" w:rsidRDefault="00D17134" w:rsidP="00790FA3">
      <w:r>
        <w:t xml:space="preserve">Alu elemendid on </w:t>
      </w:r>
      <w:r w:rsidR="007024A3">
        <w:t xml:space="preserve">inimese genoomis esinevad korduvjärjestused, mille koopiaarv on üle miljoni. Alu elemente on erinevaid ning need jaotuvad järjestuse järgi erinevatesse perekondadesse. </w:t>
      </w:r>
      <w:r w:rsidR="00262378">
        <w:t xml:space="preserve">Alu-elemendid on </w:t>
      </w:r>
      <w:proofErr w:type="spellStart"/>
      <w:r w:rsidR="00262378">
        <w:t>reptroposoonsed</w:t>
      </w:r>
      <w:proofErr w:type="spellEnd"/>
      <w:r w:rsidR="00262378">
        <w:t>.</w:t>
      </w:r>
      <w:r w:rsidR="00790E23">
        <w:t xml:space="preserve"> </w:t>
      </w:r>
      <w:r w:rsidR="00C3222D">
        <w:fldChar w:fldCharType="begin" w:fldLock="1"/>
      </w:r>
      <w:r w:rsidR="00C3222D">
        <w:instrText>ADDIN CSL_CITATION { "citationItems" : [ { "id" : "ITEM-1", "itemData" : { "ISBN" : "0016-6731 (Print)\\n0016-6731 (Linking)", "ISSN" : "00166731", "PMID" : "11560904", "abstract" : "Genomic database mining has been a very useful aid in the identification and retrieval of recently integrated Alu elements from the human genome. We analyzed Alu elements retrieved from the GenBank database and identified two new Alu subfamilies, Alu Yb9 and Alu Yc2, and further characterized Yc1 subfamily members. Some members of each of the three subfamilies have inserted in the human genome so recently that about a one-third of the analyzed elements are polymorphic for the presence/absence of the Alu repeat in diverse human populations. These newly identified Alu insertion polymorphisms will serve as identical-by-descent genetic markers for the study of human evolution and forensics. Three previously classified Alu Y elements linked with disease belong to the Yc1 subfamily, supporting the retroposition potential of this subfamily and demonstrating that the Alu Y subfamily currently has a very low amplification rate in the human genome.", "author" : [ { "dropping-particle" : "", "family" : "Roy-Engel", "given" : "Astrid M", "non-dropping-particle" : "", "parse-names" : false, "suffix" : "" }, { "dropping-particle" : "", "family" : "Carroll", "given" : "Marion L", "non-dropping-particle" : "", "parse-names" : false, "suffix" : "" }, { "dropping-particle" : "", "family" : "Vogel", "given" : "Erika", "non-dropping-particle" : "", "parse-names" : false, "suffix" : "" }, { "dropping-particle" : "", "family" : "Garber", "given" : "Randall K", "non-dropping-particle" : "", "parse-names" : false, "suffix" : "" }, { "dropping-particle" : "V", "family" : "Nguyen", "given" : "Son", "non-dropping-particle" : "", "parse-names" : false, "suffix" : "" }, { "dropping-particle" : "", "family" : "Salem", "given" : "Abdel Halim", "non-dropping-particle" : "", "parse-names" : false, "suffix" : "" }, { "dropping-particle" : "", "family" : "Batzer", "given" : "Mark A", "non-dropping-particle" : "", "parse-names" : false, "suffix" : "" }, { "dropping-particle" : "", "family" : "Deininger", "given" : "Prescott L", "non-dropping-particle" : "", "parse-names" : false, "suffix" : "" } ], "container-title" : "Genetics", "id" : "ITEM-1", "issue" : "1", "issued" : { "date-parts" : [ [ "2001" ] ] }, "page" : "279-290", "title" : "Alu insertion polymorphisms for the study of human genomic diversity", "type" : "article-journal", "volume" : "159" }, "uris" : [ "http://www.mendeley.com/documents/?uuid=b28a8333-5025-3603-b3d8-c4a4214cd166" ] } ], "mendeley" : { "formattedCitation" : "(Roy-Engel et al., 2001)", "plainTextFormattedCitation" : "(Roy-Engel et al., 2001)" }, "properties" : { "noteIndex" : 0 }, "schema" : "https://github.com/citation-style-language/schema/raw/master/csl-citation.json" }</w:instrText>
      </w:r>
      <w:r w:rsidR="00C3222D">
        <w:fldChar w:fldCharType="separate"/>
      </w:r>
      <w:r w:rsidR="00C3222D" w:rsidRPr="00C3222D">
        <w:rPr>
          <w:noProof/>
        </w:rPr>
        <w:t>(Roy-Engel et al., 2001)</w:t>
      </w:r>
      <w:r w:rsidR="00C3222D">
        <w:fldChar w:fldCharType="end"/>
      </w:r>
    </w:p>
    <w:p w:rsidR="007764F9" w:rsidRDefault="007764F9" w:rsidP="007764F9">
      <w:pPr>
        <w:pStyle w:val="Pealkiri2"/>
      </w:pPr>
      <w:r>
        <w:t xml:space="preserve">Teise põlvkonna </w:t>
      </w:r>
      <w:proofErr w:type="spellStart"/>
      <w:r>
        <w:t>sekveneerimisandmed</w:t>
      </w:r>
      <w:proofErr w:type="spellEnd"/>
    </w:p>
    <w:p w:rsidR="007764F9" w:rsidRDefault="004C0BC0" w:rsidP="007764F9">
      <w:r>
        <w:t xml:space="preserve">1970ndatel aastatel töötati välja </w:t>
      </w:r>
      <w:r w:rsidR="00FC7F42">
        <w:t xml:space="preserve">DNA </w:t>
      </w:r>
      <w:proofErr w:type="spellStart"/>
      <w:r w:rsidR="00FC7F42">
        <w:t>fragmenteerimisel</w:t>
      </w:r>
      <w:proofErr w:type="spellEnd"/>
      <w:r w:rsidR="00FC7F42">
        <w:t xml:space="preserve"> ja ahela </w:t>
      </w:r>
      <w:proofErr w:type="spellStart"/>
      <w:r w:rsidR="00FC7F42">
        <w:t>termineerimisel</w:t>
      </w:r>
      <w:proofErr w:type="spellEnd"/>
      <w:r w:rsidR="00FC7F42">
        <w:t xml:space="preserve"> põhinev meetod DNA </w:t>
      </w:r>
      <w:proofErr w:type="spellStart"/>
      <w:r w:rsidR="00FC7F42">
        <w:t>sekveneerimiseks</w:t>
      </w:r>
      <w:proofErr w:type="spellEnd"/>
      <w:r w:rsidR="00FC7F42">
        <w:t xml:space="preserve">. Seda meetodit nimetatakse Sangeri </w:t>
      </w:r>
      <w:proofErr w:type="spellStart"/>
      <w:r w:rsidR="00FC7F42">
        <w:t>sekvneerimiseks</w:t>
      </w:r>
      <w:proofErr w:type="spellEnd"/>
      <w:r w:rsidR="00FC7F42">
        <w:t xml:space="preserve">. Aastaks 2004 sekveneeriti selle meetodiga inimese genoom. </w:t>
      </w:r>
      <w:r w:rsidR="00FC7F42">
        <w:fldChar w:fldCharType="begin" w:fldLock="1"/>
      </w:r>
      <w:r w:rsidR="00FC7F42">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L\u00e8 Ne Auger, Jaszczyszyn, &amp; Thermes, 2014)", "plainTextFormattedCitation" : "(Van Dijk, L\u00e8 Ne Auger, Jaszczyszyn, &amp; Thermes, 2014)", "previouslyFormattedCitation" : "(Van Dijk, L\u00e8 Ne Auger, Jaszczyszyn, &amp; Thermes, 2014)" }, "properties" : { "noteIndex" : 0 }, "schema" : "https://github.com/citation-style-language/schema/raw/master/csl-citation.json" }</w:instrText>
      </w:r>
      <w:r w:rsidR="00FC7F42">
        <w:fldChar w:fldCharType="separate"/>
      </w:r>
      <w:r w:rsidR="00FC7F42" w:rsidRPr="00FC7F42">
        <w:rPr>
          <w:noProof/>
        </w:rPr>
        <w:t>(Van Dijk, Lè Ne Auger, Jaszczyszyn, &amp; Thermes, 2014)</w:t>
      </w:r>
      <w:r w:rsidR="00FC7F42">
        <w:fldChar w:fldCharType="end"/>
      </w:r>
    </w:p>
    <w:p w:rsidR="00FC7F42" w:rsidRDefault="00FC7F42" w:rsidP="007764F9">
      <w:r>
        <w:t xml:space="preserve">Teise põlvkonna </w:t>
      </w:r>
      <w:proofErr w:type="spellStart"/>
      <w:r>
        <w:t>sekveneerimismeetodite</w:t>
      </w:r>
      <w:proofErr w:type="spellEnd"/>
      <w:r>
        <w:t xml:space="preserve"> (NGS – </w:t>
      </w:r>
      <w:proofErr w:type="spellStart"/>
      <w:r w:rsidRPr="00FC7F42">
        <w:rPr>
          <w:i/>
        </w:rPr>
        <w:t>next</w:t>
      </w:r>
      <w:proofErr w:type="spellEnd"/>
      <w:r w:rsidRPr="00FC7F42">
        <w:rPr>
          <w:i/>
        </w:rPr>
        <w:t xml:space="preserve"> </w:t>
      </w:r>
      <w:proofErr w:type="spellStart"/>
      <w:r w:rsidRPr="00FC7F42">
        <w:rPr>
          <w:i/>
        </w:rPr>
        <w:t>generation</w:t>
      </w:r>
      <w:proofErr w:type="spellEnd"/>
      <w:r w:rsidRPr="00FC7F42">
        <w:rPr>
          <w:i/>
        </w:rPr>
        <w:t xml:space="preserve"> </w:t>
      </w:r>
      <w:proofErr w:type="spellStart"/>
      <w:r w:rsidRPr="00FC7F42">
        <w:rPr>
          <w:i/>
        </w:rPr>
        <w:t>sequencing</w:t>
      </w:r>
      <w:proofErr w:type="spellEnd"/>
      <w:r>
        <w:t xml:space="preserve">) puhul kasutatakse DNA bakteriaalse kloonimise asemel rakuvaba süsteemi. Ka võimaldavad NGS tehnoloogiad miljoneid </w:t>
      </w:r>
      <w:proofErr w:type="spellStart"/>
      <w:r>
        <w:t>sekveneerimisreaktsioone</w:t>
      </w:r>
      <w:proofErr w:type="spellEnd"/>
      <w:r>
        <w:t xml:space="preserve"> paralleelselt jooksutada ning väljundi </w:t>
      </w:r>
      <w:proofErr w:type="spellStart"/>
      <w:r>
        <w:t>dekteerimiseks</w:t>
      </w:r>
      <w:proofErr w:type="spellEnd"/>
      <w:r>
        <w:t xml:space="preserve"> pole, erinevalt Sangeri meetodist, geelelektroforeesi vaja. Samas on NGS puuduseks lühikesed väljundjärjestused (</w:t>
      </w:r>
      <w:proofErr w:type="spellStart"/>
      <w:r>
        <w:t>ingk</w:t>
      </w:r>
      <w:proofErr w:type="spellEnd"/>
      <w:r>
        <w:t xml:space="preserve">. </w:t>
      </w:r>
      <w:r w:rsidRPr="00FC7F42">
        <w:rPr>
          <w:i/>
        </w:rPr>
        <w:t>read</w:t>
      </w:r>
      <w:r>
        <w:t>)</w:t>
      </w:r>
      <w:r w:rsidR="00712C48">
        <w:t>, mis teevad uute genoomide kokkupanemise või joondamise keerukaks.</w:t>
      </w:r>
      <w:r>
        <w:t xml:space="preserve"> </w:t>
      </w:r>
      <w:r>
        <w:fldChar w:fldCharType="begin" w:fldLock="1"/>
      </w:r>
      <w:r w:rsidR="0098528A">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Pr="00FC7F42">
        <w:rPr>
          <w:noProof/>
        </w:rPr>
        <w:t>(Van Dijk et al., 2014)</w:t>
      </w:r>
      <w:r>
        <w:fldChar w:fldCharType="end"/>
      </w:r>
    </w:p>
    <w:p w:rsidR="00FC7F42" w:rsidRDefault="00FC7F42" w:rsidP="007764F9">
      <w:r>
        <w:t xml:space="preserve">Tänapäeval on populaarseim NGS platvorm </w:t>
      </w:r>
      <w:proofErr w:type="spellStart"/>
      <w:r w:rsidR="00712C48">
        <w:t>Illumina</w:t>
      </w:r>
      <w:proofErr w:type="spellEnd"/>
      <w:r w:rsidR="00712C48">
        <w:t xml:space="preserve"> </w:t>
      </w:r>
      <w:proofErr w:type="spellStart"/>
      <w:r w:rsidR="00712C48">
        <w:t>sekveneerimismasinad</w:t>
      </w:r>
      <w:proofErr w:type="spellEnd"/>
      <w:r w:rsidR="00712C48">
        <w:t xml:space="preserve">. DNA paljundamiseks on vaja kolme komponenti – matriitsahelat, vabu nukleiinhappeid ning DNA polümeraasi. </w:t>
      </w:r>
      <w:proofErr w:type="spellStart"/>
      <w:r w:rsidR="00712C48">
        <w:t>Illumina</w:t>
      </w:r>
      <w:proofErr w:type="spellEnd"/>
      <w:r w:rsidR="00712C48">
        <w:t xml:space="preserve"> süsteem kasutab klaasplaadikest, kuhu on kinnit</w:t>
      </w:r>
      <w:r w:rsidR="0093004F">
        <w:t>atud miljoneid erinevaid matrii</w:t>
      </w:r>
      <w:r w:rsidR="00712C48">
        <w:t>t</w:t>
      </w:r>
      <w:r w:rsidR="0093004F">
        <w:t>s</w:t>
      </w:r>
      <w:r w:rsidR="00712C48">
        <w: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w:t>
      </w:r>
      <w:proofErr w:type="spellStart"/>
      <w:r w:rsidR="0098528A">
        <w:t>tehaks</w:t>
      </w:r>
      <w:proofErr w:type="spellEnd"/>
      <w:r w:rsidR="0098528A">
        <w:t xml:space="preserve"> plaadist pilt ja loetakse </w:t>
      </w:r>
      <w:proofErr w:type="spellStart"/>
      <w:r w:rsidR="0098528A">
        <w:t>flurestsentssignaalid</w:t>
      </w:r>
      <w:proofErr w:type="spellEnd"/>
      <w:r w:rsidR="0098528A">
        <w:t xml:space="preserve">. </w:t>
      </w:r>
      <w:r w:rsidR="0098528A">
        <w:fldChar w:fldCharType="begin" w:fldLock="1"/>
      </w:r>
      <w:r w:rsidR="00F81BEA">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Evans, &amp; Lieber, 2015)", "plainTextFormattedCitation" : "(Muzzey, Evans, &amp; Lieber, 2015)", "previouslyFormattedCitation" : "(Muzzey, Evans, &amp; Lieber, 2015)" }, "properties" : { "noteIndex" : 0 }, "schema" : "https://github.com/citation-style-language/schema/raw/master/csl-citation.json" }</w:instrText>
      </w:r>
      <w:r w:rsidR="0098528A">
        <w:fldChar w:fldCharType="separate"/>
      </w:r>
      <w:r w:rsidR="0098528A" w:rsidRPr="0098528A">
        <w:rPr>
          <w:noProof/>
        </w:rPr>
        <w:t>(Muzzey, Evans, &amp; Lieber, 2015)</w:t>
      </w:r>
      <w:r w:rsidR="0098528A">
        <w:fldChar w:fldCharType="end"/>
      </w:r>
    </w:p>
    <w:p w:rsidR="0098528A" w:rsidRDefault="0098528A" w:rsidP="007764F9">
      <w:r>
        <w:t xml:space="preserve">Kõikide </w:t>
      </w:r>
      <w:proofErr w:type="spellStart"/>
      <w:r>
        <w:t>Illumina</w:t>
      </w:r>
      <w:proofErr w:type="spellEnd"/>
      <w:r>
        <w:t xml:space="preserve"> uuemate seadmetega saab </w:t>
      </w:r>
      <w:proofErr w:type="spellStart"/>
      <w:r>
        <w:t>sekveneerimistulemuseks</w:t>
      </w:r>
      <w:proofErr w:type="spellEnd"/>
      <w:r>
        <w:t xml:space="preserve"> </w:t>
      </w:r>
      <w:proofErr w:type="spellStart"/>
      <w:r w:rsidRPr="0098528A">
        <w:rPr>
          <w:i/>
        </w:rPr>
        <w:t>paired</w:t>
      </w:r>
      <w:proofErr w:type="spellEnd"/>
      <w:r w:rsidRPr="0098528A">
        <w:rPr>
          <w:i/>
        </w:rPr>
        <w:t xml:space="preserve">-end </w:t>
      </w:r>
      <w:proofErr w:type="spellStart"/>
      <w:r w:rsidRPr="0098528A">
        <w:rPr>
          <w:i/>
        </w:rPr>
        <w:t>read</w:t>
      </w:r>
      <w:r>
        <w:t>id</w:t>
      </w:r>
      <w:proofErr w:type="spellEnd"/>
      <w:r>
        <w:t xml:space="preserve">. See tähendab, et pikemast DNA lõigust </w:t>
      </w:r>
      <w:proofErr w:type="spellStart"/>
      <w:r>
        <w:t>sekveneeritakse</w:t>
      </w:r>
      <w:proofErr w:type="spellEnd"/>
      <w:r>
        <w:t xml:space="preserve"> ära kaks otsa</w:t>
      </w:r>
      <w:r w:rsidR="006B5E24">
        <w:t xml:space="preserve"> ning on teada mitu nukleotiidi on nende kahe otsa vahel</w:t>
      </w:r>
      <w:r>
        <w:t>.</w:t>
      </w:r>
      <w:r w:rsidR="006B5E24">
        <w:t xml:space="preserve"> See meetod vähendab NGS küllalt lühikeste </w:t>
      </w:r>
      <w:proofErr w:type="spellStart"/>
      <w:r w:rsidR="006B5E24">
        <w:t>readide</w:t>
      </w:r>
      <w:proofErr w:type="spellEnd"/>
      <w:r w:rsidR="006B5E24">
        <w:t xml:space="preserve"> joondamise keerukust ning võimaldab </w:t>
      </w:r>
      <w:proofErr w:type="spellStart"/>
      <w:r w:rsidR="006B5E24">
        <w:t>detekteerida</w:t>
      </w:r>
      <w:proofErr w:type="spellEnd"/>
      <w:r w:rsidR="006B5E24">
        <w:t xml:space="preserve"> </w:t>
      </w:r>
      <w:proofErr w:type="spellStart"/>
      <w:r w:rsidR="006B5E24">
        <w:t>insertsioone</w:t>
      </w:r>
      <w:proofErr w:type="spellEnd"/>
      <w:r w:rsidR="006B5E24">
        <w:t xml:space="preserve">, </w:t>
      </w:r>
      <w:proofErr w:type="spellStart"/>
      <w:r w:rsidR="006B5E24">
        <w:t>deletsioone</w:t>
      </w:r>
      <w:proofErr w:type="spellEnd"/>
      <w:r w:rsidR="006B5E24">
        <w:t xml:space="preserve"> ning korduvaid järjestusi. (</w:t>
      </w:r>
      <w:hyperlink r:id="rId7" w:history="1">
        <w:r w:rsidR="006B5E24" w:rsidRPr="0022733E">
          <w:rPr>
            <w:rStyle w:val="Hperlink"/>
          </w:rPr>
          <w:t>https://www.illumina.com/technology/next-generation-sequencing/paired-end-sequencing_assay.html</w:t>
        </w:r>
      </w:hyperlink>
      <w:r w:rsidR="006B5E24">
        <w:t xml:space="preserve">) </w:t>
      </w:r>
    </w:p>
    <w:p w:rsidR="005A6DDA" w:rsidRDefault="005A6DDA" w:rsidP="005A6DDA">
      <w:pPr>
        <w:pStyle w:val="Pealkiri3"/>
      </w:pPr>
      <w:proofErr w:type="spellStart"/>
      <w:r>
        <w:lastRenderedPageBreak/>
        <w:t>Sekveneerimiskvaliteet</w:t>
      </w:r>
      <w:proofErr w:type="spellEnd"/>
    </w:p>
    <w:p w:rsidR="00CD6317" w:rsidRDefault="00E84F2D" w:rsidP="00CD6317">
      <w:r>
        <w:t xml:space="preserve">NGS protsessi viimane samm on fluorestsentssignaali põhjal </w:t>
      </w:r>
      <w:r w:rsidR="00C94B0C">
        <w:t>nukleotiidi</w:t>
      </w:r>
      <w:r>
        <w:t xml:space="preserve"> – A, T, C või G määramine, </w:t>
      </w:r>
      <w:proofErr w:type="spellStart"/>
      <w:r w:rsidRPr="00E84F2D">
        <w:rPr>
          <w:i/>
        </w:rPr>
        <w:t>base-calling</w:t>
      </w:r>
      <w:proofErr w:type="spellEnd"/>
      <w:r>
        <w:t>.</w:t>
      </w:r>
      <w:r w:rsidR="00C94B0C">
        <w:t xml:space="preserve"> </w:t>
      </w:r>
      <w:proofErr w:type="spellStart"/>
      <w:r w:rsidR="00C94B0C">
        <w:t>Illumina</w:t>
      </w:r>
      <w:proofErr w:type="spellEnd"/>
      <w:r w:rsidR="00C94B0C">
        <w:t xml:space="preserve"> </w:t>
      </w:r>
      <w:proofErr w:type="spellStart"/>
      <w:r w:rsidR="00C94B0C">
        <w:t>sekveneerimisel</w:t>
      </w:r>
      <w:proofErr w:type="spellEnd"/>
      <w:r w:rsidR="00C94B0C">
        <w:t xml:space="preserve"> esineb nii keemiast kui signaal mõõtmisest tulenevaid piiranguid. Kui </w:t>
      </w:r>
      <w:proofErr w:type="spellStart"/>
      <w:r w:rsidR="00C94B0C">
        <w:t>sekveneerimistsükli</w:t>
      </w:r>
      <w:proofErr w:type="spellEnd"/>
      <w:r w:rsidR="00C94B0C">
        <w:t xml:space="preserve"> jooksul jääb mõnele DNA ahelale nukleotiid lisamata, jääb see ahel teistest ahelatest maha. Mida rohkem ahelaid maha jääb, seda ebaselgemaks muutub fluorestsentssignaal, kuna ühe DNA tasemel esineb mitmeid erinevaid signaale. See efekt akumuleerub tsüklite jooksul ning seetõttu on nukleotiidi täpne määramine ahela lõpu poole ebatäpsem. Ka lisavad ebatäpsust tõigad, et märgiste emissioonispektrid kattuvad osaliselt ning värvuse intensiivsus on tugevam </w:t>
      </w:r>
      <w:proofErr w:type="spellStart"/>
      <w:r w:rsidR="00C94B0C">
        <w:t>detekteerimispiirkonna</w:t>
      </w:r>
      <w:proofErr w:type="spellEnd"/>
      <w:r w:rsidR="00C94B0C">
        <w:t xml:space="preserve"> keskme pool. </w:t>
      </w:r>
      <w:r w:rsidR="00092CCD">
        <w:fldChar w:fldCharType="begin" w:fldLock="1"/>
      </w:r>
      <w:r w:rsidR="007F2591">
        <w:instrText>ADDIN CSL_CITATION { "citationItems" : [ { "id" : "ITEM-1", "itemData" : { "DOI" : "10.1093/bib/bbq077", "ISBN" : "1477-4054 (Electronic)\\n1467-5463 (Linking)", "ISSN" : "14675463", "PMID" : "21245079", "abstract" : "Next-generation sequencing platforms are dramatically reducing the cost of DNA sequencing. With these technologies, bases are inferred from light intensity signals, a process commonly referred to as base-calling. Thus, understanding and improving the quality of sequence data generated using these approaches are of high interest. Recently, a number of papers have characterized the biases associated with base-calling and proposed methodological improvements. In this review, we summarize recent development of base-calling approaches for the Illumina and Roche 454 sequencing platforms.", "author" : [ { "dropping-particle" : "", "family" : "Ledergerber", "given" : "Christian", "non-dropping-particle" : "", "parse-names" : false, "suffix" : "" }, { "dropping-particle" : "", "family" : "Dessimoz", "given" : "Christophe", "non-dropping-particle" : "", "parse-names" : false, "suffix" : "" } ], "container-title" : "Briefings in Bioinformatics", "id" : "ITEM-1", "issue" : "5", "issued" : { "date-parts" : [ [ "2011" ] ] }, "page" : "489-497", "title" : "Base-calling for next-generation sequencing platforms", "type" : "article-journal", "volume" : "12" }, "uris" : [ "http://www.mendeley.com/documents/?uuid=f6b00b2a-9db1-338f-aef8-014cd4eec29d" ] } ], "mendeley" : { "formattedCitation" : "(Ledergerber &amp; Dessimoz, 2011)", "plainTextFormattedCitation" : "(Ledergerber &amp; Dessimoz, 2011)", "previouslyFormattedCitation" : "(Ledergerber &amp; Dessimoz, 2011)" }, "properties" : { "noteIndex" : 0 }, "schema" : "https://github.com/citation-style-language/schema/raw/master/csl-citation.json" }</w:instrText>
      </w:r>
      <w:r w:rsidR="00092CCD">
        <w:fldChar w:fldCharType="separate"/>
      </w:r>
      <w:r w:rsidR="00092CCD" w:rsidRPr="00092CCD">
        <w:rPr>
          <w:noProof/>
        </w:rPr>
        <w:t>(Ledergerber &amp; Dessimoz, 2011)</w:t>
      </w:r>
      <w:r w:rsidR="00092CCD">
        <w:fldChar w:fldCharType="end"/>
      </w:r>
    </w:p>
    <w:p w:rsidR="00E77946" w:rsidRDefault="00761321" w:rsidP="00CD6317">
      <w:r>
        <w:t xml:space="preserve">Iga tsükli väljundiks on </w:t>
      </w:r>
      <w:r w:rsidR="007F2591">
        <w:t xml:space="preserve">intensiivsus-skoorid, mis konverteeritakse </w:t>
      </w:r>
      <w:proofErr w:type="spellStart"/>
      <w:r w:rsidR="007F2591">
        <w:t>base-calling</w:t>
      </w:r>
      <w:proofErr w:type="spellEnd"/>
      <w:r w:rsidR="007F2591">
        <w:t xml:space="preserve"> tarkvara abil nukleotiidiks ning tõenäosuseks, et tegu on just selle nukleotiidiga. Nende tõenäosuste põhjal arvutatakse igale nukleotiidile kvaliteediskoor. </w:t>
      </w:r>
      <w:r w:rsidR="007F2591">
        <w:fldChar w:fldCharType="begin" w:fldLock="1"/>
      </w:r>
      <w:r w:rsidR="00E77946">
        <w:instrText>ADDIN CSL_CITATION { "citationItems" : [ { "id" : "ITEM-1", "itemData" : { "DOI" : "10.1093/bib/bbv088", "ISSN" : "14774054", "PMID" : "26443614", "abstract" : "Recent advances in next-generation sequencing technology have yielded increasing cost-effectiveness and higher throughput produced per run, in turn, greatly influencing the analysis of DNA sequences. Among the various sequencing technologies, Illumina is by far the most widely used platform. However, the Illumina sequencing platform suffers from several imperfections that can be attributed to the chemical processes inherent to the sequencing-by-synthesis technology. With the enormous amounts of reads produced, statistical methodologies and computationally efficient algorithms are required to improve the accuracy and speed of base-calling. Over the past few years, several papers have proposed methods to model the various imperfections, giving rise to accurate and/or efficient base-calling algorithms. In this article, we provide a comprehensive comparison of the performance of recently developed base-callers and we present a general statistical model that unifies a large majority of these base-callers.", "author" : [ { "dropping-particle" : "", "family" : "Cacho", "given" : "Ashley", "non-dropping-particle" : "", "parse-names" : false, "suffix" : "" }, { "dropping-particle" : "", "family" : "Smirnova", "given" : "Ekaterina", "non-dropping-particle" : "", "parse-names" : false, "suffix" : "" }, { "dropping-particle" : "", "family" : "Huzurbazar", "given" : "Snehalata", "non-dropping-particle" : "", "parse-names" : false, "suffix" : "" }, { "dropping-particle" : "", "family" : "Cui", "given" : "Xinping", "non-dropping-particle" : "", "parse-names" : false, "suffix" : "" } ], "container-title" : "Briefings in Bioinformatics", "id" : "ITEM-1", "issue" : "5", "issued" : { "date-parts" : [ [ "2016", "9" ] ] }, "page" : "786-795", "title" : "A comparison of base-calling algorithms for illumina sequencing technology", "type" : "article-journal", "volume" : "17" }, "uris" : [ "http://www.mendeley.com/documents/?uuid=fab0bd5a-f493-3006-ae5c-9cc2f57d067a" ] } ], "mendeley" : { "formattedCitation" : "(Cacho, Smirnova, Huzurbazar, &amp; Cui, 2016)", "plainTextFormattedCitation" : "(Cacho, Smirnova, Huzurbazar, &amp; Cui, 2016)", "previouslyFormattedCitation" : "(Cacho, Smirnova, Huzurbazar, &amp; Cui, 2016)" }, "properties" : { "noteIndex" : 0 }, "schema" : "https://github.com/citation-style-language/schema/raw/master/csl-citation.json" }</w:instrText>
      </w:r>
      <w:r w:rsidR="007F2591">
        <w:fldChar w:fldCharType="separate"/>
      </w:r>
      <w:r w:rsidR="007F2591" w:rsidRPr="007F2591">
        <w:rPr>
          <w:noProof/>
        </w:rPr>
        <w:t>(Cacho, Smirnova, Huzurbazar, &amp; Cui, 2016)</w:t>
      </w:r>
      <w:r w:rsidR="007F2591">
        <w:fldChar w:fldCharType="end"/>
      </w:r>
      <w:r w:rsidR="007F2591">
        <w:t xml:space="preserve"> Levinuim viis kvaliteedi esitamiseks on </w:t>
      </w:r>
      <w:proofErr w:type="spellStart"/>
      <w:r w:rsidR="007F2591">
        <w:t>Phred</w:t>
      </w:r>
      <w:proofErr w:type="spellEnd"/>
      <w:r w:rsidR="007F2591">
        <w:t xml:space="preserve"> kvaliteediskoor </w:t>
      </w:r>
      <w:r w:rsidR="007F2591" w:rsidRPr="007F2591">
        <w:rPr>
          <w:i/>
        </w:rPr>
        <w:t>Q=-</w:t>
      </w:r>
      <w:r w:rsidR="007F2591">
        <w:rPr>
          <w:i/>
        </w:rPr>
        <w:t>10</w:t>
      </w:r>
      <w:r w:rsidR="007F2591" w:rsidRPr="007F2591">
        <w:rPr>
          <w:i/>
        </w:rPr>
        <w:t>log</w:t>
      </w:r>
      <w:r w:rsidR="007F2591" w:rsidRPr="007F2591">
        <w:rPr>
          <w:i/>
          <w:vertAlign w:val="subscript"/>
        </w:rPr>
        <w:t>10</w:t>
      </w:r>
      <w:r w:rsidR="007F2591" w:rsidRPr="007F2591">
        <w:rPr>
          <w:i/>
        </w:rPr>
        <w:t>P</w:t>
      </w:r>
      <w:r w:rsidR="007F2591">
        <w:t xml:space="preserve">, kus P on tõenäosus, et tegu on vale nukleotiidiga. </w:t>
      </w:r>
      <w:proofErr w:type="spellStart"/>
      <w:r w:rsidR="007F2591">
        <w:t>Phred</w:t>
      </w:r>
      <w:proofErr w:type="spellEnd"/>
      <w:r w:rsidR="007F2591">
        <w:t xml:space="preserve"> skoore esitatakse QUAL formaadis, mis </w:t>
      </w:r>
      <w:r w:rsidR="00E77946">
        <w:t xml:space="preserve">koosneb iga </w:t>
      </w:r>
      <w:proofErr w:type="spellStart"/>
      <w:r w:rsidR="00E77946" w:rsidRPr="00E77946">
        <w:rPr>
          <w:i/>
        </w:rPr>
        <w:t>read</w:t>
      </w:r>
      <w:r w:rsidR="00E77946">
        <w:t>i</w:t>
      </w:r>
      <w:proofErr w:type="spellEnd"/>
      <w:r w:rsidR="00E77946">
        <w:t xml:space="preserve"> kohta pä</w:t>
      </w:r>
      <w:r w:rsidR="007F2591">
        <w:t>isest ning täisa</w:t>
      </w:r>
      <w:r w:rsidR="00E77946">
        <w:t xml:space="preserve">rvude nimekirjast. </w:t>
      </w:r>
      <w:r w:rsidR="00E77946">
        <w:fldChar w:fldCharType="begin" w:fldLock="1"/>
      </w:r>
      <w:r w:rsidR="001A4E9B">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Fields, Goto, Heuer, &amp; Rice, 2009)", "plainTextFormattedCitation" : "(Cock, Fields, Goto, Heuer, &amp; Rice, 2009)", "previouslyFormattedCitation" : "(Cock, Fields, Goto, Heuer, &amp; Rice, 2009)" }, "properties" : { "noteIndex" : 0 }, "schema" : "https://github.com/citation-style-language/schema/raw/master/csl-citation.json" }</w:instrText>
      </w:r>
      <w:r w:rsidR="00E77946">
        <w:fldChar w:fldCharType="separate"/>
      </w:r>
      <w:r w:rsidR="00E77946" w:rsidRPr="00E77946">
        <w:rPr>
          <w:noProof/>
        </w:rPr>
        <w:t>(Cock, Fields, Goto, Heuer, &amp; Rice, 2009)</w:t>
      </w:r>
      <w:r w:rsidR="00E77946">
        <w:fldChar w:fldCharType="end"/>
      </w:r>
    </w:p>
    <w:p w:rsidR="00E77946" w:rsidRDefault="007F2591" w:rsidP="00CD6317">
      <w:r>
        <w:t>Kõige populaarsem formaat NGS andmete esitamiseks on tekstipõhine FASTQ formaat, mis sisaldab</w:t>
      </w:r>
      <w:r w:rsidR="00E77946">
        <w:t xml:space="preserve"> nelja tüüpi ridu (ranges järjekorras):</w:t>
      </w:r>
    </w:p>
    <w:p w:rsidR="00697ECE" w:rsidRDefault="00E77946" w:rsidP="00E77946">
      <w:pPr>
        <w:pStyle w:val="Loendilik"/>
        <w:numPr>
          <w:ilvl w:val="0"/>
          <w:numId w:val="6"/>
        </w:numPr>
      </w:pPr>
      <w:r>
        <w:t>@ märgiga algav päiserida</w:t>
      </w:r>
    </w:p>
    <w:p w:rsidR="00E77946" w:rsidRDefault="00E77946" w:rsidP="00E77946">
      <w:pPr>
        <w:pStyle w:val="Loendilik"/>
        <w:numPr>
          <w:ilvl w:val="0"/>
          <w:numId w:val="6"/>
        </w:numPr>
      </w:pPr>
      <w:r>
        <w:t xml:space="preserve">Järjestuse rida/read </w:t>
      </w:r>
    </w:p>
    <w:p w:rsidR="00E77946" w:rsidRDefault="00E77946" w:rsidP="00E77946">
      <w:pPr>
        <w:pStyle w:val="Loendilik"/>
        <w:numPr>
          <w:ilvl w:val="0"/>
          <w:numId w:val="6"/>
        </w:numPr>
      </w:pPr>
      <w:r>
        <w:t>+ märgiga algav valikuline päiserea kordus</w:t>
      </w:r>
    </w:p>
    <w:p w:rsidR="00E77946" w:rsidRDefault="00E77946" w:rsidP="00E77946">
      <w:pPr>
        <w:pStyle w:val="Loendilik"/>
        <w:numPr>
          <w:ilvl w:val="0"/>
          <w:numId w:val="6"/>
        </w:numPr>
      </w:pPr>
      <w:r>
        <w:t>Kvaliteediskooride rida</w:t>
      </w:r>
    </w:p>
    <w:p w:rsidR="00E77946" w:rsidRPr="00CD6317" w:rsidRDefault="007B0361" w:rsidP="00E77946">
      <w:r>
        <w:t>Faili suuruse piiramiseks esitatakse kvaliteediskoorid vahemikus 0-93 ühe sümbolina ASCII vahemikust 33-126. See formaat võimaldab kvaliteediskoori väga täpset esitamist vahemikus 1.0 (vale nukleotiid) kuni 10</w:t>
      </w:r>
      <w:r w:rsidRPr="007B0361">
        <w:rPr>
          <w:vertAlign w:val="superscript"/>
        </w:rPr>
        <w:t>-9.3</w:t>
      </w:r>
      <w:r>
        <w:t xml:space="preserve"> (väga täpselt määratud nukleotiid). </w:t>
      </w:r>
      <w:r w:rsidR="001A4E9B">
        <w:fldChar w:fldCharType="begin" w:fldLock="1"/>
      </w:r>
      <w:r w:rsidR="00727D5C">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1A4E9B">
        <w:fldChar w:fldCharType="separate"/>
      </w:r>
      <w:r w:rsidR="001A4E9B" w:rsidRPr="001A4E9B">
        <w:rPr>
          <w:noProof/>
        </w:rPr>
        <w:t>(Cock et al., 2009)</w:t>
      </w:r>
      <w:r w:rsidR="001A4E9B">
        <w:fldChar w:fldCharType="end"/>
      </w:r>
    </w:p>
    <w:p w:rsidR="005A6DDA" w:rsidRDefault="00B5153E" w:rsidP="005A6DDA">
      <w:pPr>
        <w:pStyle w:val="Pealkiri3"/>
      </w:pPr>
      <w:proofErr w:type="spellStart"/>
      <w:r>
        <w:t>Sekveneerimiskatvus</w:t>
      </w:r>
      <w:proofErr w:type="spellEnd"/>
    </w:p>
    <w:p w:rsidR="00046BE9" w:rsidRPr="00046BE9" w:rsidRDefault="003B0CDB" w:rsidP="00046BE9">
      <w:proofErr w:type="spellStart"/>
      <w:r>
        <w:t>Sekveneerimiskatvuse</w:t>
      </w:r>
      <w:proofErr w:type="spellEnd"/>
      <w:r>
        <w:t xml:space="preserve"> ehk katvuse all mõeldakse</w:t>
      </w:r>
      <w:r w:rsidR="00F569B1">
        <w:t xml:space="preserve"> </w:t>
      </w:r>
      <w:proofErr w:type="spellStart"/>
      <w:r w:rsidR="00F569B1" w:rsidRPr="00F569B1">
        <w:rPr>
          <w:i/>
        </w:rPr>
        <w:t>read</w:t>
      </w:r>
      <w:r w:rsidR="00F569B1">
        <w:t>ide</w:t>
      </w:r>
      <w:proofErr w:type="spellEnd"/>
      <w:r w:rsidR="00F569B1">
        <w:t xml:space="preserve"> arvu, mis on joondatult genoomil kohakuti. </w:t>
      </w:r>
      <w:r w:rsidR="005015BC">
        <w:t xml:space="preserve">Kuna NGS tehnoloogiad teevad nukleotiidide määramisel vigu, on variantide määramiseks oluline, et üks positsioon genoomis oleks loetud mitu korda. </w:t>
      </w:r>
      <w:r w:rsidR="00727D5C">
        <w:fldChar w:fldCharType="begin" w:fldLock="1"/>
      </w:r>
      <w:r w:rsidR="00C90D91">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727D5C">
        <w:fldChar w:fldCharType="separate"/>
      </w:r>
      <w:r w:rsidR="00727D5C" w:rsidRPr="00727D5C">
        <w:rPr>
          <w:noProof/>
        </w:rPr>
        <w:t>(Muzzey et al., 2015)</w:t>
      </w:r>
      <w:r w:rsidR="00727D5C">
        <w:fldChar w:fldCharType="end"/>
      </w:r>
    </w:p>
    <w:p w:rsidR="006B5E24" w:rsidRDefault="00F81BEA" w:rsidP="00F81BEA">
      <w:pPr>
        <w:pStyle w:val="Pealkiri3"/>
      </w:pPr>
      <w:proofErr w:type="spellStart"/>
      <w:r>
        <w:lastRenderedPageBreak/>
        <w:t>Sequence</w:t>
      </w:r>
      <w:proofErr w:type="spellEnd"/>
      <w:r>
        <w:t xml:space="preserve"> Read </w:t>
      </w:r>
      <w:proofErr w:type="spellStart"/>
      <w:r>
        <w:t>Archive</w:t>
      </w:r>
      <w:proofErr w:type="spellEnd"/>
    </w:p>
    <w:p w:rsidR="00F81BEA" w:rsidRDefault="00F81BEA" w:rsidP="00F81BEA">
      <w:proofErr w:type="spellStart"/>
      <w:r>
        <w:t>Sequence</w:t>
      </w:r>
      <w:proofErr w:type="spellEnd"/>
      <w:r>
        <w:t xml:space="preserve"> Read </w:t>
      </w:r>
      <w:proofErr w:type="spellStart"/>
      <w:r>
        <w:t>Archive</w:t>
      </w:r>
      <w:proofErr w:type="spellEnd"/>
      <w:r>
        <w:t xml:space="preserve"> (SRA) on teise generatsiooni </w:t>
      </w:r>
      <w:proofErr w:type="spellStart"/>
      <w:r>
        <w:t>sekveneerimisandmete</w:t>
      </w:r>
      <w:proofErr w:type="spellEnd"/>
      <w:r>
        <w:t xml:space="preserve"> avalik arhiiv, mida haldab </w:t>
      </w:r>
      <w:proofErr w:type="spellStart"/>
      <w:r>
        <w:t>National</w:t>
      </w:r>
      <w:proofErr w:type="spellEnd"/>
      <w:r>
        <w:t xml:space="preserve"> </w:t>
      </w:r>
      <w:proofErr w:type="spellStart"/>
      <w:r>
        <w:t>Center</w:t>
      </w:r>
      <w:proofErr w:type="spellEnd"/>
      <w:r>
        <w:t xml:space="preserve"> </w:t>
      </w:r>
      <w:proofErr w:type="spellStart"/>
      <w:r>
        <w:t>for</w:t>
      </w:r>
      <w:proofErr w:type="spellEnd"/>
      <w:r>
        <w:t xml:space="preserve"> </w:t>
      </w:r>
      <w:proofErr w:type="spellStart"/>
      <w:r>
        <w:t>Biotechnology</w:t>
      </w:r>
      <w:proofErr w:type="spellEnd"/>
      <w:r>
        <w:t xml:space="preserve"> </w:t>
      </w:r>
      <w:proofErr w:type="spellStart"/>
      <w:r>
        <w:t>Information</w:t>
      </w:r>
      <w:proofErr w:type="spellEnd"/>
      <w:r>
        <w:t xml:space="preserve"> (NCBI). Arhiiv sisaldab töötlemata </w:t>
      </w:r>
      <w:proofErr w:type="spellStart"/>
      <w:r>
        <w:t>sekveneerimisandmeid</w:t>
      </w:r>
      <w:proofErr w:type="spellEnd"/>
      <w:r>
        <w:t xml:space="preserve"> ning </w:t>
      </w:r>
      <w:proofErr w:type="spellStart"/>
      <w:r>
        <w:t>metaandmeid</w:t>
      </w:r>
      <w:proofErr w:type="spellEnd"/>
      <w:r>
        <w:t xml:space="preserve">. Arhiiv on ligipääsetav aadressil </w:t>
      </w:r>
      <w:hyperlink r:id="rId8" w:history="1">
        <w:r w:rsidRPr="0022733E">
          <w:rPr>
            <w:rStyle w:val="Hperlink"/>
          </w:rPr>
          <w:t>https://www.ncbi.nlm.nih.gov/sra/</w:t>
        </w:r>
      </w:hyperlink>
      <w:r>
        <w:t xml:space="preserve">. </w:t>
      </w:r>
      <w:r>
        <w:fldChar w:fldCharType="begin" w:fldLock="1"/>
      </w:r>
      <w:r w:rsidR="00B5153E">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Shumway, &amp; Leinonen, 2012)", "plainTextFormattedCitation" : "(Kodama, Shumway, &amp; Leinonen, 2012)", "previouslyFormattedCitation" : "(Kodama, Shumway, &amp; Leinonen, 2012)" }, "properties" : { "noteIndex" : 0 }, "schema" : "https://github.com/citation-style-language/schema/raw/master/csl-citation.json" }</w:instrText>
      </w:r>
      <w:r>
        <w:fldChar w:fldCharType="separate"/>
      </w:r>
      <w:r w:rsidRPr="00F81BEA">
        <w:rPr>
          <w:noProof/>
        </w:rPr>
        <w:t>(Kodama, Shumway, &amp; Leinonen, 2012)</w:t>
      </w:r>
      <w:r>
        <w:fldChar w:fldCharType="end"/>
      </w:r>
    </w:p>
    <w:p w:rsidR="002B127D" w:rsidRDefault="002B127D" w:rsidP="00F81BEA">
      <w:r>
        <w:t xml:space="preserve">SRA andmete kasutamiseks on vajalik tööriistakomplekt nimega SRA </w:t>
      </w:r>
      <w:proofErr w:type="spellStart"/>
      <w:r>
        <w:t>Toolkit</w:t>
      </w:r>
      <w:proofErr w:type="spellEnd"/>
      <w:r>
        <w:t xml:space="preserve">. See võimaldab arhiivifailid viia edasiseks analüüsiks sobivale kujule. Andmete allalaadimiseks tuleb kasutada tööriista </w:t>
      </w:r>
      <w:proofErr w:type="spellStart"/>
      <w:r w:rsidRPr="002B127D">
        <w:rPr>
          <w:i/>
        </w:rPr>
        <w:t>prefetch</w:t>
      </w:r>
      <w:proofErr w:type="spellEnd"/>
      <w:r>
        <w:t>. See laeb alla arhiivifaili ning referentsfailid millest arhiivifail sõltub. (</w:t>
      </w:r>
      <w:hyperlink r:id="rId9" w:history="1">
        <w:r w:rsidRPr="0022733E">
          <w:rPr>
            <w:rStyle w:val="Hperlink"/>
          </w:rPr>
          <w:t>https://github.com/ncbi/sra-tools/wiki/HowTo:-Access-SRA-Data</w:t>
        </w:r>
      </w:hyperlink>
      <w:r>
        <w:t xml:space="preserve">) </w:t>
      </w:r>
    </w:p>
    <w:p w:rsidR="00B71E86" w:rsidRDefault="00B5153E" w:rsidP="00B5153E">
      <w:pPr>
        <w:pStyle w:val="Pealkiri3"/>
      </w:pPr>
      <w:r>
        <w:t>CONVERGE andmestik</w:t>
      </w:r>
    </w:p>
    <w:p w:rsidR="00B5153E" w:rsidRDefault="00B5153E" w:rsidP="00B5153E">
      <w:r>
        <w:t xml:space="preserve">CONVERGE andmestik on SRA andmebaasis avalikult saadaolev andmekogu, mis sisaldab 11670 </w:t>
      </w:r>
      <w:proofErr w:type="spellStart"/>
      <w:r>
        <w:t>Han</w:t>
      </w:r>
      <w:proofErr w:type="spellEnd"/>
      <w:r>
        <w:t xml:space="preserve"> Hiina naise madala katvusega täisgenoomi </w:t>
      </w:r>
      <w:proofErr w:type="spellStart"/>
      <w:r>
        <w:t>sekveneerimisandmeid</w:t>
      </w:r>
      <w:proofErr w:type="spellEnd"/>
      <w:r>
        <w:t>. Andmed koguti depressioonihäire uurimise käigus. Andmekogu keskmine tuumagenoomi katvus on 1,7 kordne, inimeste vanused on vahemikus 30-60 ning alla laadides on andmete maht umbes 100 terabaiti.</w:t>
      </w:r>
      <w:r w:rsidR="001A1A5D">
        <w:t xml:space="preserve"> </w:t>
      </w:r>
      <w:proofErr w:type="spellStart"/>
      <w:r w:rsidR="001A1A5D">
        <w:t>Sekveneerimiseks</w:t>
      </w:r>
      <w:proofErr w:type="spellEnd"/>
      <w:r w:rsidR="001A1A5D">
        <w:t xml:space="preserve"> kasutati </w:t>
      </w:r>
      <w:proofErr w:type="spellStart"/>
      <w:r w:rsidR="001A1A5D">
        <w:t>Illumina</w:t>
      </w:r>
      <w:proofErr w:type="spellEnd"/>
      <w:r w:rsidR="001A1A5D">
        <w:t xml:space="preserve"> </w:t>
      </w:r>
      <w:proofErr w:type="spellStart"/>
      <w:r w:rsidR="001A1A5D">
        <w:t>Hiseq</w:t>
      </w:r>
      <w:proofErr w:type="spellEnd"/>
      <w:r w:rsidR="001A1A5D">
        <w:t xml:space="preserve"> sead</w:t>
      </w:r>
      <w:r w:rsidR="0017488E">
        <w:t>meid</w:t>
      </w:r>
      <w:r w:rsidR="001A1A5D">
        <w:t>.</w:t>
      </w:r>
      <w:r>
        <w:t xml:space="preserve"> </w:t>
      </w:r>
      <w:r>
        <w:fldChar w:fldCharType="begin" w:fldLock="1"/>
      </w:r>
      <w:r w:rsidR="00C94B0C">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"previouslyFormattedCitation" : "(Cai et al., 2017)" }, "properties" : { "noteIndex" : 0 }, "schema" : "https://github.com/citation-style-language/schema/raw/master/csl-citation.json" }</w:instrText>
      </w:r>
      <w:r>
        <w:fldChar w:fldCharType="separate"/>
      </w:r>
      <w:r w:rsidRPr="00B5153E">
        <w:rPr>
          <w:noProof/>
        </w:rPr>
        <w:t>(Cai et al., 2017)</w:t>
      </w:r>
      <w:r>
        <w:fldChar w:fldCharType="end"/>
      </w:r>
    </w:p>
    <w:p w:rsidR="00941E16" w:rsidRDefault="00941E16" w:rsidP="00941E16">
      <w:pPr>
        <w:keepNext/>
      </w:pPr>
      <w:r>
        <w:rPr>
          <w:noProof/>
          <w:lang w:eastAsia="et-EE"/>
        </w:rPr>
        <w:drawing>
          <wp:inline distT="0" distB="0" distL="0" distR="0" wp14:anchorId="1CBCA15B" wp14:editId="1D98F6E5">
            <wp:extent cx="5760085" cy="3437890"/>
            <wp:effectExtent l="0" t="0" r="0" b="0"/>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437890"/>
                    </a:xfrm>
                    <a:prstGeom prst="rect">
                      <a:avLst/>
                    </a:prstGeom>
                  </pic:spPr>
                </pic:pic>
              </a:graphicData>
            </a:graphic>
          </wp:inline>
        </w:drawing>
      </w:r>
    </w:p>
    <w:p w:rsidR="00941E16" w:rsidRPr="00941E16" w:rsidRDefault="00941E16" w:rsidP="00941E16">
      <w:pPr>
        <w:pStyle w:val="Pealdis"/>
        <w:rPr>
          <w:sz w:val="24"/>
        </w:rPr>
      </w:pPr>
      <w:bookmarkStart w:id="1" w:name="_Ref483428052"/>
      <w:bookmarkStart w:id="2" w:name="_Ref483428041"/>
      <w:r w:rsidRPr="00941E16">
        <w:rPr>
          <w:b/>
          <w:i w:val="0"/>
          <w:sz w:val="24"/>
        </w:rPr>
        <w:t xml:space="preserve">Joonis </w:t>
      </w:r>
      <w:r w:rsidRPr="00941E16">
        <w:rPr>
          <w:b/>
          <w:i w:val="0"/>
          <w:sz w:val="24"/>
        </w:rPr>
        <w:fldChar w:fldCharType="begin"/>
      </w:r>
      <w:r w:rsidRPr="00941E16">
        <w:rPr>
          <w:b/>
          <w:i w:val="0"/>
          <w:sz w:val="24"/>
        </w:rPr>
        <w:instrText xml:space="preserve"> SEQ Joonis \* ARABIC </w:instrText>
      </w:r>
      <w:r w:rsidRPr="00941E16">
        <w:rPr>
          <w:b/>
          <w:i w:val="0"/>
          <w:sz w:val="24"/>
        </w:rPr>
        <w:fldChar w:fldCharType="separate"/>
      </w:r>
      <w:r w:rsidR="002F684F">
        <w:rPr>
          <w:b/>
          <w:i w:val="0"/>
          <w:noProof/>
          <w:sz w:val="24"/>
        </w:rPr>
        <w:t>2</w:t>
      </w:r>
      <w:r w:rsidRPr="00941E16">
        <w:rPr>
          <w:b/>
          <w:i w:val="0"/>
          <w:sz w:val="24"/>
        </w:rPr>
        <w:fldChar w:fldCharType="end"/>
      </w:r>
      <w:bookmarkEnd w:id="1"/>
      <w:r w:rsidRPr="00941E16">
        <w:rPr>
          <w:sz w:val="24"/>
        </w:rPr>
        <w:t xml:space="preserve"> CONVERGE andmestiku tuumagenoomi katvus. Keskmine katvus on 1.7X.</w:t>
      </w:r>
      <w:bookmarkEnd w:id="2"/>
    </w:p>
    <w:p w:rsidR="00BE5F40" w:rsidRDefault="00F8397D" w:rsidP="00F8397D">
      <w:pPr>
        <w:pStyle w:val="Pealkiri2"/>
      </w:pPr>
      <w:proofErr w:type="spellStart"/>
      <w:r>
        <w:t>K-mer</w:t>
      </w:r>
      <w:proofErr w:type="spellEnd"/>
      <w:r>
        <w:t xml:space="preserve"> metoodika </w:t>
      </w:r>
      <w:proofErr w:type="spellStart"/>
      <w:r>
        <w:t>sekveneerimisandmete</w:t>
      </w:r>
      <w:proofErr w:type="spellEnd"/>
      <w:r>
        <w:t xml:space="preserve"> analüüsis</w:t>
      </w:r>
    </w:p>
    <w:p w:rsidR="00542E73" w:rsidRDefault="00542E73" w:rsidP="00F71F4C">
      <w:r>
        <w:t xml:space="preserve">Traditsioonilised </w:t>
      </w:r>
      <w:proofErr w:type="spellStart"/>
      <w:r>
        <w:t>sekveneerimisandmete</w:t>
      </w:r>
      <w:proofErr w:type="spellEnd"/>
      <w:r>
        <w:t xml:space="preserve"> analüüsi meetodid põhinevad </w:t>
      </w:r>
      <w:proofErr w:type="spellStart"/>
      <w:r>
        <w:t>sekveneeritud</w:t>
      </w:r>
      <w:proofErr w:type="spellEnd"/>
      <w:r>
        <w:t xml:space="preserve"> lõikude referentsile joondamisel. Joondamisele põhinevate analüüside tulemused ning </w:t>
      </w:r>
      <w:r>
        <w:lastRenderedPageBreak/>
        <w:t xml:space="preserve">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A61B94">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Mount, &amp; Kingsford, 2014)", "plainTextFormattedCitation" : "(Patro, Mount, &amp; Kingsford, 2014)", "previouslyFormattedCitation" : "(Patro, Mount, &amp; Kingsford, 2014)" }, "properties" : { "noteIndex" : 0 }, "schema" : "https://github.com/citation-style-language/schema/raw/master/csl-citation.json" }</w:instrText>
      </w:r>
      <w:r>
        <w:fldChar w:fldCharType="separate"/>
      </w:r>
      <w:r w:rsidRPr="00542E73">
        <w:rPr>
          <w:noProof/>
        </w:rPr>
        <w:t>(Patro, Mount, &amp; Kingsford, 2014)</w:t>
      </w:r>
      <w:r>
        <w:fldChar w:fldCharType="end"/>
      </w:r>
    </w:p>
    <w:p w:rsidR="00A61B94" w:rsidRDefault="00542E73" w:rsidP="00F71F4C">
      <w:r>
        <w:t xml:space="preserve">Mõiste </w:t>
      </w:r>
      <w:proofErr w:type="spellStart"/>
      <w:r>
        <w:t>k-mer</w:t>
      </w:r>
      <w:proofErr w:type="spellEnd"/>
      <w:r>
        <w:t xml:space="preserve">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73612E">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Pevzner, &amp; Tesler, 2011)", "plainTextFormattedCitation" : "(Compeau, Pevzner, &amp; Tesler, 2011)", "previouslyFormattedCitation" : "(Compeau, Pevzner, &amp; Tesler, 2011)" }, "properties" : { "noteIndex" : 0 }, "schema" : "https://github.com/citation-style-language/schema/raw/master/csl-citation.json" }</w:instrText>
      </w:r>
      <w:r w:rsidR="00A61B94">
        <w:fldChar w:fldCharType="separate"/>
      </w:r>
      <w:r w:rsidR="00F30BC3" w:rsidRPr="00F30BC3">
        <w:rPr>
          <w:noProof/>
        </w:rPr>
        <w:t>(Compeau, Pevzner, &amp; Tesler,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proofErr w:type="spellStart"/>
      <w:r>
        <w:t>K-mer</w:t>
      </w:r>
      <w:proofErr w:type="spellEnd"/>
      <w:r>
        <w:t xml:space="preserve"> põhilised analüüsimeetodid põhinevad </w:t>
      </w:r>
      <w:proofErr w:type="spellStart"/>
      <w:r>
        <w:t>k-meride</w:t>
      </w:r>
      <w:proofErr w:type="spellEnd"/>
      <w:r>
        <w:t xml:space="preserve"> lugemisel – mitu ühesugust </w:t>
      </w:r>
      <w:proofErr w:type="spellStart"/>
      <w:r>
        <w:t>k-meri</w:t>
      </w:r>
      <w:proofErr w:type="spellEnd"/>
      <w:r>
        <w:t xml:space="preserve"> andmetes esineb. See </w:t>
      </w:r>
      <w:proofErr w:type="spellStart"/>
      <w:r w:rsidR="0073612E">
        <w:t>ko</w:t>
      </w:r>
      <w:r w:rsidR="007565A6">
        <w:t>kk</w:t>
      </w:r>
      <w:r w:rsidR="0073612E">
        <w:t>ulugemise</w:t>
      </w:r>
      <w:proofErr w:type="spellEnd"/>
      <w:r w:rsidR="0073612E">
        <w:t xml:space="preserve"> protsess on üle 20 korra kiirem kui</w:t>
      </w:r>
      <w:r w:rsidR="006E2CA2">
        <w:t xml:space="preserve"> </w:t>
      </w:r>
      <w:proofErr w:type="spellStart"/>
      <w:r w:rsidR="006E2CA2">
        <w:t>sekveneeritud</w:t>
      </w:r>
      <w:proofErr w:type="spellEnd"/>
      <w:r w:rsidR="0073612E">
        <w:t xml:space="preserve"> lõikude</w:t>
      </w:r>
      <w:r w:rsidR="006E2CA2">
        <w:t xml:space="preserve"> referentsile</w:t>
      </w:r>
      <w:r w:rsidR="0073612E">
        <w:t xml:space="preserve"> joondamine. </w:t>
      </w:r>
      <w:r w:rsidR="0073612E">
        <w:fldChar w:fldCharType="begin" w:fldLock="1"/>
      </w:r>
      <w:r w:rsidR="000C5EB0">
        <w:instrText>ADDIN CSL_CITATION { "citationItems" : [ { "id" : "ITEM-1", "itemData" : { "DOI" : "10.1038/nbt.2862", "abstract" : "RNA-seq has become the de facto standard technique to measure gene expression, and it is commonly the first step in an analysis of differ-ential expression among multiple samples 1 . However, the throughput of technologies used to generate transcriptomic sequencing reads is accelerating faster than the speed of the computers used to analyze these data. The growing repository of data from archived experiments invites reanalysis in the light of new discoveries, but existing meth-ods are too time consuming to allow frequent reanalysis. The divide between data-acquisition and data-analysis capabilities will only increase as RNA-seq is adopted for clinical use 2 . Finally, the sensitivity of existing methods to parameter choices can affect analysis time and accuracy and can make a priori selection of the appropriate param-eters difficult. We must develop efficient, lightweight algorithms with few parameters that minimize unnecessary computation. Existing approaches to abundance estimation first use read-mapping tools, such as Bowtie 3 , to determine potential locations from which the RNA-seq reads originated. Mapping the reads can require substantial computational resources and often leads to complicated models that try to account for read bias and error during inference, further adding to the time spent on analysis. Finally, some reads, known as multireads 4,5 , can map to multiple, sometimes many, dif-ferent transcripts. This ambiguity complicates the estimation of transcript abundances. Given read alignments, some of the most accurate transcript quantification tools estimate relative abundance using expectation-maximization (EM) procedures 5\u20137 , where reads sailfish enables alignment-free isoform quantification from rna-seq reads using lightweight algorithms",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"2014" ] ] }, "title" : "Sailfish enables alignment-free isoform quantification from RNA-seq reads using lightweight algorithms", "type" : "article-journal" }, "uris" : [ "http://www.mendeley.com/documents/?uuid=d7bdab5f-46a8-3d1d-b966-ef254d429bf1" ] } ], "mendeley" : { "formattedCitation" : "(Patro et al., 2014)", "plainTextFormattedCitation" : "(Patro et al., 2014)", "previouslyFormattedCitation" : "(Patro et al., 2014)" }, "properties" : { "noteIndex" : 0 }, "schema" : "https://github.com/citation-style-language/schema/raw/master/csl-citation.json" }</w:instrText>
      </w:r>
      <w:r w:rsidR="0073612E">
        <w:fldChar w:fldCharType="separate"/>
      </w:r>
      <w:r w:rsidR="0073612E" w:rsidRPr="0073612E">
        <w:rPr>
          <w:noProof/>
        </w:rPr>
        <w:t>(Patro et al., 2014)</w:t>
      </w:r>
      <w:r w:rsidR="0073612E">
        <w:fldChar w:fldCharType="end"/>
      </w:r>
      <w:r w:rsidR="0073612E">
        <w:t xml:space="preserve"> </w:t>
      </w:r>
    </w:p>
    <w:p w:rsidR="00A61B94" w:rsidRDefault="0014520D" w:rsidP="000C5EB0">
      <w:pPr>
        <w:pStyle w:val="Pealkiri3"/>
      </w:pPr>
      <w:proofErr w:type="spellStart"/>
      <w:r>
        <w:t>K-meride</w:t>
      </w:r>
      <w:proofErr w:type="spellEnd"/>
      <w:r>
        <w:t xml:space="preserve"> abil </w:t>
      </w:r>
      <w:proofErr w:type="spellStart"/>
      <w:r w:rsidR="000C5EB0">
        <w:t>sekveneerimise</w:t>
      </w:r>
      <w:proofErr w:type="spellEnd"/>
      <w:r w:rsidR="000C5EB0">
        <w:t xml:space="preserve"> katvuse määramine</w:t>
      </w:r>
    </w:p>
    <w:p w:rsidR="000C5EB0" w:rsidRDefault="000C5EB0" w:rsidP="000C5EB0">
      <w:r>
        <w:t xml:space="preserve">Suure katvusega genoomi puhul on võimalik </w:t>
      </w:r>
      <w:proofErr w:type="spellStart"/>
      <w:r>
        <w:t>sekveneerimise</w:t>
      </w:r>
      <w:proofErr w:type="spellEnd"/>
      <w:r>
        <w:t xml:space="preserve"> katvust hinnata </w:t>
      </w:r>
      <w:proofErr w:type="spellStart"/>
      <w:r>
        <w:t>k-meride</w:t>
      </w:r>
      <w:proofErr w:type="spellEnd"/>
      <w:r>
        <w:t xml:space="preserve"> hulkade jaotumise järgi (Joonis 1).</w:t>
      </w:r>
    </w:p>
    <w:p w:rsidR="000C5EB0" w:rsidRDefault="000C5EB0" w:rsidP="000C5EB0">
      <w:pPr>
        <w:keepNext/>
      </w:pPr>
      <w:r>
        <w:rPr>
          <w:noProof/>
          <w:lang w:eastAsia="et-EE"/>
        </w:rPr>
        <w:drawing>
          <wp:inline distT="0" distB="0" distL="0" distR="0">
            <wp:extent cx="5760085" cy="4201989"/>
            <wp:effectExtent l="0" t="0" r="0" b="8255"/>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201989"/>
                    </a:xfrm>
                    <a:prstGeom prst="rect">
                      <a:avLst/>
                    </a:prstGeom>
                    <a:noFill/>
                    <a:ln>
                      <a:noFill/>
                    </a:ln>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002F684F">
        <w:rPr>
          <w:b/>
          <w:i w:val="0"/>
          <w:noProof/>
          <w:sz w:val="24"/>
          <w:szCs w:val="24"/>
        </w:rPr>
        <w:t>3</w:t>
      </w:r>
      <w:r w:rsidRPr="008B0834">
        <w:rPr>
          <w:b/>
          <w:i w:val="0"/>
          <w:sz w:val="24"/>
          <w:szCs w:val="24"/>
        </w:rPr>
        <w:fldChar w:fldCharType="end"/>
      </w:r>
      <w:r w:rsidRPr="008B0834">
        <w:rPr>
          <w:sz w:val="24"/>
          <w:szCs w:val="24"/>
        </w:rPr>
        <w:t xml:space="preserve"> </w:t>
      </w:r>
      <w:r w:rsidR="00A228D1" w:rsidRPr="008B0834">
        <w:rPr>
          <w:sz w:val="24"/>
          <w:szCs w:val="24"/>
        </w:rPr>
        <w:t xml:space="preserve">X-teljele on seatud hulgad – mitu korda identseid </w:t>
      </w:r>
      <w:proofErr w:type="spellStart"/>
      <w:r w:rsidR="00A228D1" w:rsidRPr="008B0834">
        <w:rPr>
          <w:sz w:val="24"/>
          <w:szCs w:val="24"/>
        </w:rPr>
        <w:t>k-mere</w:t>
      </w:r>
      <w:proofErr w:type="spellEnd"/>
      <w:r w:rsidR="00A228D1" w:rsidRPr="008B0834">
        <w:rPr>
          <w:sz w:val="24"/>
          <w:szCs w:val="24"/>
        </w:rPr>
        <w:t xml:space="preserve"> esineb, y-teljel on toodud osakaal, mitu protsenti</w:t>
      </w:r>
      <w:r w:rsidR="008B0834" w:rsidRPr="008B0834">
        <w:rPr>
          <w:sz w:val="24"/>
          <w:szCs w:val="24"/>
        </w:rPr>
        <w:t xml:space="preserve"> selle sagedusega esinevad </w:t>
      </w:r>
      <w:proofErr w:type="spellStart"/>
      <w:r w:rsidR="008B0834" w:rsidRPr="008B0834">
        <w:rPr>
          <w:sz w:val="24"/>
          <w:szCs w:val="24"/>
        </w:rPr>
        <w:t>k-merid</w:t>
      </w:r>
      <w:proofErr w:type="spellEnd"/>
      <w:r w:rsidR="008B0834" w:rsidRPr="008B0834">
        <w:rPr>
          <w:sz w:val="24"/>
          <w:szCs w:val="24"/>
        </w:rPr>
        <w:t xml:space="preserve"> moodustavad kõikidest </w:t>
      </w:r>
      <w:proofErr w:type="spellStart"/>
      <w:r w:rsidR="008B0834" w:rsidRPr="008B0834">
        <w:rPr>
          <w:sz w:val="24"/>
          <w:szCs w:val="24"/>
        </w:rPr>
        <w:t>k-meridest</w:t>
      </w:r>
      <w:proofErr w:type="spellEnd"/>
      <w:r w:rsidR="008B0834" w:rsidRPr="008B0834">
        <w:rPr>
          <w:sz w:val="24"/>
          <w:szCs w:val="24"/>
        </w:rPr>
        <w:t>.</w:t>
      </w:r>
      <w:r w:rsidR="008B0834">
        <w:rPr>
          <w:sz w:val="24"/>
          <w:szCs w:val="24"/>
        </w:rPr>
        <w:t xml:space="preserve"> Vasakpoolse piigi moodustavad </w:t>
      </w:r>
      <w:proofErr w:type="spellStart"/>
      <w:r w:rsidR="008B0834">
        <w:rPr>
          <w:sz w:val="24"/>
          <w:szCs w:val="24"/>
        </w:rPr>
        <w:t>sekveneerimisvead</w:t>
      </w:r>
      <w:proofErr w:type="spellEnd"/>
      <w:r w:rsidR="008B0834">
        <w:rPr>
          <w:sz w:val="24"/>
          <w:szCs w:val="24"/>
        </w:rPr>
        <w:t xml:space="preserve">. Parempoolne piik näitab </w:t>
      </w:r>
      <w:proofErr w:type="spellStart"/>
      <w:r w:rsidR="008B0834">
        <w:rPr>
          <w:sz w:val="24"/>
          <w:szCs w:val="24"/>
        </w:rPr>
        <w:t>k-meride</w:t>
      </w:r>
      <w:proofErr w:type="spellEnd"/>
      <w:r w:rsidR="008B0834">
        <w:rPr>
          <w:sz w:val="24"/>
          <w:szCs w:val="24"/>
        </w:rPr>
        <w:t xml:space="preserve"> katvust.</w:t>
      </w:r>
      <w:r w:rsidRPr="008B0834">
        <w:rPr>
          <w:sz w:val="24"/>
          <w:szCs w:val="24"/>
        </w:rPr>
        <w:t xml:space="preserve"> </w:t>
      </w:r>
      <w:r w:rsidRPr="008B0834">
        <w:rPr>
          <w:sz w:val="24"/>
          <w:szCs w:val="24"/>
        </w:rPr>
        <w:fldChar w:fldCharType="begin" w:fldLock="1"/>
      </w:r>
      <w:r w:rsidR="00FC7F42">
        <w:rPr>
          <w:sz w:val="24"/>
          <w:szCs w:val="24"/>
        </w:rPr>
        <w:instrText>ADDIN CSL_CITATION { "citationItems" : [ { "id" : "ITEM-1", "itemData" : { "DOI" : "10.1038/ng.3430", "abstract" : "8 4 VOLUME 48 | NUMBER 1 | JANUARY 2016 Nature GeNetics OPEN The behavior females 1 \u2013 4. This systems , comprising male (independents , satellites) that differ , plumage . Remarkably , the alleles 5 , 6 . Here - genome and differences . The Faeder . 5 - Mb that . 8 . We evolutionary by , 000 . The ruff which differences inverted . Independents constitute 80 \u2013 95% of male ruffs and strive to defend territories on leks 1 \u2013 3 , 7 . Independent males show a spectacular diver - sity in the color of their ruff and head tufts (Fig . 1a) .Satellitesareslightlysmallerthanindependents,usuallyshowwhiteruffandwhitetufts(Fig.1a)andconstitute5\u201320%ofmales7,8.Satellitesarenon-territorialanddisplaysubmissivebehavior,allowingindependentmalestodominatethematleks(Fig.1a,middle).Independentsclearlyrecognizesatellitesasadifferentkindofmaleandbehavedifferentlywithsatellitesthantheydowithotherindependents(seeURLsforalinktoavideoshowingthereproductivestrategiesofthethreemalemorphs).Bothindependentsandsatellitesmaybenefitfromtheirinteractionbyattractingfemales7.Thefaederisararethirdmorph(&lt;1%ofmaleruffs)mimickingfemalesbyitssmallersizeandfemale-likeplumage1,9,10(Fig.1a).Thesedisguisedmalesappearonthelekswheretheyattempttogainaccesstofemalesthatarereadytomate.Ahigh-qualitygenomeassemblywasestablishedusinggenomicDNAfromanindependentmalekeptattheHelsinkizooinFinland.Weestimatedthegenomesizetobe1.23Gbandgenerated139.3GbofIlluminaHiSeq2000sequencingdatausingfragmentlibrarieswithinsertsizesrangingfrom250bpto20kb(SupplementaryFigs.1\u20133andSupplementaryTable1).TheN50scaffoldsizewasashighas10.0Mb(SupplementaryTable2).Wegenerated~8\u00d7genomecoverageonthebasisof2\u00d7125-bppaired-endreadsfrom15independentandninesatellitemales,allfromasinglelocation.Ascreenbasedonthefixationindex(FST)comparingindependentsandsatellitesidentifiedasinglehighlydifferentiated4.5-Mbregiononscaffold28(Fig.1b).Independentsandsatellitesclusteredastwogeneticallydistinctgroupsinaphylo-genetictreebasedonthisregion(Fig.1c,left).Incontrast,therewasnosignificantdifferentiationbetweenthesegroupswhenthetreewasconstructedonthebasisoftherestofthegenome(Fig.1c,right).Wehypothesizedthatthelargeregionofstrongdifferentiationmightreflectthepresenceofaninversion.WeusedBreakDancer11toscreenforstructuralchangesandidentifieda4.5-Mbinversionpresentinsatellitesandoverlappingperfectlythedifferentiatedregion(Fig.1d).PCR-basedsequencingconfirmedaproximalbreakpointat5.8Mbandadistalbreakpointat10.3Mbandidentifieda2,108-bpinsertionofarepetitivesequence\u2026",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"Schwochow Thalmann", "given" : "Doreen",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"Ming-Yuen Lee", "given" : "Simon",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"id" : "ITEM-1", "issued" : { "date-parts" : [ [ "2015" ] ] }, "title" : "Structural genomic changes underlie alternative reproductive strategies in the ruff (Philomachus pugnax)", "type" : "article-journal"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Pr="008B0834">
        <w:rPr>
          <w:i w:val="0"/>
          <w:noProof/>
          <w:sz w:val="24"/>
          <w:szCs w:val="24"/>
        </w:rPr>
        <w:t>(Lamichhaney et al., 2015)</w:t>
      </w:r>
      <w:r w:rsidRPr="008B0834">
        <w:rPr>
          <w:sz w:val="24"/>
          <w:szCs w:val="24"/>
        </w:rPr>
        <w:fldChar w:fldCharType="end"/>
      </w:r>
    </w:p>
    <w:p w:rsidR="00C31495" w:rsidRDefault="00AC63F8" w:rsidP="00C31495">
      <w:pPr>
        <w:pStyle w:val="Pealkiri3"/>
      </w:pPr>
      <w:r>
        <w:lastRenderedPageBreak/>
        <w:t>GenomeTester4</w:t>
      </w:r>
    </w:p>
    <w:p w:rsidR="00A45ECD" w:rsidRDefault="00A45ECD" w:rsidP="00A45ECD">
      <w:r>
        <w:t>GenomeTester4 tarkvar</w:t>
      </w:r>
      <w:r w:rsidR="00995598">
        <w:t>a</w:t>
      </w:r>
      <w:r>
        <w:t xml:space="preserve">komplekt </w:t>
      </w:r>
      <w:r w:rsidR="00995598">
        <w:t>koosneb kolmest</w:t>
      </w:r>
      <w:r w:rsidR="00A100AC">
        <w:t xml:space="preserve"> </w:t>
      </w:r>
      <w:proofErr w:type="spellStart"/>
      <w:r w:rsidR="00A100AC">
        <w:t>k-mer</w:t>
      </w:r>
      <w:proofErr w:type="spellEnd"/>
      <w:r w:rsidR="00A100AC">
        <w:t xml:space="preserve"> andmete töötlemise</w:t>
      </w:r>
      <w:r w:rsidR="00995598">
        <w:t xml:space="preserve"> tööriistast </w:t>
      </w:r>
      <w:r w:rsidR="00167B3E">
        <w:t>–</w:t>
      </w:r>
      <w:r w:rsidR="00995598">
        <w:t xml:space="preserve"> </w:t>
      </w:r>
      <w:proofErr w:type="spellStart"/>
      <w:r w:rsidR="00167B3E">
        <w:t>GListMaker</w:t>
      </w:r>
      <w:proofErr w:type="spellEnd"/>
      <w:r w:rsidR="00167B3E">
        <w:t xml:space="preserve">, </w:t>
      </w:r>
      <w:proofErr w:type="spellStart"/>
      <w:r w:rsidR="00167B3E">
        <w:t>GListCompare</w:t>
      </w:r>
      <w:proofErr w:type="spellEnd"/>
      <w:r w:rsidR="00A100AC">
        <w:t xml:space="preserve"> ja </w:t>
      </w:r>
      <w:proofErr w:type="spellStart"/>
      <w:r w:rsidR="00A100AC">
        <w:t>GListQuery</w:t>
      </w:r>
      <w:proofErr w:type="spellEnd"/>
      <w:r w:rsidR="00A100AC">
        <w:t xml:space="preserve">. Programmid salvestavad andmed binaarformaadis failidesse, kus </w:t>
      </w:r>
      <w:proofErr w:type="spellStart"/>
      <w:r w:rsidR="00A100AC">
        <w:t>k-merid</w:t>
      </w:r>
      <w:proofErr w:type="spellEnd"/>
      <w:r w:rsidR="00A100AC">
        <w:t xml:space="preserve"> on kodeeritud 64 bitisteks märgita täisarvudeks ning </w:t>
      </w:r>
      <w:proofErr w:type="spellStart"/>
      <w:r w:rsidR="00A100AC">
        <w:t>k-meride</w:t>
      </w:r>
      <w:proofErr w:type="spellEnd"/>
      <w:r w:rsidR="00A100AC">
        <w:t xml:space="preserve"> arvud on 32 bitised märgita täisarvud. Tarkvarapaketi failidesse salvestatakse ainult </w:t>
      </w:r>
      <w:proofErr w:type="spellStart"/>
      <w:r w:rsidR="00A100AC">
        <w:t>k-meri</w:t>
      </w:r>
      <w:proofErr w:type="spellEnd"/>
      <w:r w:rsidR="00A100AC">
        <w:t xml:space="preserve"> kanooniline vorm – üks sama täisarv tähistab nii järjestust kui selle </w:t>
      </w:r>
      <w:proofErr w:type="spellStart"/>
      <w:r w:rsidR="00A100AC">
        <w:t>pöördkomplementi</w:t>
      </w:r>
      <w:proofErr w:type="spellEnd"/>
      <w:r w:rsidR="00A100AC">
        <w:t xml:space="preserve">. Kumba versiooni </w:t>
      </w:r>
      <w:proofErr w:type="spellStart"/>
      <w:r w:rsidR="00A100AC">
        <w:t>k-merist</w:t>
      </w:r>
      <w:proofErr w:type="spellEnd"/>
      <w:r w:rsidR="00A100AC">
        <w:t xml:space="preserve"> salvestatakse, otsustatakse selle põhjal, kumma täisarv-väärtus väiksem on.</w:t>
      </w:r>
      <w:r w:rsidR="00A83019">
        <w:t xml:space="preserve"> </w:t>
      </w:r>
      <w:r w:rsidR="00A83019">
        <w:fldChar w:fldCharType="begin" w:fldLock="1"/>
      </w:r>
      <w:r w:rsidR="005F6787">
        <w:instrText>ADDIN CSL_CITATION { "citationItems" : [ { "id" : "ITEM-1", "itemData" : { "DOI" : "10.1186/s13742-015-0097-y",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"id" : "ITEM-1", "issued" : { "date-parts" : [ [ "2015" ] ] }, "title" : "GenomeTester4: a toolkit for performing basic set operations - union, intersection and complement on k-mer lists", "type" : "article-journal" }, "uris" : [ "http://www.mendeley.com/documents/?uuid=1a1e266c-c747-3cd0-af88-593e76ff2ec3" ] } ], "mendeley" : { "formattedCitation" : "(Kaplinski, Lepamets, &amp; Remm, 2015)", "plainTextFormattedCitation" : "(Kaplinski, Lepamets, &amp; Remm, 2015)", "previouslyFormattedCitation" : "(Kaplinski, Lepamets, &amp; Remm, 2015)" }, "properties" : { "noteIndex" : 0 }, "schema" : "https://github.com/citation-style-language/schema/raw/master/csl-citation.json" }</w:instrText>
      </w:r>
      <w:r w:rsidR="00A83019">
        <w:fldChar w:fldCharType="separate"/>
      </w:r>
      <w:r w:rsidR="00A83019" w:rsidRPr="00A83019">
        <w:rPr>
          <w:noProof/>
        </w:rPr>
        <w:t>(Kaplinski, Lepamets, &amp; Remm, 2015)</w:t>
      </w:r>
      <w:r w:rsidR="00A83019">
        <w:fldChar w:fldCharType="end"/>
      </w:r>
    </w:p>
    <w:p w:rsidR="00A100AC" w:rsidRPr="00A45ECD" w:rsidRDefault="00A83019" w:rsidP="00A45ECD">
      <w:r>
        <w:t xml:space="preserve">Selleks, et GenomeTester4 tööriistu kasutada, tuleb nukleotiidjärjestustega FASTA failist teha </w:t>
      </w:r>
      <w:proofErr w:type="spellStart"/>
      <w:r>
        <w:t>k-mer</w:t>
      </w:r>
      <w:proofErr w:type="spellEnd"/>
      <w:r>
        <w:t xml:space="preserve"> tabel. Selle jaoks on tö</w:t>
      </w:r>
      <w:r w:rsidR="00DF7B4D">
        <w:t xml:space="preserve">öriist </w:t>
      </w:r>
      <w:proofErr w:type="spellStart"/>
      <w:r w:rsidR="00DF7B4D">
        <w:t>GListMaker</w:t>
      </w:r>
      <w:proofErr w:type="spellEnd"/>
      <w:r w:rsidR="00DF7B4D">
        <w:t xml:space="preserve">, mis valmistab </w:t>
      </w:r>
      <w:r w:rsidR="0045660C">
        <w:t>eelnevalt kirjeldatu list-faili.</w:t>
      </w:r>
      <w:r w:rsidR="005F6787">
        <w:t xml:space="preserve"> </w:t>
      </w:r>
      <w:r w:rsidR="005F6787">
        <w:fldChar w:fldCharType="begin" w:fldLock="1"/>
      </w:r>
      <w:r w:rsidR="00C3222D">
        <w:instrText>ADDIN CSL_CITATION { "citationItems" : [ { "id" : "ITEM-1", "itemData" : { "DOI" : "10.1186/s13742-015-0097-y",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"id" : "ITEM-1", "issued" : { "date-parts" : [ [ "2015" ] ] }, "title" : "GenomeTester4: a toolkit for performing basic set operations - union, intersection and complement on k-mer lists", "type" : "article-journal"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5F6787">
        <w:fldChar w:fldCharType="separate"/>
      </w:r>
      <w:r w:rsidR="005F6787" w:rsidRPr="005F6787">
        <w:rPr>
          <w:noProof/>
        </w:rPr>
        <w:t>(Kaplinski et al., 2015)</w:t>
      </w:r>
      <w:r w:rsidR="005F6787">
        <w:fldChar w:fldCharType="end"/>
      </w:r>
    </w:p>
    <w:p w:rsidR="00E26370" w:rsidRDefault="003D370E" w:rsidP="00B708C4">
      <w:pPr>
        <w:pStyle w:val="Pealkiri1"/>
      </w:pPr>
      <w:r>
        <w:t>Eksperimentaalosa</w:t>
      </w:r>
    </w:p>
    <w:p w:rsidR="00422CE6" w:rsidRDefault="00F20B23" w:rsidP="00F20B23">
      <w:pPr>
        <w:pStyle w:val="Pealkiri2"/>
      </w:pPr>
      <w:r>
        <w:t>Töö eesmärgid</w:t>
      </w:r>
    </w:p>
    <w:p w:rsidR="00466AB3" w:rsidRDefault="00466AB3" w:rsidP="00466AB3">
      <w:r>
        <w:t>Selle töö eesmärgid on:</w:t>
      </w:r>
    </w:p>
    <w:p w:rsidR="009945F4" w:rsidRDefault="009945F4" w:rsidP="009945F4">
      <w:pPr>
        <w:pStyle w:val="Loendilik"/>
        <w:numPr>
          <w:ilvl w:val="0"/>
          <w:numId w:val="5"/>
        </w:numPr>
      </w:pPr>
      <w:r>
        <w:t xml:space="preserve">analüüsida ja arendada meetod suure hulga </w:t>
      </w:r>
      <w:proofErr w:type="spellStart"/>
      <w:r>
        <w:t>sekveneerimisandmete</w:t>
      </w:r>
      <w:proofErr w:type="spellEnd"/>
      <w:r>
        <w:t xml:space="preserve"> töötlemiseks</w:t>
      </w:r>
    </w:p>
    <w:p w:rsidR="009945F4" w:rsidRDefault="009945F4" w:rsidP="009945F4">
      <w:pPr>
        <w:pStyle w:val="Loendilik"/>
        <w:numPr>
          <w:ilvl w:val="0"/>
          <w:numId w:val="5"/>
        </w:numPr>
      </w:pPr>
      <w:r w:rsidRPr="00525CA6">
        <w:t xml:space="preserve">leida lihtne viis </w:t>
      </w:r>
      <w:proofErr w:type="spellStart"/>
      <w:r w:rsidRPr="00525CA6">
        <w:t>k-meride</w:t>
      </w:r>
      <w:proofErr w:type="spellEnd"/>
      <w:r w:rsidRPr="00525CA6">
        <w:t xml:space="preserve"> abil katvuse määramiseks</w:t>
      </w:r>
    </w:p>
    <w:p w:rsidR="00525CA6" w:rsidRDefault="00525CA6" w:rsidP="00525CA6">
      <w:pPr>
        <w:pStyle w:val="Loendilik"/>
        <w:numPr>
          <w:ilvl w:val="0"/>
          <w:numId w:val="5"/>
        </w:numPr>
      </w:pPr>
      <w:r w:rsidRPr="00525CA6">
        <w:t xml:space="preserve">määrata teise generatsiooni madala katvusega </w:t>
      </w:r>
      <w:proofErr w:type="spellStart"/>
      <w:r w:rsidRPr="00525CA6">
        <w:t>sekveneerimisandmete</w:t>
      </w:r>
      <w:proofErr w:type="spellEnd"/>
      <w:r w:rsidRPr="00525CA6">
        <w:t xml:space="preserve"> kogu põhjal keskmised </w:t>
      </w:r>
      <w:proofErr w:type="spellStart"/>
      <w:r w:rsidRPr="00525CA6">
        <w:t>telomeeride</w:t>
      </w:r>
      <w:proofErr w:type="spellEnd"/>
      <w:r w:rsidRPr="00525CA6">
        <w:t xml:space="preserve"> pikkused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proofErr w:type="spellStart"/>
      <w:r w:rsidRPr="00092E9F">
        <w:rPr>
          <w:b/>
        </w:rPr>
        <w:t>sekveneerimisandmete</w:t>
      </w:r>
      <w:proofErr w:type="spellEnd"/>
      <w:r w:rsidRPr="00092E9F">
        <w:rPr>
          <w:b/>
        </w:rPr>
        <w:t xml:space="preserve"> kogu põhjal </w:t>
      </w:r>
      <w:r w:rsidR="0011516E" w:rsidRPr="00092E9F">
        <w:rPr>
          <w:b/>
        </w:rPr>
        <w:t xml:space="preserve">keskmised </w:t>
      </w:r>
      <w:proofErr w:type="spellStart"/>
      <w:r w:rsidR="0011516E" w:rsidRPr="00092E9F">
        <w:rPr>
          <w:b/>
        </w:rPr>
        <w:t>telomeeride</w:t>
      </w:r>
      <w:proofErr w:type="spellEnd"/>
      <w:r w:rsidR="0011516E" w:rsidRPr="00092E9F">
        <w:rPr>
          <w:b/>
        </w:rPr>
        <w:t xml:space="preserve"> pikkused</w:t>
      </w:r>
      <w:r w:rsidR="0011516E">
        <w:t xml:space="preserve"> (E</w:t>
      </w:r>
      <w:r w:rsidR="005D454F">
        <w:t>3</w:t>
      </w:r>
      <w:r w:rsidR="0011516E">
        <w:t>)</w:t>
      </w:r>
      <w:r w:rsidR="00822B0D">
        <w:t xml:space="preserve">. </w:t>
      </w:r>
      <w:r w:rsidR="00936C66">
        <w:t>E</w:t>
      </w:r>
      <w:r w:rsidR="00822B0D">
        <w:t>elnevalt kirjeldatud</w:t>
      </w:r>
      <w:r w:rsidR="00936C66">
        <w:t xml:space="preserve"> </w:t>
      </w:r>
      <w:proofErr w:type="spellStart"/>
      <w:r w:rsidR="00936C66">
        <w:t>telomeeride</w:t>
      </w:r>
      <w:proofErr w:type="spellEnd"/>
      <w:r w:rsidR="00936C66">
        <w:t xml:space="preserve"> pikkuse määramise</w:t>
      </w:r>
      <w:r w:rsidR="00822B0D">
        <w:t xml:space="preserve"> keemilised meetodid on aeganõudvad, </w:t>
      </w:r>
      <w:proofErr w:type="spellStart"/>
      <w:r w:rsidR="00822B0D">
        <w:t>inimtööj</w:t>
      </w:r>
      <w:r w:rsidR="00936C66">
        <w:t>õust</w:t>
      </w:r>
      <w:proofErr w:type="spellEnd"/>
      <w:r w:rsidR="00936C66">
        <w:t xml:space="preserve"> sõltuvad ning veaohtlikud. Samas peetakse </w:t>
      </w:r>
      <w:proofErr w:type="spellStart"/>
      <w:r w:rsidR="00936C66">
        <w:t>telomeeride</w:t>
      </w:r>
      <w:proofErr w:type="spellEnd"/>
      <w:r w:rsidR="00936C66">
        <w:t xml:space="preserve"> pikkust näitajaks, mis võib abiks olla mitmete haiguste ja tervislike seisundite määramisel ja hindamisel. Ka muutub terve genoomi </w:t>
      </w:r>
      <w:proofErr w:type="spellStart"/>
      <w:r w:rsidR="00936C66">
        <w:t>sekveneerimine</w:t>
      </w:r>
      <w:proofErr w:type="spellEnd"/>
      <w:r w:rsidR="00936C66">
        <w:t xml:space="preserve"> iga aastaga odavamaks. Nendest teadmistest johtuvalt on </w:t>
      </w:r>
      <w:proofErr w:type="spellStart"/>
      <w:r w:rsidR="00936C66">
        <w:t>sekveneerimisandmetest</w:t>
      </w:r>
      <w:proofErr w:type="spellEnd"/>
      <w:r w:rsidR="00936C66">
        <w:t xml:space="preserve"> </w:t>
      </w:r>
      <w:proofErr w:type="spellStart"/>
      <w:r w:rsidR="00936C66">
        <w:t>telomeeride</w:t>
      </w:r>
      <w:proofErr w:type="spellEnd"/>
      <w:r w:rsidR="00936C66">
        <w:t xml:space="preserve"> pikkuse määramiseks vajalik käepäraste, kiirete ja täpsete meetodite olemasolu.</w:t>
      </w:r>
    </w:p>
    <w:p w:rsidR="00822B0D" w:rsidRDefault="00092E9F" w:rsidP="00F20B23">
      <w:r>
        <w:t xml:space="preserve">Kuna </w:t>
      </w:r>
      <w:proofErr w:type="spellStart"/>
      <w:r>
        <w:t>telomeeride</w:t>
      </w:r>
      <w:proofErr w:type="spellEnd"/>
      <w:r>
        <w:t xml:space="preserve"> pikkuse hindamiseks on vaja </w:t>
      </w:r>
      <w:proofErr w:type="spellStart"/>
      <w:r>
        <w:t>sekveneerimisandmete</w:t>
      </w:r>
      <w:proofErr w:type="spellEnd"/>
      <w:r>
        <w:t xml:space="preserve"> katvust, on töö </w:t>
      </w:r>
      <w:proofErr w:type="spellStart"/>
      <w:r>
        <w:t>kõrvaleesmärgiks</w:t>
      </w:r>
      <w:proofErr w:type="spellEnd"/>
      <w:r>
        <w:t xml:space="preserve"> </w:t>
      </w:r>
      <w:r w:rsidRPr="00E550B6">
        <w:rPr>
          <w:b/>
        </w:rPr>
        <w:t xml:space="preserve">leida lihtne viis </w:t>
      </w:r>
      <w:proofErr w:type="spellStart"/>
      <w:r w:rsidR="00A437BF">
        <w:rPr>
          <w:b/>
        </w:rPr>
        <w:t>k-meride</w:t>
      </w:r>
      <w:proofErr w:type="spellEnd"/>
      <w:r w:rsidR="00A437BF">
        <w:rPr>
          <w:b/>
        </w:rPr>
        <w:t xml:space="preserve"> abil </w:t>
      </w:r>
      <w:r w:rsidRPr="00E550B6">
        <w:rPr>
          <w:b/>
        </w:rPr>
        <w:t>katvuse määramiseks</w:t>
      </w:r>
      <w:r>
        <w:t xml:space="preserve"> (E2).</w:t>
      </w:r>
    </w:p>
    <w:p w:rsidR="00092E9F" w:rsidRDefault="00092E9F" w:rsidP="00F20B23">
      <w:r>
        <w:lastRenderedPageBreak/>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 xml:space="preserve"> (E</w:t>
      </w:r>
      <w:r w:rsidR="005D454F">
        <w:t>1</w:t>
      </w:r>
      <w:r w:rsidR="00E550B6">
        <w:t>).</w:t>
      </w:r>
    </w:p>
    <w:p w:rsidR="00E763F8" w:rsidRDefault="00BE5F40" w:rsidP="00E763F8">
      <w:pPr>
        <w:pStyle w:val="Pealkiri2"/>
      </w:pPr>
      <w:r>
        <w:t>Metoodika</w:t>
      </w:r>
      <w:r w:rsidR="00411811">
        <w:t xml:space="preserve"> ja materjalid</w:t>
      </w:r>
    </w:p>
    <w:p w:rsidR="001749F5" w:rsidRPr="00DE5585" w:rsidRDefault="001749F5" w:rsidP="001749F5">
      <w:pPr>
        <w:pStyle w:val="Pealkiri3"/>
      </w:pPr>
      <w:r>
        <w:t>Arenduskeskkond ja tööriistad</w:t>
      </w:r>
    </w:p>
    <w:p w:rsidR="005D5163" w:rsidRDefault="001749F5" w:rsidP="00E763F8">
      <w:r>
        <w:t>Tänapäevane tarkvaraarendus peaks probleemivaldkonnast sõltumatult soodustama nii gruppide sisest kui -vahelist koostööd ning olema platvormi-</w:t>
      </w:r>
      <w:proofErr w:type="spellStart"/>
      <w:r>
        <w:t>agnostiline</w:t>
      </w:r>
      <w:proofErr w:type="spellEnd"/>
      <w:r w:rsidR="005D5163">
        <w:t>.</w:t>
      </w:r>
      <w:r w:rsidR="00C23CF0">
        <w:t xml:space="preserve"> Töövahendid valiti sellest printsiibist lähtuvalt.</w:t>
      </w:r>
      <w:r w:rsidR="005D5163">
        <w:t xml:space="preserve"> Kogu töö käigus valminud lähtekood on saadaval aadressil </w:t>
      </w:r>
      <w:hyperlink r:id="rId12" w:history="1">
        <w:r w:rsidR="005D5163" w:rsidRPr="00807AF2">
          <w:rPr>
            <w:rStyle w:val="Hperlink"/>
          </w:rPr>
          <w:t>https://github.com/karlerss/telomere-length</w:t>
        </w:r>
      </w:hyperlink>
      <w:r w:rsidR="005D5163">
        <w:t xml:space="preserve">. </w:t>
      </w:r>
    </w:p>
    <w:p w:rsidR="005F7012" w:rsidRDefault="002D7125" w:rsidP="00E763F8">
      <w:r>
        <w:t xml:space="preserve">Kuna võimalustele vastavalt oli arenduskeskkonnaks Windows-arvuti, aga terve analüüsi teostamise keskkonnaks 64 bitine </w:t>
      </w:r>
      <w:proofErr w:type="spellStart"/>
      <w:r>
        <w:t>linux</w:t>
      </w:r>
      <w:proofErr w:type="spellEnd"/>
      <w:r>
        <w:t xml:space="preserve">-arvuti, viidi keskkondade erinevusest tekkivate probleemide vältimiseks kogu arendus läbi </w:t>
      </w:r>
      <w:proofErr w:type="spellStart"/>
      <w:r>
        <w:t>Docker</w:t>
      </w:r>
      <w:proofErr w:type="spellEnd"/>
      <w:r>
        <w:t>-konteineris (</w:t>
      </w:r>
      <w:hyperlink r:id="rId13" w:history="1">
        <w:r w:rsidRPr="00807AF2">
          <w:rPr>
            <w:rStyle w:val="Hperlink"/>
          </w:rPr>
          <w:t>https://github.com/karlerss/telomere-length/blob/master/Dockerfile</w:t>
        </w:r>
      </w:hyperlink>
      <w:r>
        <w:t xml:space="preserve">). </w:t>
      </w:r>
      <w:r w:rsidR="005D5163">
        <w:t xml:space="preserve">Alussüsteemiks kasutati </w:t>
      </w:r>
      <w:proofErr w:type="spellStart"/>
      <w:r w:rsidR="005D5163" w:rsidRPr="005D5163">
        <w:t>biocontainers</w:t>
      </w:r>
      <w:proofErr w:type="spellEnd"/>
      <w:r w:rsidR="005D5163" w:rsidRPr="005D5163">
        <w:t>/</w:t>
      </w:r>
      <w:proofErr w:type="spellStart"/>
      <w:r w:rsidR="005D5163" w:rsidRPr="005D5163">
        <w:t>biocontainers</w:t>
      </w:r>
      <w:proofErr w:type="spellEnd"/>
      <w:r w:rsidR="005D5163">
        <w:t xml:space="preserve"> tõmmise </w:t>
      </w:r>
      <w:proofErr w:type="spellStart"/>
      <w:r w:rsidR="005D5163">
        <w:t>uusimat</w:t>
      </w:r>
      <w:proofErr w:type="spellEnd"/>
      <w:r w:rsidR="005D5163">
        <w:t xml:space="preserve"> versiooni. </w:t>
      </w:r>
      <w:proofErr w:type="spellStart"/>
      <w:r w:rsidR="005D5163">
        <w:t>SraTools</w:t>
      </w:r>
      <w:proofErr w:type="spellEnd"/>
      <w:r w:rsidR="005D5163">
        <w:t xml:space="preserve"> 2.8.1 lisati </w:t>
      </w:r>
      <w:proofErr w:type="spellStart"/>
      <w:r w:rsidR="005D5163">
        <w:t>docker</w:t>
      </w:r>
      <w:proofErr w:type="spellEnd"/>
      <w:r w:rsidR="005D5163">
        <w:t xml:space="preserve">-konteinerisse </w:t>
      </w:r>
      <w:proofErr w:type="spellStart"/>
      <w:r w:rsidR="005D5163">
        <w:t>conda</w:t>
      </w:r>
      <w:proofErr w:type="spellEnd"/>
      <w:r w:rsidR="005D5163">
        <w:t xml:space="preserve"> pakihaldussüsteemi abil. </w:t>
      </w:r>
      <w:proofErr w:type="spellStart"/>
      <w:r w:rsidR="005D5163">
        <w:t>Python</w:t>
      </w:r>
      <w:proofErr w:type="spellEnd"/>
      <w:r w:rsidR="005D5163">
        <w:t xml:space="preserve"> programmi</w:t>
      </w:r>
      <w:r w:rsidR="00D35ED8">
        <w:t>de</w:t>
      </w:r>
      <w:r w:rsidR="005D5163">
        <w:t xml:space="preserve"> toimimiseks vajalikud teegid lisati </w:t>
      </w:r>
      <w:proofErr w:type="spellStart"/>
      <w:r w:rsidR="005D5163">
        <w:t>pip</w:t>
      </w:r>
      <w:proofErr w:type="spellEnd"/>
      <w:r w:rsidR="00EF2784">
        <w:t xml:space="preserve"> pakihalduri</w:t>
      </w:r>
      <w:r w:rsidR="005D5163">
        <w:t xml:space="preserve"> abil. GenomeTester4 binaarfailid kopeeriti käesoleva töö </w:t>
      </w:r>
      <w:proofErr w:type="spellStart"/>
      <w:r w:rsidR="005D5163">
        <w:t>repositooriumisse</w:t>
      </w:r>
      <w:proofErr w:type="spellEnd"/>
      <w:r w:rsidR="005D5163">
        <w:t xml:space="preserve"> ning lisati sealt </w:t>
      </w:r>
      <w:proofErr w:type="spellStart"/>
      <w:r w:rsidR="005D5163">
        <w:t>docker</w:t>
      </w:r>
      <w:proofErr w:type="spellEnd"/>
      <w:r w:rsidR="005D5163">
        <w:t>-konteinerisse.</w:t>
      </w:r>
    </w:p>
    <w:p w:rsidR="005F7012" w:rsidRDefault="007523DF" w:rsidP="00E763F8">
      <w:r>
        <w:t xml:space="preserve">Andmete laadimisprogrammi käsurealiidese loomiseks kasutati </w:t>
      </w:r>
      <w:proofErr w:type="spellStart"/>
      <w:r>
        <w:t>click</w:t>
      </w:r>
      <w:proofErr w:type="spellEnd"/>
      <w:r>
        <w:t>-teeki, mis hoolitseb käsureaargumentide ning seadete sõelumise ja valideerimise eest.</w:t>
      </w:r>
      <w:r w:rsidR="00C2631E">
        <w:t xml:space="preserve"> (</w:t>
      </w:r>
      <w:hyperlink r:id="rId14" w:history="1">
        <w:r w:rsidR="00C2631E" w:rsidRPr="00807AF2">
          <w:rPr>
            <w:rStyle w:val="Hperlink"/>
          </w:rPr>
          <w:t>http://click.pocoo.org/5/</w:t>
        </w:r>
      </w:hyperlink>
      <w:r w:rsidR="00F3715D">
        <w:t>)</w:t>
      </w:r>
    </w:p>
    <w:p w:rsidR="00901B60" w:rsidRDefault="00724A4A" w:rsidP="00E763F8">
      <w:r>
        <w:t xml:space="preserve">Andmete agregeerimine viidi läbi </w:t>
      </w:r>
      <w:proofErr w:type="spellStart"/>
      <w:r>
        <w:t>CentOS</w:t>
      </w:r>
      <w:proofErr w:type="spellEnd"/>
      <w:r>
        <w:t xml:space="preserve"> 7 arvutis, millel on 32 protsessorituuma ning 512GB muutmälu.</w:t>
      </w:r>
    </w:p>
    <w:p w:rsidR="002272DE" w:rsidRDefault="00B24042" w:rsidP="00E763F8">
      <w:r>
        <w:t xml:space="preserve">Huvipakkuvate </w:t>
      </w:r>
      <w:proofErr w:type="spellStart"/>
      <w:r>
        <w:t>k-meride</w:t>
      </w:r>
      <w:proofErr w:type="spellEnd"/>
      <w:r>
        <w:t xml:space="preserve"> </w:t>
      </w:r>
      <w:r w:rsidR="00832352">
        <w:t xml:space="preserve">sageduste </w:t>
      </w:r>
      <w:r>
        <w:t xml:space="preserve">analüüs viidi läbi </w:t>
      </w:r>
      <w:proofErr w:type="spellStart"/>
      <w:r w:rsidR="00AD2450">
        <w:t>J</w:t>
      </w:r>
      <w:r>
        <w:t>upyter</w:t>
      </w:r>
      <w:proofErr w:type="spellEnd"/>
      <w:r w:rsidR="00B2174C">
        <w:t xml:space="preserve"> interaktiivses keskkonnas (</w:t>
      </w:r>
      <w:hyperlink r:id="rId15" w:history="1">
        <w:r w:rsidR="00B2174C" w:rsidRPr="00807AF2">
          <w:rPr>
            <w:rStyle w:val="Hperlink"/>
          </w:rPr>
          <w:t>http://jupyter.org/</w:t>
        </w:r>
      </w:hyperlink>
      <w:r w:rsidR="00B2174C">
        <w:t xml:space="preserve">). </w:t>
      </w:r>
      <w:r w:rsidR="00C62B9A">
        <w:t>Tulemused visualiseeriti</w:t>
      </w:r>
      <w:r w:rsidR="00901B60">
        <w:t xml:space="preserve"> </w:t>
      </w:r>
      <w:proofErr w:type="spellStart"/>
      <w:r w:rsidR="00901B60">
        <w:t>python</w:t>
      </w:r>
      <w:proofErr w:type="spellEnd"/>
      <w:r w:rsidR="00901B60">
        <w:t xml:space="preserve"> teegi</w:t>
      </w:r>
      <w:r w:rsidR="00C62B9A">
        <w:t xml:space="preserve"> </w:t>
      </w:r>
      <w:proofErr w:type="spellStart"/>
      <w:r w:rsidR="00C62B9A">
        <w:t>matplotlib</w:t>
      </w:r>
      <w:proofErr w:type="spellEnd"/>
      <w:r w:rsidR="00C62B9A">
        <w:t xml:space="preserve"> abil (</w:t>
      </w:r>
      <w:hyperlink r:id="rId16" w:history="1">
        <w:r w:rsidR="00C62B9A" w:rsidRPr="00807AF2">
          <w:rPr>
            <w:rStyle w:val="Hperlink"/>
          </w:rPr>
          <w:t>https://matplotlib.org/</w:t>
        </w:r>
      </w:hyperlink>
      <w:r w:rsidR="00C62B9A">
        <w:t xml:space="preserve">). </w:t>
      </w:r>
    </w:p>
    <w:p w:rsidR="00411811" w:rsidRDefault="00975122" w:rsidP="00411811">
      <w:pPr>
        <w:pStyle w:val="Pealkiri3"/>
      </w:pPr>
      <w:proofErr w:type="spellStart"/>
      <w:r>
        <w:t>K-meride</w:t>
      </w:r>
      <w:proofErr w:type="spellEnd"/>
      <w:r>
        <w:t xml:space="preserve"> valik</w:t>
      </w:r>
    </w:p>
    <w:p w:rsidR="007C531B" w:rsidRPr="007C531B" w:rsidRDefault="00EA0223" w:rsidP="007C531B">
      <w:proofErr w:type="spellStart"/>
      <w:r>
        <w:t>K-meride</w:t>
      </w:r>
      <w:proofErr w:type="spellEnd"/>
      <w:r>
        <w:t xml:space="preserve"> nimekirja faili valiti nelja tüüpi </w:t>
      </w:r>
      <w:proofErr w:type="spellStart"/>
      <w:r>
        <w:t>k-mere</w:t>
      </w:r>
      <w:proofErr w:type="spellEnd"/>
      <w:r>
        <w:t xml:space="preserve">. Esimesel real on </w:t>
      </w:r>
      <w:proofErr w:type="spellStart"/>
      <w:r>
        <w:t>telomeeri</w:t>
      </w:r>
      <w:proofErr w:type="spellEnd"/>
      <w:r>
        <w:t xml:space="preserve"> </w:t>
      </w:r>
      <w:proofErr w:type="spellStart"/>
      <w:r>
        <w:t>k-mer</w:t>
      </w:r>
      <w:proofErr w:type="spellEnd"/>
      <w:r>
        <w:t xml:space="preserve">, ridadel 2-1319 on juhuslik valik mitmesugustest </w:t>
      </w:r>
      <w:proofErr w:type="spellStart"/>
      <w:r>
        <w:t>k-meridest</w:t>
      </w:r>
      <w:proofErr w:type="spellEnd"/>
      <w:r>
        <w:t>, mis erinevates geenides esinevad.</w:t>
      </w:r>
      <w:r w:rsidR="008454AF">
        <w:t xml:space="preserve"> Samas järjekorras </w:t>
      </w:r>
      <w:proofErr w:type="spellStart"/>
      <w:r w:rsidR="008454AF">
        <w:t>k-merid</w:t>
      </w:r>
      <w:proofErr w:type="spellEnd"/>
      <w:r w:rsidR="008454AF">
        <w:t xml:space="preserve"> koos geenide ENSG-identifikaatoritega on kättesaadav aadressil </w:t>
      </w:r>
      <w:hyperlink r:id="rId17" w:history="1">
        <w:r w:rsidR="008454AF" w:rsidRPr="00686A68">
          <w:rPr>
            <w:rStyle w:val="Hperlink"/>
          </w:rPr>
          <w:t>https://github.com/karlerss/telomere-length/blob/master/tlenpy/kmer_sample.txt</w:t>
        </w:r>
      </w:hyperlink>
      <w:r w:rsidR="008454AF">
        <w:t xml:space="preserve">. </w:t>
      </w:r>
      <w:r>
        <w:t xml:space="preserve">Ridadel 1320-1583 on erinevad Alu-elementide </w:t>
      </w:r>
      <w:proofErr w:type="spellStart"/>
      <w:r>
        <w:t>k-meride</w:t>
      </w:r>
      <w:proofErr w:type="spellEnd"/>
      <w:r>
        <w:t xml:space="preserve"> nimekiri, mis on eelnevalt uurimisgrupis </w:t>
      </w:r>
      <w:r>
        <w:lastRenderedPageBreak/>
        <w:t xml:space="preserve">koostatud. Ridadel 1584-3083 on mitmesugused </w:t>
      </w:r>
      <w:proofErr w:type="spellStart"/>
      <w:r>
        <w:t>telomeeri</w:t>
      </w:r>
      <w:proofErr w:type="spellEnd"/>
      <w:r>
        <w:t xml:space="preserve"> pikkusega </w:t>
      </w:r>
      <w:proofErr w:type="spellStart"/>
      <w:r>
        <w:t>asstotsieeritud</w:t>
      </w:r>
      <w:proofErr w:type="spellEnd"/>
      <w:r>
        <w:t xml:space="preserve"> SNP-</w:t>
      </w:r>
      <w:proofErr w:type="spellStart"/>
      <w:r>
        <w:t>sid</w:t>
      </w:r>
      <w:proofErr w:type="spellEnd"/>
      <w:r>
        <w:t xml:space="preserve"> sisaldavad </w:t>
      </w:r>
      <w:proofErr w:type="spellStart"/>
      <w:r>
        <w:t>k-merid</w:t>
      </w:r>
      <w:proofErr w:type="spellEnd"/>
      <w:r>
        <w:t>, mis selles töös genoomide madala katvuse tõttu kasutust ei leia.</w:t>
      </w:r>
      <w:r w:rsidR="003D4375">
        <w:t xml:space="preserve"> Terve </w:t>
      </w:r>
      <w:proofErr w:type="spellStart"/>
      <w:r w:rsidR="003D4375">
        <w:t>k-meride</w:t>
      </w:r>
      <w:proofErr w:type="spellEnd"/>
      <w:r w:rsidR="003D4375">
        <w:t xml:space="preserve"> n</w:t>
      </w:r>
      <w:r w:rsidR="00C46C54">
        <w:t xml:space="preserve">imekiri on kättesaadav aadressil </w:t>
      </w:r>
      <w:hyperlink r:id="rId18" w:history="1">
        <w:r w:rsidR="00C46C54" w:rsidRPr="00686A68">
          <w:rPr>
            <w:rStyle w:val="Hperlink"/>
          </w:rPr>
          <w:t>https://github.com/karlerss/telomere-length/blob/master/tlenpy/kmer_sample_min.txt</w:t>
        </w:r>
      </w:hyperlink>
      <w:r w:rsidR="00C46C54">
        <w:t xml:space="preserve">. </w:t>
      </w:r>
    </w:p>
    <w:p w:rsidR="00411811" w:rsidRPr="00411811" w:rsidRDefault="00411811" w:rsidP="00411811">
      <w:pPr>
        <w:pStyle w:val="Pealkiri3"/>
      </w:pPr>
      <w:r>
        <w:t>Andmestik</w:t>
      </w:r>
    </w:p>
    <w:p w:rsidR="00026D46" w:rsidRPr="00975122" w:rsidRDefault="00B8166E" w:rsidP="00975122">
      <w:r>
        <w:t>Töö jaoks kasutati teoreetilises osas tutvustatud CONVERGE andmekogu.</w:t>
      </w:r>
      <w:r w:rsidR="007641AD">
        <w:t xml:space="preserve"> </w:t>
      </w:r>
      <w:proofErr w:type="spellStart"/>
      <w:r w:rsidR="007641AD">
        <w:t>Sekveneerimisandmetest</w:t>
      </w:r>
      <w:proofErr w:type="spellEnd"/>
      <w:r w:rsidR="007641AD">
        <w:t xml:space="preserve"> eraldati valitud </w:t>
      </w:r>
      <w:proofErr w:type="spellStart"/>
      <w:r w:rsidR="007641AD">
        <w:t>k-meride</w:t>
      </w:r>
      <w:proofErr w:type="spellEnd"/>
      <w:r w:rsidR="007641AD">
        <w:t xml:space="preserve"> arvud get_srr.py programmi abil, mis väljastas iga genoomi kohta ühe tekstifaili, kus on igal real tabeldusmärgiga eraldatud </w:t>
      </w:r>
      <w:proofErr w:type="spellStart"/>
      <w:r w:rsidR="007641AD">
        <w:t>k-meri</w:t>
      </w:r>
      <w:proofErr w:type="spellEnd"/>
      <w:r w:rsidR="007641AD">
        <w:t xml:space="preserve"> järjestus ning esinemiskordade arv.</w:t>
      </w:r>
    </w:p>
    <w:p w:rsidR="00BE5F40" w:rsidRDefault="00BE5F40" w:rsidP="00BE5F40">
      <w:pPr>
        <w:pStyle w:val="Pealkiri2"/>
      </w:pPr>
      <w:r>
        <w:t>Tulemused</w:t>
      </w:r>
    </w:p>
    <w:p w:rsidR="00CD666D" w:rsidRDefault="00CD666D" w:rsidP="00CD666D">
      <w:pPr>
        <w:pStyle w:val="Pealkiri3"/>
      </w:pPr>
      <w:proofErr w:type="spellStart"/>
      <w:r>
        <w:t>Sekveneerimisandmete</w:t>
      </w:r>
      <w:proofErr w:type="spellEnd"/>
      <w:r>
        <w:t xml:space="preserve"> analüüsi meetod</w:t>
      </w:r>
    </w:p>
    <w:p w:rsidR="00CD666D" w:rsidRDefault="00CD666D" w:rsidP="00CD666D">
      <w:proofErr w:type="spellStart"/>
      <w:r>
        <w:t>K-mer</w:t>
      </w:r>
      <w:proofErr w:type="spellEnd"/>
      <w:r>
        <w:t xml:space="preserve"> metoodika abil uurimiseesmärkide saavutamiseks peavad ühe inimese andmed läbima järgnevad sammud</w:t>
      </w:r>
      <w:r w:rsidR="00ED498D">
        <w:t xml:space="preserve"> (sulgudes välise programmi nimi)</w:t>
      </w:r>
      <w:r>
        <w:t>:</w:t>
      </w:r>
    </w:p>
    <w:p w:rsidR="00CD666D" w:rsidRDefault="00CD666D" w:rsidP="00CD666D">
      <w:pPr>
        <w:pStyle w:val="Loendilik"/>
        <w:numPr>
          <w:ilvl w:val="0"/>
          <w:numId w:val="3"/>
        </w:numPr>
      </w:pPr>
      <w:r>
        <w:t>Andmete allalaadimine internetist (</w:t>
      </w:r>
      <w:proofErr w:type="spellStart"/>
      <w:r>
        <w:t>prefetch</w:t>
      </w:r>
      <w:proofErr w:type="spellEnd"/>
      <w:r>
        <w:t>)</w:t>
      </w:r>
    </w:p>
    <w:p w:rsidR="00CD666D" w:rsidRDefault="00CD666D" w:rsidP="00CD666D">
      <w:pPr>
        <w:pStyle w:val="Loendilik"/>
        <w:numPr>
          <w:ilvl w:val="0"/>
          <w:numId w:val="3"/>
        </w:numPr>
      </w:pPr>
      <w:r>
        <w:t xml:space="preserve">Allalaetud andmete viimine </w:t>
      </w:r>
      <w:proofErr w:type="spellStart"/>
      <w:r>
        <w:t>fasta</w:t>
      </w:r>
      <w:proofErr w:type="spellEnd"/>
      <w:r>
        <w:t>-formaati (</w:t>
      </w:r>
      <w:proofErr w:type="spellStart"/>
      <w:r>
        <w:t>fastq-dump</w:t>
      </w:r>
      <w:proofErr w:type="spellEnd"/>
      <w:r>
        <w:t>)</w:t>
      </w:r>
    </w:p>
    <w:p w:rsidR="00CD666D" w:rsidRDefault="00CD666D" w:rsidP="00CD666D">
      <w:pPr>
        <w:pStyle w:val="Loendilik"/>
        <w:numPr>
          <w:ilvl w:val="0"/>
          <w:numId w:val="3"/>
        </w:numPr>
      </w:pPr>
      <w:proofErr w:type="spellStart"/>
      <w:r w:rsidRPr="00C11606">
        <w:rPr>
          <w:i/>
        </w:rPr>
        <w:t>Read</w:t>
      </w:r>
      <w:r>
        <w:t>ide</w:t>
      </w:r>
      <w:proofErr w:type="spellEnd"/>
      <w:r>
        <w:t xml:space="preserve"> </w:t>
      </w:r>
      <w:proofErr w:type="spellStart"/>
      <w:r>
        <w:t>fasta</w:t>
      </w:r>
      <w:proofErr w:type="spellEnd"/>
      <w:r>
        <w:t xml:space="preserve"> failist </w:t>
      </w:r>
      <w:proofErr w:type="spellStart"/>
      <w:r>
        <w:t>k-meride</w:t>
      </w:r>
      <w:proofErr w:type="spellEnd"/>
      <w:r>
        <w:t xml:space="preserve"> sagedustabeli tegemine (</w:t>
      </w:r>
      <w:proofErr w:type="spellStart"/>
      <w:r>
        <w:t>glistmaker</w:t>
      </w:r>
      <w:proofErr w:type="spellEnd"/>
      <w:r>
        <w:t>)</w:t>
      </w:r>
    </w:p>
    <w:p w:rsidR="00CD666D" w:rsidRDefault="00CD666D" w:rsidP="00CD666D">
      <w:pPr>
        <w:pStyle w:val="Loendilik"/>
        <w:numPr>
          <w:ilvl w:val="0"/>
          <w:numId w:val="3"/>
        </w:numPr>
      </w:pPr>
      <w:r>
        <w:t xml:space="preserve">Sagedustabelist huvipakkuvate </w:t>
      </w:r>
      <w:proofErr w:type="spellStart"/>
      <w:r>
        <w:t>k-meride</w:t>
      </w:r>
      <w:proofErr w:type="spellEnd"/>
      <w:r>
        <w:t xml:space="preserve"> sageduse päringu tegemine (</w:t>
      </w:r>
      <w:proofErr w:type="spellStart"/>
      <w:r>
        <w:t>glistquery</w:t>
      </w:r>
      <w:proofErr w:type="spellEnd"/>
      <w:r>
        <w:t>)</w:t>
      </w:r>
    </w:p>
    <w:p w:rsidR="00CD666D" w:rsidRDefault="00CD666D" w:rsidP="00CD666D">
      <w:pPr>
        <w:pStyle w:val="Loendilik"/>
        <w:numPr>
          <w:ilvl w:val="0"/>
          <w:numId w:val="3"/>
        </w:numPr>
      </w:pPr>
      <w:r>
        <w:t xml:space="preserve">Ühe inimese huvipakkuvate </w:t>
      </w:r>
      <w:proofErr w:type="spellStart"/>
      <w:r>
        <w:t>k-meride</w:t>
      </w:r>
      <w:proofErr w:type="spellEnd"/>
      <w:r>
        <w:t xml:space="preserve"> sageduste salvestamine edasiseks analüüsiks</w:t>
      </w:r>
    </w:p>
    <w:p w:rsidR="00CD666D" w:rsidRDefault="00CD666D" w:rsidP="00CD666D">
      <w:pPr>
        <w:pStyle w:val="Loendilik"/>
        <w:numPr>
          <w:ilvl w:val="0"/>
          <w:numId w:val="3"/>
        </w:numPr>
      </w:pPr>
      <w:r>
        <w:t>Kettaruumi vabastamine</w:t>
      </w:r>
    </w:p>
    <w:p w:rsidR="00901B60" w:rsidRDefault="00CD666D" w:rsidP="00CD666D">
      <w:r>
        <w:t>Lisaks analüüsi enda sammudele on oluline iga sammu logimine ning</w:t>
      </w:r>
      <w:r w:rsidR="00ED498D">
        <w:t xml:space="preserve"> protsessi </w:t>
      </w:r>
      <w:proofErr w:type="spellStart"/>
      <w:r w:rsidR="00ED498D">
        <w:t>paralleliseeritavus</w:t>
      </w:r>
      <w:proofErr w:type="spellEnd"/>
      <w:r w:rsidR="00ED498D">
        <w:t>.</w:t>
      </w:r>
      <w:r w:rsidR="00901B60">
        <w:t xml:space="preserve"> Ka on tähtis, et programm lõpetakse ülesande nii vähese ajaga kui võimalik. Selleks, et leida, milline arvutusressurss </w:t>
      </w:r>
      <w:r w:rsidR="007742EA">
        <w:t>(allalaadimiskiirus, protsessorituumad või muutmälu) saab piiravaks, jooksutati käsurealt iga kasutatavat välist programmi.</w:t>
      </w:r>
      <w:r w:rsidR="00E06FDD">
        <w:t xml:space="preserve"> </w:t>
      </w:r>
      <w:r w:rsidR="00D501E7">
        <w:t xml:space="preserve">Tulemused tabelis </w:t>
      </w:r>
      <w:r w:rsidR="00D501E7">
        <w:fldChar w:fldCharType="begin"/>
      </w:r>
      <w:r w:rsidR="00D501E7">
        <w:instrText xml:space="preserve"> REF _Ref483331478 \h </w:instrText>
      </w:r>
      <w:r w:rsidR="00D501E7">
        <w:fldChar w:fldCharType="separate"/>
      </w:r>
      <w:r w:rsidR="00D501E7" w:rsidRPr="0097521B">
        <w:rPr>
          <w:szCs w:val="24"/>
        </w:rPr>
        <w:t xml:space="preserve">Tabel </w:t>
      </w:r>
      <w:r w:rsidR="00D501E7" w:rsidRPr="0097521B">
        <w:rPr>
          <w:noProof/>
          <w:szCs w:val="24"/>
        </w:rPr>
        <w:t>1</w:t>
      </w:r>
      <w:r w:rsidR="00D501E7">
        <w:fldChar w:fldCharType="end"/>
      </w:r>
      <w:r w:rsidR="00E06FDD">
        <w:t>.</w:t>
      </w:r>
    </w:p>
    <w:p w:rsidR="00447B56" w:rsidRPr="0097521B" w:rsidRDefault="00447B56" w:rsidP="00447B56">
      <w:pPr>
        <w:pStyle w:val="Pealdis"/>
        <w:keepNext/>
        <w:rPr>
          <w:sz w:val="24"/>
          <w:szCs w:val="24"/>
        </w:rPr>
      </w:pPr>
      <w:bookmarkStart w:id="3" w:name="_Ref483331478"/>
      <w:r w:rsidRPr="0097521B">
        <w:rPr>
          <w:sz w:val="24"/>
          <w:szCs w:val="24"/>
        </w:rPr>
        <w:t xml:space="preserve">Tabel </w:t>
      </w:r>
      <w:r w:rsidRPr="0097521B">
        <w:rPr>
          <w:sz w:val="24"/>
          <w:szCs w:val="24"/>
        </w:rPr>
        <w:fldChar w:fldCharType="begin"/>
      </w:r>
      <w:r w:rsidRPr="0097521B">
        <w:rPr>
          <w:sz w:val="24"/>
          <w:szCs w:val="24"/>
        </w:rPr>
        <w:instrText xml:space="preserve"> SEQ Tabel \* ARABIC </w:instrText>
      </w:r>
      <w:r w:rsidRPr="0097521B">
        <w:rPr>
          <w:sz w:val="24"/>
          <w:szCs w:val="24"/>
        </w:rPr>
        <w:fldChar w:fldCharType="separate"/>
      </w:r>
      <w:r w:rsidR="00FE2F58">
        <w:rPr>
          <w:noProof/>
          <w:sz w:val="24"/>
          <w:szCs w:val="24"/>
        </w:rPr>
        <w:t>1</w:t>
      </w:r>
      <w:r w:rsidRPr="0097521B">
        <w:rPr>
          <w:sz w:val="24"/>
          <w:szCs w:val="24"/>
        </w:rPr>
        <w:fldChar w:fldCharType="end"/>
      </w:r>
      <w:bookmarkEnd w:id="3"/>
    </w:p>
    <w:tbl>
      <w:tblPr>
        <w:tblStyle w:val="Kontuurtabel"/>
        <w:tblW w:w="0" w:type="auto"/>
        <w:tblLook w:val="04A0" w:firstRow="1" w:lastRow="0" w:firstColumn="1" w:lastColumn="0" w:noHBand="0" w:noVBand="1"/>
        <w:tblCaption w:val="Tabel 1"/>
      </w:tblPr>
      <w:tblGrid>
        <w:gridCol w:w="1350"/>
        <w:gridCol w:w="1449"/>
        <w:gridCol w:w="2354"/>
        <w:gridCol w:w="1204"/>
        <w:gridCol w:w="1429"/>
        <w:gridCol w:w="1275"/>
      </w:tblGrid>
      <w:tr w:rsidR="002E54A0" w:rsidTr="00447B56">
        <w:tc>
          <w:tcPr>
            <w:tcW w:w="1350" w:type="dxa"/>
          </w:tcPr>
          <w:p w:rsidR="002E54A0" w:rsidRDefault="002E54A0" w:rsidP="00CD666D">
            <w:r>
              <w:t>Programm</w:t>
            </w:r>
          </w:p>
        </w:tc>
        <w:tc>
          <w:tcPr>
            <w:tcW w:w="1449" w:type="dxa"/>
          </w:tcPr>
          <w:p w:rsidR="002E54A0" w:rsidRDefault="002E54A0" w:rsidP="00CD666D">
            <w:r>
              <w:t xml:space="preserve">Maks. mälukasutus </w:t>
            </w:r>
          </w:p>
        </w:tc>
        <w:tc>
          <w:tcPr>
            <w:tcW w:w="2354" w:type="dxa"/>
          </w:tcPr>
          <w:p w:rsidR="002E54A0" w:rsidRDefault="002E54A0" w:rsidP="00CD666D">
            <w:r>
              <w:t>Väljundi suurus kettal</w:t>
            </w:r>
          </w:p>
        </w:tc>
        <w:tc>
          <w:tcPr>
            <w:tcW w:w="1204" w:type="dxa"/>
          </w:tcPr>
          <w:p w:rsidR="002E54A0" w:rsidRDefault="002E54A0" w:rsidP="00CD666D">
            <w:r>
              <w:t>Kasutatud tuumasid</w:t>
            </w:r>
          </w:p>
        </w:tc>
        <w:tc>
          <w:tcPr>
            <w:tcW w:w="1429" w:type="dxa"/>
          </w:tcPr>
          <w:p w:rsidR="002E54A0" w:rsidRDefault="002E54A0" w:rsidP="00CD666D">
            <w:r>
              <w:t>Kulunud aeg</w:t>
            </w:r>
          </w:p>
        </w:tc>
        <w:tc>
          <w:tcPr>
            <w:tcW w:w="1275" w:type="dxa"/>
          </w:tcPr>
          <w:p w:rsidR="002E54A0" w:rsidRDefault="002E54A0" w:rsidP="00CD666D">
            <w:r>
              <w:t>Ressurss</w:t>
            </w:r>
          </w:p>
        </w:tc>
      </w:tr>
      <w:tr w:rsidR="002E54A0" w:rsidTr="00447B56">
        <w:tc>
          <w:tcPr>
            <w:tcW w:w="1350" w:type="dxa"/>
          </w:tcPr>
          <w:p w:rsidR="002E54A0" w:rsidRDefault="002E54A0" w:rsidP="00CD666D">
            <w:proofErr w:type="spellStart"/>
            <w:r>
              <w:t>prefetch</w:t>
            </w:r>
            <w:proofErr w:type="spellEnd"/>
          </w:p>
        </w:tc>
        <w:tc>
          <w:tcPr>
            <w:tcW w:w="1449" w:type="dxa"/>
          </w:tcPr>
          <w:p w:rsidR="002E54A0" w:rsidRDefault="002E54A0" w:rsidP="00CD666D">
            <w:r>
              <w:t>&lt;1 GB</w:t>
            </w:r>
          </w:p>
        </w:tc>
        <w:tc>
          <w:tcPr>
            <w:tcW w:w="2354" w:type="dxa"/>
          </w:tcPr>
          <w:p w:rsidR="002E54A0" w:rsidRDefault="002E54A0" w:rsidP="00CD666D">
            <w:r>
              <w:t>2 GB</w:t>
            </w:r>
          </w:p>
        </w:tc>
        <w:tc>
          <w:tcPr>
            <w:tcW w:w="1204" w:type="dxa"/>
          </w:tcPr>
          <w:p w:rsidR="002E54A0" w:rsidRDefault="002E54A0" w:rsidP="00CD666D">
            <w:r>
              <w:t>1</w:t>
            </w:r>
          </w:p>
        </w:tc>
        <w:tc>
          <w:tcPr>
            <w:tcW w:w="1429" w:type="dxa"/>
          </w:tcPr>
          <w:p w:rsidR="002E54A0" w:rsidRDefault="002E54A0" w:rsidP="00CD666D">
            <w:r>
              <w:t>~3 min</w:t>
            </w:r>
          </w:p>
        </w:tc>
        <w:tc>
          <w:tcPr>
            <w:tcW w:w="1275" w:type="dxa"/>
          </w:tcPr>
          <w:p w:rsidR="002E54A0" w:rsidRDefault="00B57F73" w:rsidP="00CD666D">
            <w:r>
              <w:t>Võrk</w:t>
            </w:r>
          </w:p>
        </w:tc>
      </w:tr>
      <w:tr w:rsidR="002E54A0" w:rsidTr="00447B56">
        <w:tc>
          <w:tcPr>
            <w:tcW w:w="1350" w:type="dxa"/>
          </w:tcPr>
          <w:p w:rsidR="002E54A0" w:rsidRDefault="002E54A0" w:rsidP="00CD666D">
            <w:proofErr w:type="spellStart"/>
            <w:r>
              <w:t>fastq-dump</w:t>
            </w:r>
            <w:proofErr w:type="spellEnd"/>
          </w:p>
        </w:tc>
        <w:tc>
          <w:tcPr>
            <w:tcW w:w="1449" w:type="dxa"/>
          </w:tcPr>
          <w:p w:rsidR="002E54A0" w:rsidRDefault="002E54A0" w:rsidP="00CD666D">
            <w:r>
              <w:t>1 GB</w:t>
            </w:r>
          </w:p>
        </w:tc>
        <w:tc>
          <w:tcPr>
            <w:tcW w:w="2354" w:type="dxa"/>
          </w:tcPr>
          <w:p w:rsidR="002E54A0" w:rsidRDefault="002E54A0" w:rsidP="00CD666D">
            <w:r>
              <w:t>5 GB</w:t>
            </w:r>
          </w:p>
        </w:tc>
        <w:tc>
          <w:tcPr>
            <w:tcW w:w="1204" w:type="dxa"/>
          </w:tcPr>
          <w:p w:rsidR="002E54A0" w:rsidRDefault="002E54A0" w:rsidP="00CD666D">
            <w:r>
              <w:t>1</w:t>
            </w:r>
          </w:p>
        </w:tc>
        <w:tc>
          <w:tcPr>
            <w:tcW w:w="1429" w:type="dxa"/>
          </w:tcPr>
          <w:p w:rsidR="002E54A0" w:rsidRDefault="002E54A0" w:rsidP="00CD666D">
            <w:r>
              <w:t>~9 min</w:t>
            </w:r>
          </w:p>
        </w:tc>
        <w:tc>
          <w:tcPr>
            <w:tcW w:w="1275" w:type="dxa"/>
          </w:tcPr>
          <w:p w:rsidR="002E54A0" w:rsidRDefault="00B57F73" w:rsidP="00CD666D">
            <w:r>
              <w:t>HDD</w:t>
            </w:r>
          </w:p>
        </w:tc>
      </w:tr>
      <w:tr w:rsidR="002E54A0" w:rsidTr="00447B56">
        <w:tc>
          <w:tcPr>
            <w:tcW w:w="1350" w:type="dxa"/>
          </w:tcPr>
          <w:p w:rsidR="002E54A0" w:rsidRDefault="002E54A0" w:rsidP="00CD666D">
            <w:proofErr w:type="spellStart"/>
            <w:r>
              <w:t>glistmaker</w:t>
            </w:r>
            <w:proofErr w:type="spellEnd"/>
          </w:p>
        </w:tc>
        <w:tc>
          <w:tcPr>
            <w:tcW w:w="1449" w:type="dxa"/>
          </w:tcPr>
          <w:p w:rsidR="002E54A0" w:rsidRDefault="002E54A0" w:rsidP="00CD666D">
            <w:r>
              <w:t>35 GB</w:t>
            </w:r>
          </w:p>
        </w:tc>
        <w:tc>
          <w:tcPr>
            <w:tcW w:w="2354" w:type="dxa"/>
          </w:tcPr>
          <w:p w:rsidR="002E54A0" w:rsidRDefault="002E54A0" w:rsidP="00CD666D">
            <w:r>
              <w:t>25 GB</w:t>
            </w:r>
          </w:p>
        </w:tc>
        <w:tc>
          <w:tcPr>
            <w:tcW w:w="1204" w:type="dxa"/>
          </w:tcPr>
          <w:p w:rsidR="002E54A0" w:rsidRDefault="002E54A0" w:rsidP="00CD666D">
            <w:r>
              <w:t>2</w:t>
            </w:r>
          </w:p>
        </w:tc>
        <w:tc>
          <w:tcPr>
            <w:tcW w:w="1429" w:type="dxa"/>
          </w:tcPr>
          <w:p w:rsidR="002E54A0" w:rsidRDefault="002E54A0" w:rsidP="00CD666D">
            <w:r>
              <w:t>~9 min</w:t>
            </w:r>
          </w:p>
        </w:tc>
        <w:tc>
          <w:tcPr>
            <w:tcW w:w="1275" w:type="dxa"/>
          </w:tcPr>
          <w:p w:rsidR="002E54A0" w:rsidRDefault="00B57F73" w:rsidP="00CD666D">
            <w:r>
              <w:t>RAM</w:t>
            </w:r>
          </w:p>
        </w:tc>
      </w:tr>
      <w:tr w:rsidR="002E54A0" w:rsidTr="00447B56">
        <w:tc>
          <w:tcPr>
            <w:tcW w:w="1350" w:type="dxa"/>
          </w:tcPr>
          <w:p w:rsidR="002E54A0" w:rsidRDefault="002E54A0" w:rsidP="00CD666D">
            <w:proofErr w:type="spellStart"/>
            <w:r>
              <w:lastRenderedPageBreak/>
              <w:t>glistquery</w:t>
            </w:r>
            <w:proofErr w:type="spellEnd"/>
          </w:p>
        </w:tc>
        <w:tc>
          <w:tcPr>
            <w:tcW w:w="1449" w:type="dxa"/>
          </w:tcPr>
          <w:p w:rsidR="002E54A0" w:rsidRDefault="002E54A0" w:rsidP="00CD666D">
            <w:r>
              <w:t>&lt;1 GB</w:t>
            </w:r>
          </w:p>
        </w:tc>
        <w:tc>
          <w:tcPr>
            <w:tcW w:w="2354" w:type="dxa"/>
          </w:tcPr>
          <w:p w:rsidR="002E54A0" w:rsidRDefault="002E54A0" w:rsidP="00CD666D">
            <w:r>
              <w:t>~300 KB</w:t>
            </w:r>
          </w:p>
        </w:tc>
        <w:tc>
          <w:tcPr>
            <w:tcW w:w="1204" w:type="dxa"/>
          </w:tcPr>
          <w:p w:rsidR="002E54A0" w:rsidRDefault="002E54A0" w:rsidP="00CD666D">
            <w:r>
              <w:t>1</w:t>
            </w:r>
          </w:p>
        </w:tc>
        <w:tc>
          <w:tcPr>
            <w:tcW w:w="1429" w:type="dxa"/>
          </w:tcPr>
          <w:p w:rsidR="002E54A0" w:rsidRDefault="002E54A0" w:rsidP="00CD666D">
            <w:r>
              <w:t>~1s</w:t>
            </w:r>
          </w:p>
        </w:tc>
        <w:tc>
          <w:tcPr>
            <w:tcW w:w="1275" w:type="dxa"/>
          </w:tcPr>
          <w:p w:rsidR="002E54A0" w:rsidRDefault="00B57F73" w:rsidP="00CD666D">
            <w:r>
              <w:t>-</w:t>
            </w:r>
          </w:p>
        </w:tc>
      </w:tr>
    </w:tbl>
    <w:p w:rsidR="002447F8" w:rsidRDefault="002447F8" w:rsidP="00CD666D"/>
    <w:p w:rsidR="00901B60" w:rsidRDefault="00265330" w:rsidP="00CD666D">
      <w:r>
        <w:t xml:space="preserve">Nendest tulemustest selgub, et ainus samm, mis kasutab kogu saadaolevat ressurssi, on </w:t>
      </w:r>
      <w:proofErr w:type="spellStart"/>
      <w:r>
        <w:t>prefetch</w:t>
      </w:r>
      <w:proofErr w:type="spellEnd"/>
      <w:r>
        <w:t>.</w:t>
      </w:r>
      <w:r w:rsidR="00DB4777">
        <w:t xml:space="preserve"> Ka </w:t>
      </w:r>
      <w:r w:rsidR="00AC74A4">
        <w:t>on näha</w:t>
      </w:r>
      <w:r w:rsidR="00DB4777">
        <w:t xml:space="preserve">, et </w:t>
      </w:r>
      <w:r w:rsidR="00AC74A4">
        <w:t xml:space="preserve">allalaadimiskiirusest mittesõltuvad sammud võtavad umbes kuus korda nii palju aega, kui ühe </w:t>
      </w:r>
      <w:r w:rsidR="00194573">
        <w:t>uue lähtefaili laadimiseks kulub.</w:t>
      </w:r>
      <w:r w:rsidR="007237C1">
        <w:t xml:space="preserve"> </w:t>
      </w:r>
      <w:r w:rsidR="000E1AE7">
        <w:t>Sellest johtuvalt</w:t>
      </w:r>
      <w:r w:rsidR="00FF45DE">
        <w:t xml:space="preserve"> ning</w:t>
      </w:r>
      <w:r w:rsidR="000E1AE7">
        <w:t xml:space="preserve"> et ülesanne lahendada maksimaalse kiirusega, peaks ühe allalaadimise kohta jooksma paralleelselt vähemalt kuus protsessi, kus toimuvad lokaalsed arvutustööd.</w:t>
      </w:r>
    </w:p>
    <w:p w:rsidR="006F5727" w:rsidRDefault="00BE501E" w:rsidP="00BE501E">
      <w:pPr>
        <w:pStyle w:val="Pealkiri4"/>
      </w:pPr>
      <w:r>
        <w:t>get_srr.py</w:t>
      </w:r>
    </w:p>
    <w:p w:rsidR="00BE501E" w:rsidRDefault="00300A9E" w:rsidP="00BE501E">
      <w:r>
        <w:t xml:space="preserve">Eelnevaid asjaolusid arvesse võttes, arendati tööriist </w:t>
      </w:r>
      <w:r w:rsidR="00A81402">
        <w:t xml:space="preserve">get_srr.py. Programmi kasutamiseks tuleb käsureale kirjutada </w:t>
      </w:r>
      <w:proofErr w:type="spellStart"/>
      <w:r w:rsidR="00A81402" w:rsidRPr="00FE2F58">
        <w:rPr>
          <w:i/>
        </w:rPr>
        <w:t>python</w:t>
      </w:r>
      <w:proofErr w:type="spellEnd"/>
      <w:r w:rsidR="00A81402" w:rsidRPr="00FE2F58">
        <w:rPr>
          <w:i/>
        </w:rPr>
        <w:t xml:space="preserve"> get_srr.py [OPTIONS] RUN_TABLE QUERY_LIST</w:t>
      </w:r>
      <w:r w:rsidR="00A81402">
        <w:t xml:space="preserve">, kus </w:t>
      </w:r>
      <w:r w:rsidR="00A81402" w:rsidRPr="00FE2F58">
        <w:rPr>
          <w:i/>
        </w:rPr>
        <w:t>RUN_TABLE</w:t>
      </w:r>
      <w:r w:rsidR="00A81402">
        <w:t xml:space="preserve"> on SRA veebiliidesest saadud kokkuvõttefaili asukoht kõvakettal, näiteks ./SraRuntable.txt ning </w:t>
      </w:r>
      <w:r w:rsidR="00A81402" w:rsidRPr="00FE2F58">
        <w:rPr>
          <w:i/>
        </w:rPr>
        <w:t>QUERY_LIST</w:t>
      </w:r>
      <w:r w:rsidR="00A81402">
        <w:t xml:space="preserve"> on analoogselt tekstifail, kus on igal real üks </w:t>
      </w:r>
      <w:proofErr w:type="spellStart"/>
      <w:r w:rsidR="00A81402">
        <w:t>k-mer</w:t>
      </w:r>
      <w:proofErr w:type="spellEnd"/>
      <w:r w:rsidR="00A81402">
        <w:t>.</w:t>
      </w:r>
      <w:r w:rsidR="00FE2F58">
        <w:t xml:space="preserve"> Lisaks on võimalik seadistada muid parameetreid </w:t>
      </w:r>
      <w:r w:rsidR="00FE2F58" w:rsidRPr="00FE2F58">
        <w:rPr>
          <w:i/>
        </w:rPr>
        <w:t>[OPTIONS]</w:t>
      </w:r>
      <w:r w:rsidR="00FE2F58">
        <w:t xml:space="preserve">, mis on toodud tabelis </w:t>
      </w:r>
      <w:r w:rsidR="00FE2F58">
        <w:fldChar w:fldCharType="begin"/>
      </w:r>
      <w:r w:rsidR="00FE2F58">
        <w:instrText xml:space="preserve"> REF _Ref483337793 \h </w:instrText>
      </w:r>
      <w:r w:rsidR="00FE2F58">
        <w:fldChar w:fldCharType="separate"/>
      </w:r>
      <w:r w:rsidR="00FE2F58" w:rsidRPr="00FE2F58">
        <w:t xml:space="preserve">Tabel </w:t>
      </w:r>
      <w:r w:rsidR="00FE2F58" w:rsidRPr="00FE2F58">
        <w:rPr>
          <w:noProof/>
        </w:rPr>
        <w:t>2</w:t>
      </w:r>
      <w:r w:rsidR="00FE2F58">
        <w:fldChar w:fldCharType="end"/>
      </w:r>
      <w:r w:rsidR="00FE2F58">
        <w:t>.</w:t>
      </w:r>
    </w:p>
    <w:p w:rsidR="00FE2F58" w:rsidRPr="00FE2F58" w:rsidRDefault="00FE2F58" w:rsidP="00FE2F58">
      <w:pPr>
        <w:pStyle w:val="Pealdis"/>
        <w:keepNext/>
        <w:rPr>
          <w:sz w:val="24"/>
        </w:rPr>
      </w:pPr>
      <w:bookmarkStart w:id="4" w:name="_Ref483337793"/>
      <w:r w:rsidRPr="009E60BA">
        <w:rPr>
          <w:b/>
          <w:i w:val="0"/>
          <w:sz w:val="24"/>
        </w:rPr>
        <w:t xml:space="preserve">Tabel </w:t>
      </w:r>
      <w:r w:rsidRPr="009E60BA">
        <w:rPr>
          <w:b/>
          <w:i w:val="0"/>
          <w:sz w:val="24"/>
        </w:rPr>
        <w:fldChar w:fldCharType="begin"/>
      </w:r>
      <w:r w:rsidRPr="009E60BA">
        <w:rPr>
          <w:b/>
          <w:i w:val="0"/>
          <w:sz w:val="24"/>
        </w:rPr>
        <w:instrText xml:space="preserve"> SEQ Tabel \* ARABIC </w:instrText>
      </w:r>
      <w:r w:rsidRPr="009E60BA">
        <w:rPr>
          <w:b/>
          <w:i w:val="0"/>
          <w:sz w:val="24"/>
        </w:rPr>
        <w:fldChar w:fldCharType="separate"/>
      </w:r>
      <w:r w:rsidRPr="009E60BA">
        <w:rPr>
          <w:b/>
          <w:i w:val="0"/>
          <w:noProof/>
          <w:sz w:val="24"/>
        </w:rPr>
        <w:t>2</w:t>
      </w:r>
      <w:r w:rsidRPr="009E60BA">
        <w:rPr>
          <w:b/>
          <w:i w:val="0"/>
          <w:sz w:val="24"/>
        </w:rPr>
        <w:fldChar w:fldCharType="end"/>
      </w:r>
      <w:bookmarkEnd w:id="4"/>
      <w:r w:rsidR="009E60BA">
        <w:rPr>
          <w:sz w:val="24"/>
        </w:rPr>
        <w:t xml:space="preserve"> get_srr.py lisavalikud.</w:t>
      </w:r>
    </w:p>
    <w:tbl>
      <w:tblPr>
        <w:tblStyle w:val="Kontuurtabel"/>
        <w:tblW w:w="0" w:type="auto"/>
        <w:tblLook w:val="04A0" w:firstRow="1" w:lastRow="0" w:firstColumn="1" w:lastColumn="0" w:noHBand="0" w:noVBand="1"/>
      </w:tblPr>
      <w:tblGrid>
        <w:gridCol w:w="1413"/>
        <w:gridCol w:w="2268"/>
        <w:gridCol w:w="1312"/>
        <w:gridCol w:w="4068"/>
      </w:tblGrid>
      <w:tr w:rsidR="00FE2F58" w:rsidTr="007B7799">
        <w:tc>
          <w:tcPr>
            <w:tcW w:w="1413" w:type="dxa"/>
          </w:tcPr>
          <w:p w:rsidR="00FE2F58" w:rsidRDefault="00FE2F58" w:rsidP="00BE501E">
            <w:r>
              <w:t>Lühike nimi</w:t>
            </w:r>
          </w:p>
        </w:tc>
        <w:tc>
          <w:tcPr>
            <w:tcW w:w="2268" w:type="dxa"/>
          </w:tcPr>
          <w:p w:rsidR="00FE2F58" w:rsidRDefault="00FE2F58" w:rsidP="00BE501E">
            <w:r>
              <w:t>Pikk nimi</w:t>
            </w:r>
          </w:p>
        </w:tc>
        <w:tc>
          <w:tcPr>
            <w:tcW w:w="1312" w:type="dxa"/>
          </w:tcPr>
          <w:p w:rsidR="00FE2F58" w:rsidRDefault="00FE2F58" w:rsidP="00BE501E">
            <w:r>
              <w:t>Tüüp</w:t>
            </w:r>
          </w:p>
        </w:tc>
        <w:tc>
          <w:tcPr>
            <w:tcW w:w="4068" w:type="dxa"/>
          </w:tcPr>
          <w:p w:rsidR="00FE2F58" w:rsidRDefault="00FE2F58" w:rsidP="00BE501E">
            <w:r>
              <w:t>Kommentaar</w:t>
            </w:r>
          </w:p>
        </w:tc>
      </w:tr>
      <w:tr w:rsidR="00FE2F58" w:rsidTr="007B7799">
        <w:tc>
          <w:tcPr>
            <w:tcW w:w="1413" w:type="dxa"/>
          </w:tcPr>
          <w:p w:rsidR="00FE2F58" w:rsidRDefault="00FE2F58" w:rsidP="00BE501E">
            <w:r>
              <w:t>-d</w:t>
            </w:r>
          </w:p>
        </w:tc>
        <w:tc>
          <w:tcPr>
            <w:tcW w:w="2268" w:type="dxa"/>
          </w:tcPr>
          <w:p w:rsidR="00FE2F58" w:rsidRDefault="00FE2F58" w:rsidP="00BE501E">
            <w:r>
              <w:t>--</w:t>
            </w:r>
            <w:proofErr w:type="spellStart"/>
            <w:r>
              <w:t>data_root</w:t>
            </w:r>
            <w:proofErr w:type="spellEnd"/>
          </w:p>
        </w:tc>
        <w:tc>
          <w:tcPr>
            <w:tcW w:w="1312" w:type="dxa"/>
          </w:tcPr>
          <w:p w:rsidR="00FE2F58" w:rsidRDefault="00FE2F58" w:rsidP="00BE501E">
            <w:r>
              <w:t>Rada</w:t>
            </w:r>
          </w:p>
        </w:tc>
        <w:tc>
          <w:tcPr>
            <w:tcW w:w="4068" w:type="dxa"/>
          </w:tcPr>
          <w:p w:rsidR="00FE2F58" w:rsidRDefault="007B7799" w:rsidP="00BE501E">
            <w:r>
              <w:t>Kataloog, kuhu sisse tehakse ajutised kaustad ja väljundite kaust.</w:t>
            </w:r>
            <w:r w:rsidR="00363D90">
              <w:t xml:space="preserve"> Vaikimisi /</w:t>
            </w:r>
            <w:proofErr w:type="spellStart"/>
            <w:r w:rsidR="00363D90">
              <w:t>data</w:t>
            </w:r>
            <w:proofErr w:type="spellEnd"/>
            <w:r w:rsidR="00363D90">
              <w:t>.</w:t>
            </w:r>
          </w:p>
        </w:tc>
      </w:tr>
      <w:tr w:rsidR="00FE2F58" w:rsidTr="007B7799">
        <w:tc>
          <w:tcPr>
            <w:tcW w:w="1413" w:type="dxa"/>
          </w:tcPr>
          <w:p w:rsidR="00FE2F58" w:rsidRDefault="00FE2F58" w:rsidP="00BE501E">
            <w:r>
              <w:t>-n</w:t>
            </w:r>
          </w:p>
        </w:tc>
        <w:tc>
          <w:tcPr>
            <w:tcW w:w="2268" w:type="dxa"/>
          </w:tcPr>
          <w:p w:rsidR="00FE2F58" w:rsidRDefault="00FE2F58" w:rsidP="00BE501E">
            <w:r>
              <w:t>--</w:t>
            </w:r>
            <w:proofErr w:type="spellStart"/>
            <w:r>
              <w:t>ncbi_root</w:t>
            </w:r>
            <w:proofErr w:type="spellEnd"/>
          </w:p>
        </w:tc>
        <w:tc>
          <w:tcPr>
            <w:tcW w:w="1312" w:type="dxa"/>
          </w:tcPr>
          <w:p w:rsidR="00FE2F58" w:rsidRDefault="00FE2F58" w:rsidP="00BE501E">
            <w:r>
              <w:t>Rada</w:t>
            </w:r>
          </w:p>
        </w:tc>
        <w:tc>
          <w:tcPr>
            <w:tcW w:w="4068" w:type="dxa"/>
          </w:tcPr>
          <w:p w:rsidR="00FE2F58" w:rsidRDefault="007B7799" w:rsidP="00BE501E">
            <w:r>
              <w:t xml:space="preserve">Kataloog, kus asuvad </w:t>
            </w:r>
            <w:proofErr w:type="spellStart"/>
            <w:r>
              <w:t>ncbi</w:t>
            </w:r>
            <w:proofErr w:type="spellEnd"/>
            <w:r>
              <w:t xml:space="preserve"> tööriistade tekitatud failid. Selle raja leiab </w:t>
            </w:r>
            <w:proofErr w:type="spellStart"/>
            <w:r>
              <w:t>linux</w:t>
            </w:r>
            <w:proofErr w:type="spellEnd"/>
            <w:r>
              <w:t xml:space="preserve"> keskkonnas tavaliselt failist </w:t>
            </w:r>
            <w:r w:rsidRPr="007B7799">
              <w:t xml:space="preserve"> ~/.</w:t>
            </w:r>
            <w:proofErr w:type="spellStart"/>
            <w:r w:rsidRPr="007B7799">
              <w:t>ncbi</w:t>
            </w:r>
            <w:proofErr w:type="spellEnd"/>
            <w:r w:rsidRPr="007B7799">
              <w:t>/</w:t>
            </w:r>
            <w:proofErr w:type="spellStart"/>
            <w:r w:rsidRPr="007B7799">
              <w:t>user-settings.mkfg</w:t>
            </w:r>
            <w:proofErr w:type="spellEnd"/>
            <w:r w:rsidR="00363D90">
              <w:t>. Vaikimisi /</w:t>
            </w:r>
            <w:proofErr w:type="spellStart"/>
            <w:r w:rsidR="00363D90">
              <w:t>data</w:t>
            </w:r>
            <w:proofErr w:type="spellEnd"/>
            <w:r w:rsidR="00363D90">
              <w:t>/.</w:t>
            </w:r>
            <w:proofErr w:type="spellStart"/>
            <w:r w:rsidR="00363D90">
              <w:t>ncbi</w:t>
            </w:r>
            <w:proofErr w:type="spellEnd"/>
            <w:r w:rsidR="00363D90">
              <w:t>.</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check_fasta</w:t>
            </w:r>
            <w:proofErr w:type="spellEnd"/>
          </w:p>
        </w:tc>
        <w:tc>
          <w:tcPr>
            <w:tcW w:w="1312" w:type="dxa"/>
          </w:tcPr>
          <w:p w:rsidR="00FE2F58" w:rsidRDefault="00FE2F58" w:rsidP="00BE501E">
            <w:r>
              <w:t>Tõeväärtus</w:t>
            </w:r>
          </w:p>
        </w:tc>
        <w:tc>
          <w:tcPr>
            <w:tcW w:w="4068" w:type="dxa"/>
          </w:tcPr>
          <w:p w:rsidR="00FE2F58" w:rsidRDefault="007B7799" w:rsidP="00BE501E">
            <w:r>
              <w:t xml:space="preserve">Lisavalik, mille lubamisel kontrollitakse enne </w:t>
            </w:r>
            <w:proofErr w:type="spellStart"/>
            <w:r>
              <w:t>prefetch</w:t>
            </w:r>
            <w:proofErr w:type="spellEnd"/>
            <w:r>
              <w:t xml:space="preserve"> käivitamist, kas on </w:t>
            </w:r>
            <w:proofErr w:type="spellStart"/>
            <w:r>
              <w:t>fasta</w:t>
            </w:r>
            <w:proofErr w:type="spellEnd"/>
            <w:r>
              <w:t xml:space="preserve"> fail juba genereeritud. Silumiseks/testimiseks.</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fasta_limit</w:t>
            </w:r>
            <w:proofErr w:type="spellEnd"/>
          </w:p>
        </w:tc>
        <w:tc>
          <w:tcPr>
            <w:tcW w:w="1312" w:type="dxa"/>
          </w:tcPr>
          <w:p w:rsidR="00FE2F58" w:rsidRDefault="00FE2F58" w:rsidP="00BE501E">
            <w:r>
              <w:t>Täisarv</w:t>
            </w:r>
          </w:p>
        </w:tc>
        <w:tc>
          <w:tcPr>
            <w:tcW w:w="4068" w:type="dxa"/>
          </w:tcPr>
          <w:p w:rsidR="00FE2F58" w:rsidRDefault="007B7799" w:rsidP="00BE501E">
            <w:r>
              <w:t xml:space="preserve">Lisavalik, millega saab piirata </w:t>
            </w:r>
            <w:proofErr w:type="spellStart"/>
            <w:r>
              <w:t>fastq-dump</w:t>
            </w:r>
            <w:proofErr w:type="spellEnd"/>
            <w:r>
              <w:t xml:space="preserve"> väljundi pikkust. Silumiseks/testimiseks.</w:t>
            </w:r>
          </w:p>
        </w:tc>
      </w:tr>
      <w:tr w:rsidR="00FE2F58" w:rsidTr="007B7799">
        <w:tc>
          <w:tcPr>
            <w:tcW w:w="1413" w:type="dxa"/>
          </w:tcPr>
          <w:p w:rsidR="00FE2F58" w:rsidRDefault="00FE2F58" w:rsidP="00BE501E">
            <w:r>
              <w:lastRenderedPageBreak/>
              <w:t>-p</w:t>
            </w:r>
          </w:p>
        </w:tc>
        <w:tc>
          <w:tcPr>
            <w:tcW w:w="2268" w:type="dxa"/>
          </w:tcPr>
          <w:p w:rsidR="00FE2F58" w:rsidRDefault="00FE2F58" w:rsidP="00BE501E">
            <w:r>
              <w:t>--</w:t>
            </w:r>
            <w:proofErr w:type="spellStart"/>
            <w:r>
              <w:t>processing_cores</w:t>
            </w:r>
            <w:proofErr w:type="spellEnd"/>
          </w:p>
        </w:tc>
        <w:tc>
          <w:tcPr>
            <w:tcW w:w="1312" w:type="dxa"/>
          </w:tcPr>
          <w:p w:rsidR="00FE2F58" w:rsidRDefault="00FE2F58" w:rsidP="00BE501E">
            <w:r>
              <w:t>Täisarv</w:t>
            </w:r>
          </w:p>
        </w:tc>
        <w:tc>
          <w:tcPr>
            <w:tcW w:w="4068" w:type="dxa"/>
          </w:tcPr>
          <w:p w:rsidR="00FE2F58" w:rsidRDefault="007B7799" w:rsidP="00BE501E">
            <w:r>
              <w:t>Valik, mis määrab, mitu arvutamisprotsessi allalaadimisega paralleelselt jooksutatakse.</w:t>
            </w:r>
            <w:r w:rsidR="008C4609">
              <w:t xml:space="preserve"> Vaikimisi 1.</w:t>
            </w:r>
          </w:p>
        </w:tc>
      </w:tr>
      <w:tr w:rsidR="007B7799" w:rsidTr="007B7799">
        <w:tc>
          <w:tcPr>
            <w:tcW w:w="1413" w:type="dxa"/>
          </w:tcPr>
          <w:p w:rsidR="007B7799" w:rsidRDefault="007B7799" w:rsidP="00BE501E"/>
        </w:tc>
        <w:tc>
          <w:tcPr>
            <w:tcW w:w="2268" w:type="dxa"/>
          </w:tcPr>
          <w:p w:rsidR="007B7799" w:rsidRDefault="007B7799" w:rsidP="00BE501E">
            <w:r>
              <w:t>--</w:t>
            </w:r>
            <w:proofErr w:type="spellStart"/>
            <w:r>
              <w:t>help</w:t>
            </w:r>
            <w:proofErr w:type="spellEnd"/>
          </w:p>
        </w:tc>
        <w:tc>
          <w:tcPr>
            <w:tcW w:w="1312" w:type="dxa"/>
          </w:tcPr>
          <w:p w:rsidR="007B7799" w:rsidRDefault="007B7799" w:rsidP="00BE501E"/>
        </w:tc>
        <w:tc>
          <w:tcPr>
            <w:tcW w:w="4068" w:type="dxa"/>
          </w:tcPr>
          <w:p w:rsidR="007B7799" w:rsidRDefault="008C4609" w:rsidP="00BE501E">
            <w:r>
              <w:t>Kuvab abidokumendi.</w:t>
            </w:r>
          </w:p>
        </w:tc>
      </w:tr>
    </w:tbl>
    <w:p w:rsidR="0096314D" w:rsidRDefault="0096314D" w:rsidP="00BE501E"/>
    <w:p w:rsidR="00BF2A17" w:rsidRDefault="00934AD9" w:rsidP="00BE501E">
      <w:r>
        <w:t xml:space="preserve">Programmi töö algab kahe </w:t>
      </w:r>
      <w:r w:rsidR="006E386E">
        <w:t>riviloendi</w:t>
      </w:r>
      <w:r>
        <w:t xml:space="preserve"> (</w:t>
      </w:r>
      <w:proofErr w:type="spellStart"/>
      <w:r w:rsidR="001649F8" w:rsidRPr="001649F8">
        <w:t>multiprocessing</w:t>
      </w:r>
      <w:r w:rsidR="001649F8">
        <w:t>.JoinableQueue</w:t>
      </w:r>
      <w:proofErr w:type="spellEnd"/>
      <w:r>
        <w:t>) loomisega.</w:t>
      </w:r>
      <w:r w:rsidR="001649F8">
        <w:t xml:space="preserve"> Allalaadimis</w:t>
      </w:r>
      <w:r w:rsidR="006E386E">
        <w:t>rivi</w:t>
      </w:r>
      <w:r w:rsidR="001649F8">
        <w:t xml:space="preserve"> on piiramata mahuga ning töötlemis</w:t>
      </w:r>
      <w:r w:rsidR="006E386E">
        <w:t>rivi</w:t>
      </w:r>
      <w:r w:rsidR="001649F8">
        <w:t xml:space="preserve"> mahutab kuni 10 tööd.</w:t>
      </w:r>
      <w:r w:rsidR="00E0355E">
        <w:t xml:space="preserve"> Töötlemis</w:t>
      </w:r>
      <w:r w:rsidR="006E386E">
        <w:t>rivi</w:t>
      </w:r>
      <w:r w:rsidR="00E0355E">
        <w:t xml:space="preserve"> suurus</w:t>
      </w:r>
      <w:r w:rsidR="001649F8">
        <w:t xml:space="preserve"> on piiratud</w:t>
      </w:r>
      <w:r w:rsidR="00716D19">
        <w:t>, et vältida liiga suure hulga toorandmete ettelaadimist ja mäluseadme täitumist – kui töötlemis</w:t>
      </w:r>
      <w:r w:rsidR="006E386E">
        <w:t>rivi</w:t>
      </w:r>
      <w:r w:rsidR="00716D19">
        <w:t xml:space="preserve"> saab täis, siis allalaadimisprotsess ootab</w:t>
      </w:r>
      <w:r w:rsidR="00D1707E">
        <w:t xml:space="preserve"> enne uue laadimise</w:t>
      </w:r>
      <w:r w:rsidR="00E33986">
        <w:t xml:space="preserve"> alustamist</w:t>
      </w:r>
      <w:r w:rsidR="00716D19">
        <w:t xml:space="preserve">, kuni </w:t>
      </w:r>
      <w:r w:rsidR="00D1707E">
        <w:t>töötlemis</w:t>
      </w:r>
      <w:r w:rsidR="006E386E">
        <w:t>rivis</w:t>
      </w:r>
      <w:r w:rsidR="00D1707E">
        <w:t xml:space="preserve"> </w:t>
      </w:r>
      <w:r w:rsidR="00716D19">
        <w:t>tekib vaba koht.</w:t>
      </w:r>
      <w:r w:rsidR="006E386E">
        <w:t xml:space="preserve"> Selline riviloenditel põhinev </w:t>
      </w:r>
      <w:r w:rsidR="00A0004B">
        <w:t xml:space="preserve">tarkvara </w:t>
      </w:r>
      <w:r w:rsidR="006E386E">
        <w:t xml:space="preserve">arhitektuur on kasutatav ka </w:t>
      </w:r>
      <w:r w:rsidR="00A0004B">
        <w:t>hajussüsteemi korral.</w:t>
      </w:r>
    </w:p>
    <w:p w:rsidR="0099572C" w:rsidRDefault="00411F8D" w:rsidP="00BE501E">
      <w:r>
        <w:t xml:space="preserve">Programmi ühe katse andmete töötlemise loogika on koondatud </w:t>
      </w:r>
      <w:proofErr w:type="spellStart"/>
      <w:r w:rsidRPr="00411F8D">
        <w:rPr>
          <w:i/>
        </w:rPr>
        <w:t>Job</w:t>
      </w:r>
      <w:proofErr w:type="spellEnd"/>
      <w:r>
        <w:t xml:space="preserve">-klassi. Klassi konstruktor võtab ühe argumendi, milleks on SRA identifikaator formaadis </w:t>
      </w:r>
      <w:r w:rsidRPr="00411F8D">
        <w:t>SRR</w:t>
      </w:r>
      <w:r>
        <w:t>0</w:t>
      </w:r>
      <w:r w:rsidRPr="00411F8D">
        <w:t>00</w:t>
      </w:r>
      <w:r>
        <w:t>0000.</w:t>
      </w:r>
      <w:r w:rsidR="0085333D">
        <w:t xml:space="preserve"> Klassi isendil on meetodid </w:t>
      </w:r>
      <w:proofErr w:type="spellStart"/>
      <w:r w:rsidR="0085333D" w:rsidRPr="0085333D">
        <w:rPr>
          <w:i/>
        </w:rPr>
        <w:t>fetch</w:t>
      </w:r>
      <w:proofErr w:type="spellEnd"/>
      <w:r w:rsidR="0085333D" w:rsidRPr="0085333D">
        <w:rPr>
          <w:i/>
        </w:rPr>
        <w:t>()</w:t>
      </w:r>
      <w:r w:rsidR="0085333D">
        <w:t xml:space="preserve"> ning </w:t>
      </w:r>
      <w:proofErr w:type="spellStart"/>
      <w:r w:rsidR="0085333D" w:rsidRPr="0085333D">
        <w:rPr>
          <w:i/>
        </w:rPr>
        <w:t>process</w:t>
      </w:r>
      <w:proofErr w:type="spellEnd"/>
      <w:r w:rsidR="0085333D" w:rsidRPr="0085333D">
        <w:rPr>
          <w:i/>
        </w:rPr>
        <w:t>()</w:t>
      </w:r>
      <w:r w:rsidR="0085333D">
        <w:t>.</w:t>
      </w:r>
    </w:p>
    <w:p w:rsidR="0093541D" w:rsidRDefault="00927DAB" w:rsidP="00BE501E">
      <w:r>
        <w:t>Pärast riviloendite loomist</w:t>
      </w:r>
      <w:r w:rsidR="00916F3E">
        <w:t xml:space="preserve"> sõelutakse </w:t>
      </w:r>
      <w:r w:rsidR="00916F3E" w:rsidRPr="00FE2F58">
        <w:rPr>
          <w:i/>
        </w:rPr>
        <w:t>RUN_TABLE</w:t>
      </w:r>
      <w:r w:rsidR="00916F3E">
        <w:rPr>
          <w:i/>
        </w:rPr>
        <w:t xml:space="preserve"> </w:t>
      </w:r>
      <w:r w:rsidR="00916F3E">
        <w:t xml:space="preserve">fail ning luuakse saadud SRA identifikaatorite põhjal </w:t>
      </w:r>
      <w:proofErr w:type="spellStart"/>
      <w:r w:rsidR="00916F3E">
        <w:t>Job</w:t>
      </w:r>
      <w:proofErr w:type="spellEnd"/>
      <w:r w:rsidR="00916F3E">
        <w:t xml:space="preserve"> isendid ning pannakse see allalaadimis</w:t>
      </w:r>
      <w:r w:rsidR="00A9074F">
        <w:t>-</w:t>
      </w:r>
      <w:r w:rsidR="00916F3E">
        <w:t>r</w:t>
      </w:r>
      <w:r w:rsidR="00A9074F">
        <w:t>i</w:t>
      </w:r>
      <w:r w:rsidR="00916F3E">
        <w:t>viloendisse.</w:t>
      </w:r>
      <w:r w:rsidR="009E1B53">
        <w:t xml:space="preserve"> Seejärel luuakse üks allalaadimisprotsess</w:t>
      </w:r>
      <w:r w:rsidR="00C97312">
        <w:t xml:space="preserve">, mis kutsub allalaadimisrivist saadud isendil </w:t>
      </w:r>
      <w:proofErr w:type="spellStart"/>
      <w:r w:rsidR="00C97312" w:rsidRPr="00C97312">
        <w:rPr>
          <w:i/>
        </w:rPr>
        <w:t>fetch</w:t>
      </w:r>
      <w:proofErr w:type="spellEnd"/>
      <w:r w:rsidR="00C97312">
        <w:t>-meetodit</w:t>
      </w:r>
      <w:r w:rsidR="009E1B53">
        <w:t xml:space="preserve"> ning </w:t>
      </w:r>
      <w:r w:rsidR="00C97312">
        <w:t>lisavalikutes määratud suurusega protsessi-</w:t>
      </w:r>
      <w:r w:rsidR="00C97312" w:rsidRPr="00C97312">
        <w:rPr>
          <w:i/>
        </w:rPr>
        <w:t>pool</w:t>
      </w:r>
      <w:r w:rsidR="00C97312">
        <w:t xml:space="preserve"> </w:t>
      </w:r>
      <w:r w:rsidR="002E4FB7">
        <w:t>(</w:t>
      </w:r>
      <w:proofErr w:type="spellStart"/>
      <w:r w:rsidR="002E4FB7">
        <w:t>multiprocessing.Pool</w:t>
      </w:r>
      <w:proofErr w:type="spellEnd"/>
      <w:r w:rsidR="002E4FB7">
        <w:t xml:space="preserve">) </w:t>
      </w:r>
      <w:r w:rsidR="00C97312">
        <w:t xml:space="preserve">töötlemisprotsessidega, mis kutsuvad töötlemisjärjekorrast saadud isenditel </w:t>
      </w:r>
      <w:proofErr w:type="spellStart"/>
      <w:r w:rsidR="00C97312" w:rsidRPr="00C97312">
        <w:rPr>
          <w:i/>
        </w:rPr>
        <w:t>process</w:t>
      </w:r>
      <w:proofErr w:type="spellEnd"/>
      <w:r w:rsidR="00C97312">
        <w:t xml:space="preserve">-meetodit. </w:t>
      </w:r>
    </w:p>
    <w:p w:rsidR="000675E5" w:rsidRDefault="000675E5" w:rsidP="000675E5">
      <w:pPr>
        <w:keepNext/>
      </w:pPr>
      <w:r>
        <w:rPr>
          <w:noProof/>
          <w:lang w:eastAsia="et-EE"/>
        </w:rPr>
        <w:lastRenderedPageBreak/>
        <w:drawing>
          <wp:inline distT="0" distB="0" distL="0" distR="0" wp14:anchorId="503384A2" wp14:editId="63742DA4">
            <wp:extent cx="5760085" cy="3291477"/>
            <wp:effectExtent l="0" t="0" r="0" b="444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291477"/>
                    </a:xfrm>
                    <a:prstGeom prst="rect">
                      <a:avLst/>
                    </a:prstGeom>
                    <a:noFill/>
                    <a:ln>
                      <a:noFill/>
                    </a:ln>
                  </pic:spPr>
                </pic:pic>
              </a:graphicData>
            </a:graphic>
          </wp:inline>
        </w:drawing>
      </w:r>
    </w:p>
    <w:p w:rsidR="000675E5" w:rsidRDefault="000675E5" w:rsidP="0049544D">
      <w:pPr>
        <w:pStyle w:val="Pealdis"/>
        <w:rPr>
          <w:sz w:val="22"/>
          <w:szCs w:val="22"/>
        </w:rPr>
      </w:pPr>
      <w:r w:rsidRPr="00732C04">
        <w:rPr>
          <w:b/>
          <w:i w:val="0"/>
          <w:sz w:val="22"/>
          <w:szCs w:val="22"/>
        </w:rPr>
        <w:t xml:space="preserve">Joonis </w:t>
      </w:r>
      <w:r w:rsidRPr="00732C04">
        <w:rPr>
          <w:b/>
          <w:i w:val="0"/>
          <w:sz w:val="22"/>
          <w:szCs w:val="22"/>
        </w:rPr>
        <w:fldChar w:fldCharType="begin"/>
      </w:r>
      <w:r w:rsidRPr="00732C04">
        <w:rPr>
          <w:b/>
          <w:i w:val="0"/>
          <w:sz w:val="22"/>
          <w:szCs w:val="22"/>
        </w:rPr>
        <w:instrText xml:space="preserve"> SEQ Joonis \* ARABIC </w:instrText>
      </w:r>
      <w:r w:rsidRPr="00732C04">
        <w:rPr>
          <w:b/>
          <w:i w:val="0"/>
          <w:sz w:val="22"/>
          <w:szCs w:val="22"/>
        </w:rPr>
        <w:fldChar w:fldCharType="separate"/>
      </w:r>
      <w:r w:rsidR="002F684F">
        <w:rPr>
          <w:b/>
          <w:i w:val="0"/>
          <w:noProof/>
          <w:sz w:val="22"/>
          <w:szCs w:val="22"/>
        </w:rPr>
        <w:t>4</w:t>
      </w:r>
      <w:r w:rsidRPr="00732C04">
        <w:rPr>
          <w:b/>
          <w:i w:val="0"/>
          <w:sz w:val="22"/>
          <w:szCs w:val="22"/>
        </w:rPr>
        <w:fldChar w:fldCharType="end"/>
      </w:r>
      <w:r>
        <w:rPr>
          <w:sz w:val="22"/>
          <w:szCs w:val="22"/>
        </w:rPr>
        <w:t xml:space="preserve"> </w:t>
      </w:r>
      <w:r w:rsidR="00902093">
        <w:rPr>
          <w:sz w:val="22"/>
          <w:szCs w:val="22"/>
        </w:rPr>
        <w:t>get_srr.py ülesehituse loogika.</w:t>
      </w:r>
    </w:p>
    <w:p w:rsidR="005E57EC" w:rsidRPr="005E57EC" w:rsidRDefault="005E57EC" w:rsidP="005E57EC">
      <w:r>
        <w:t>TODO: kaua jooksis ja kuidas läks</w:t>
      </w:r>
      <w:bookmarkStart w:id="5" w:name="_GoBack"/>
      <w:bookmarkEnd w:id="5"/>
    </w:p>
    <w:p w:rsidR="005C79D1" w:rsidRDefault="005C79D1" w:rsidP="005C79D1">
      <w:pPr>
        <w:pStyle w:val="Pealkiri3"/>
      </w:pPr>
      <w:r>
        <w:t>Katvuse määramise meetod</w:t>
      </w:r>
    </w:p>
    <w:p w:rsidR="00CD666D" w:rsidRDefault="00F658BD" w:rsidP="00CD666D">
      <w:r>
        <w:t xml:space="preserve">Selleks, et </w:t>
      </w:r>
      <w:r w:rsidR="008814DD">
        <w:t>luua</w:t>
      </w:r>
      <w:r>
        <w:t xml:space="preserve"> </w:t>
      </w:r>
      <w:r w:rsidR="008814DD">
        <w:t xml:space="preserve">lihtne </w:t>
      </w:r>
      <w:proofErr w:type="spellStart"/>
      <w:r w:rsidR="008814DD">
        <w:t>k-meride</w:t>
      </w:r>
      <w:proofErr w:type="spellEnd"/>
      <w:r w:rsidR="008814DD">
        <w:t xml:space="preserve"> põhine meetod </w:t>
      </w:r>
      <w:proofErr w:type="spellStart"/>
      <w:r w:rsidR="008814DD">
        <w:t>sekveneerimiskatvuse</w:t>
      </w:r>
      <w:proofErr w:type="spellEnd"/>
      <w:r w:rsidR="008814DD">
        <w:t xml:space="preserve"> leidmiseks, on esmalt vaja viisi uue meetodi hindamiseks. Katsetamiseks valitud andmestiku puhul saame kontrolliks kasutada näitajaid:</w:t>
      </w:r>
      <w:r w:rsidR="001A34F5">
        <w:t xml:space="preserve"> publikatsioonis toodud</w:t>
      </w:r>
      <w:r w:rsidR="008814DD">
        <w:t xml:space="preserve"> keskmine katvus 1,7X, </w:t>
      </w:r>
      <w:r w:rsidR="001A34F5">
        <w:t xml:space="preserve">publikatsioonis näidatud </w:t>
      </w:r>
      <w:r w:rsidR="008814DD">
        <w:t xml:space="preserve">katvuste jaotuse võrdlemine ning SRA andmebaasist saadud </w:t>
      </w:r>
      <w:proofErr w:type="spellStart"/>
      <w:r w:rsidR="008814DD">
        <w:t>sekveneeritud</w:t>
      </w:r>
      <w:proofErr w:type="spellEnd"/>
      <w:r w:rsidR="008814DD">
        <w:t xml:space="preserve"> nukleotiidide koguarv.</w:t>
      </w:r>
    </w:p>
    <w:p w:rsidR="00C80376" w:rsidRDefault="009B6A48" w:rsidP="00CD666D">
      <w:r>
        <w:t xml:space="preserve">PCR ja HPA meetodiga </w:t>
      </w:r>
      <w:proofErr w:type="spellStart"/>
      <w:r>
        <w:t>telomeeride</w:t>
      </w:r>
      <w:proofErr w:type="spellEnd"/>
      <w:r>
        <w:t xml:space="preserve"> pikkuse määramiseks kasutatakse </w:t>
      </w:r>
      <w:proofErr w:type="spellStart"/>
      <w:r>
        <w:t>telomeeri</w:t>
      </w:r>
      <w:proofErr w:type="spellEnd"/>
      <w:r>
        <w:t xml:space="preserve"> pikkuse kvantifitseerimiseks </w:t>
      </w:r>
      <w:proofErr w:type="spellStart"/>
      <w:r>
        <w:t>võrldust</w:t>
      </w:r>
      <w:proofErr w:type="spellEnd"/>
      <w:r>
        <w:t xml:space="preserve"> mõne geenijupiga, mille koopianumber on teada. Analoogset lähenemist saaks kasutada ka </w:t>
      </w:r>
      <w:proofErr w:type="spellStart"/>
      <w:r>
        <w:t>sekveneerimiskatvuse</w:t>
      </w:r>
      <w:proofErr w:type="spellEnd"/>
      <w:r>
        <w:t xml:space="preserve"> määramiseks.</w:t>
      </w:r>
    </w:p>
    <w:p w:rsidR="009B6A48" w:rsidRDefault="002F6DCD" w:rsidP="00CD666D">
      <w:r>
        <w:t xml:space="preserve">Selle jaoks valiti kõrge koopiaarvuga </w:t>
      </w:r>
      <w:proofErr w:type="spellStart"/>
      <w:r>
        <w:t>k-mer</w:t>
      </w:r>
      <w:proofErr w:type="spellEnd"/>
      <w:r w:rsidR="00920500">
        <w:t>, sama mida kasutati eelnevalt kirjeldatud HPA meetodis</w:t>
      </w:r>
      <w:r>
        <w:t xml:space="preserve"> (</w:t>
      </w:r>
      <w:r w:rsidRPr="002F6DCD">
        <w:t>CTGTAATCCCAGCACTTTGGGAGGC</w:t>
      </w:r>
      <w:r>
        <w:t>)</w:t>
      </w:r>
      <w:r w:rsidR="00920500">
        <w:t xml:space="preserve">. Selleks, et vältida võimalikke populatsioonide erinevusest tulenevaid ebatäpsusi, valiti koopiaarvu määramiseks inimene </w:t>
      </w:r>
      <w:proofErr w:type="spellStart"/>
      <w:r w:rsidR="00920500">
        <w:t>Han</w:t>
      </w:r>
      <w:proofErr w:type="spellEnd"/>
      <w:r w:rsidR="00920500">
        <w:t xml:space="preserve"> hiinlaste seast </w:t>
      </w:r>
      <w:r w:rsidR="00920500" w:rsidRPr="00920500">
        <w:t>HGDP00778</w:t>
      </w:r>
      <w:r w:rsidR="00920500">
        <w:t xml:space="preserve">. Selle genoomi katvus määrati eelnevalt näidatud mediaankatvuse meetodil ning saadi tulemuseks 22. 22 kordse katvusega andmetes esines valitud </w:t>
      </w:r>
      <w:proofErr w:type="spellStart"/>
      <w:r w:rsidR="00920500">
        <w:t>k-meri</w:t>
      </w:r>
      <w:proofErr w:type="spellEnd"/>
      <w:r w:rsidR="00920500">
        <w:t xml:space="preserve"> </w:t>
      </w:r>
      <w:r w:rsidR="00920500" w:rsidRPr="00920500">
        <w:t>5273596</w:t>
      </w:r>
      <w:r w:rsidR="00920500">
        <w:t xml:space="preserve"> korda. See tähendab, et 1 kordse katvusega </w:t>
      </w:r>
      <w:proofErr w:type="spellStart"/>
      <w:r w:rsidR="00920500">
        <w:t>sekveneeritud</w:t>
      </w:r>
      <w:proofErr w:type="spellEnd"/>
      <w:r w:rsidR="00920500">
        <w:t xml:space="preserve"> genoomis esineks seda </w:t>
      </w:r>
      <w:proofErr w:type="spellStart"/>
      <w:r w:rsidR="00DC25B7">
        <w:t>k-meri</w:t>
      </w:r>
      <w:proofErr w:type="spellEnd"/>
      <w:r w:rsidR="00920500">
        <w:t xml:space="preserve"> </w:t>
      </w:r>
      <w:r w:rsidR="00920500" w:rsidRPr="00920500">
        <w:t>5273596</w:t>
      </w:r>
      <w:r w:rsidR="00920500">
        <w:t>/22  = 239708 korda.</w:t>
      </w:r>
    </w:p>
    <w:p w:rsidR="00550595" w:rsidRDefault="000B1AB1" w:rsidP="00CD666D">
      <w:r>
        <w:lastRenderedPageBreak/>
        <w:t xml:space="preserve">Sellest lähtuvalt uuriti CONVERGE andmestiku </w:t>
      </w:r>
      <w:proofErr w:type="spellStart"/>
      <w:r>
        <w:t>sekveneerimisandmetes</w:t>
      </w:r>
      <w:proofErr w:type="spellEnd"/>
      <w:r>
        <w:t xml:space="preserve"> sama </w:t>
      </w:r>
      <w:proofErr w:type="spellStart"/>
      <w:r>
        <w:t>k-meri</w:t>
      </w:r>
      <w:proofErr w:type="spellEnd"/>
      <w:r>
        <w:t xml:space="preserve"> esinemist.</w:t>
      </w:r>
      <w:r w:rsidR="008264CF">
        <w:t xml:space="preserve"> Selgus, et keskmiselt esineb valitud </w:t>
      </w:r>
      <w:proofErr w:type="spellStart"/>
      <w:r w:rsidR="008264CF">
        <w:t>k-meri</w:t>
      </w:r>
      <w:proofErr w:type="spellEnd"/>
      <w:r w:rsidR="008264CF">
        <w:t xml:space="preserve"> </w:t>
      </w:r>
      <w:proofErr w:type="spellStart"/>
      <w:r w:rsidR="008264CF">
        <w:t>sekveneerimisandmetes</w:t>
      </w:r>
      <w:proofErr w:type="spellEnd"/>
      <w:r w:rsidR="008264CF">
        <w:t xml:space="preserve"> </w:t>
      </w:r>
      <w:r w:rsidR="008264CF" w:rsidRPr="008264CF">
        <w:t>174265</w:t>
      </w:r>
      <w:r w:rsidR="008264CF">
        <w:t xml:space="preserve"> korda, mis teeks keskmiseks arvutatud katvuseks </w:t>
      </w:r>
      <w:r w:rsidR="008264CF" w:rsidRPr="008264CF">
        <w:t>174265</w:t>
      </w:r>
      <w:r w:rsidR="008264CF">
        <w:t>/239708</w:t>
      </w:r>
      <w:r w:rsidR="00272B5E">
        <w:t xml:space="preserve"> = 0,</w:t>
      </w:r>
      <w:r w:rsidR="008264CF">
        <w:t>73.</w:t>
      </w:r>
      <w:r w:rsidR="00272B5E">
        <w:t xml:space="preserve"> See tulemus erineb CONVERGE andmestiku artiklis toodud 1,7-st märgatavalt.</w:t>
      </w:r>
      <w:r w:rsidR="00897A70">
        <w:t xml:space="preserve"> </w:t>
      </w:r>
      <w:r w:rsidR="005F7E9C">
        <w:t xml:space="preserve">Siiski </w:t>
      </w:r>
      <w:r w:rsidR="00FC121E">
        <w:t>on jooniselt (</w:t>
      </w:r>
      <w:r w:rsidR="00FC121E">
        <w:fldChar w:fldCharType="begin"/>
      </w:r>
      <w:r w:rsidR="00FC121E">
        <w:instrText xml:space="preserve"> REF _Ref483423063 \h </w:instrText>
      </w:r>
      <w:r w:rsidR="00FC121E">
        <w:fldChar w:fldCharType="separate"/>
      </w:r>
      <w:r w:rsidR="00FC121E">
        <w:t xml:space="preserve">Joonis </w:t>
      </w:r>
      <w:r w:rsidR="00FC121E">
        <w:rPr>
          <w:noProof/>
        </w:rPr>
        <w:t>5</w:t>
      </w:r>
      <w:r w:rsidR="00FC121E">
        <w:fldChar w:fldCharType="end"/>
      </w:r>
      <w:r w:rsidR="00FC121E">
        <w:t>) näha</w:t>
      </w:r>
      <w:r w:rsidR="00452DE0">
        <w:t xml:space="preserve">, et </w:t>
      </w:r>
      <w:r w:rsidR="00FC121E">
        <w:t xml:space="preserve">arvutatud katvuste jaotus sarnaneb kirjanduses </w:t>
      </w:r>
      <w:r w:rsidR="00A2644D">
        <w:t>(</w:t>
      </w:r>
      <w:r w:rsidR="00A2644D" w:rsidRPr="00A2644D">
        <w:fldChar w:fldCharType="begin"/>
      </w:r>
      <w:r w:rsidR="00A2644D" w:rsidRPr="00A2644D">
        <w:instrText xml:space="preserve"> REF _Ref483428041 \h </w:instrText>
      </w:r>
      <w:r w:rsidR="00A2644D" w:rsidRPr="00A2644D">
        <w:fldChar w:fldCharType="end"/>
      </w:r>
      <w:r w:rsidR="00A2644D">
        <w:fldChar w:fldCharType="begin"/>
      </w:r>
      <w:r w:rsidR="00A2644D" w:rsidRPr="00A2644D">
        <w:instrText xml:space="preserve"> REF _Ref483428052 \h  \* MERGEFORMAT </w:instrText>
      </w:r>
      <w:r w:rsidR="00A2644D">
        <w:fldChar w:fldCharType="separate"/>
      </w:r>
      <w:r w:rsidR="00A2644D" w:rsidRPr="00A2644D">
        <w:t>Joonis</w:t>
      </w:r>
      <w:r w:rsidR="00A2644D" w:rsidRPr="00941E16">
        <w:rPr>
          <w:b/>
          <w:i/>
        </w:rPr>
        <w:t xml:space="preserve"> </w:t>
      </w:r>
      <w:r w:rsidR="00A2644D" w:rsidRPr="00A2644D">
        <w:rPr>
          <w:noProof/>
        </w:rPr>
        <w:t>2</w:t>
      </w:r>
      <w:r w:rsidR="00A2644D">
        <w:fldChar w:fldCharType="end"/>
      </w:r>
      <w:r w:rsidR="00A2644D">
        <w:t xml:space="preserve">) </w:t>
      </w:r>
      <w:r w:rsidR="00FC121E">
        <w:t>tooduga.</w:t>
      </w:r>
    </w:p>
    <w:p w:rsidR="00FC121E" w:rsidRDefault="00A2644D" w:rsidP="00FC121E">
      <w:pPr>
        <w:keepNext/>
      </w:pPr>
      <w:r>
        <w:rPr>
          <w:noProof/>
          <w:lang w:eastAsia="et-EE"/>
        </w:rPr>
        <w:drawing>
          <wp:inline distT="0" distB="0" distL="0" distR="0">
            <wp:extent cx="4469717" cy="3064299"/>
            <wp:effectExtent l="0" t="0" r="0" b="3175"/>
            <wp:docPr id="7" name="Pilt 7" descr="F:\ktelom\thesis\Alu-arvutatud tuumagenoomi katvuste jao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telom\thesis\Alu-arvutatud tuumagenoomi katvuste jaotu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8587"/>
                    <a:stretch/>
                  </pic:blipFill>
                  <pic:spPr bwMode="auto">
                    <a:xfrm>
                      <a:off x="0" y="0"/>
                      <a:ext cx="4507268" cy="3090043"/>
                    </a:xfrm>
                    <a:prstGeom prst="rect">
                      <a:avLst/>
                    </a:prstGeom>
                    <a:noFill/>
                    <a:ln>
                      <a:noFill/>
                    </a:ln>
                    <a:extLst>
                      <a:ext uri="{53640926-AAD7-44D8-BBD7-CCE9431645EC}">
                        <a14:shadowObscured xmlns:a14="http://schemas.microsoft.com/office/drawing/2010/main"/>
                      </a:ext>
                    </a:extLst>
                  </pic:spPr>
                </pic:pic>
              </a:graphicData>
            </a:graphic>
          </wp:inline>
        </w:drawing>
      </w:r>
    </w:p>
    <w:p w:rsidR="005F7E9C" w:rsidRPr="00B23B76" w:rsidRDefault="00FC121E" w:rsidP="00FC121E">
      <w:pPr>
        <w:pStyle w:val="Pealdis"/>
        <w:rPr>
          <w:sz w:val="24"/>
        </w:rPr>
      </w:pPr>
      <w:bookmarkStart w:id="6" w:name="_Ref483423063"/>
      <w:r w:rsidRPr="00B23B76">
        <w:rPr>
          <w:b/>
          <w:i w:val="0"/>
          <w:sz w:val="24"/>
        </w:rPr>
        <w:t xml:space="preserve">Joonis </w:t>
      </w:r>
      <w:r w:rsidRPr="00B23B76">
        <w:rPr>
          <w:b/>
          <w:i w:val="0"/>
          <w:sz w:val="24"/>
        </w:rPr>
        <w:fldChar w:fldCharType="begin"/>
      </w:r>
      <w:r w:rsidRPr="00B23B76">
        <w:rPr>
          <w:b/>
          <w:i w:val="0"/>
          <w:sz w:val="24"/>
        </w:rPr>
        <w:instrText xml:space="preserve"> SEQ Joonis \* ARABIC </w:instrText>
      </w:r>
      <w:r w:rsidRPr="00B23B76">
        <w:rPr>
          <w:b/>
          <w:i w:val="0"/>
          <w:sz w:val="24"/>
        </w:rPr>
        <w:fldChar w:fldCharType="separate"/>
      </w:r>
      <w:r w:rsidR="002F684F">
        <w:rPr>
          <w:b/>
          <w:i w:val="0"/>
          <w:noProof/>
          <w:sz w:val="24"/>
        </w:rPr>
        <w:t>5</w:t>
      </w:r>
      <w:r w:rsidRPr="00B23B76">
        <w:rPr>
          <w:b/>
          <w:i w:val="0"/>
          <w:sz w:val="24"/>
        </w:rPr>
        <w:fldChar w:fldCharType="end"/>
      </w:r>
      <w:bookmarkEnd w:id="6"/>
      <w:r w:rsidR="00A2644D" w:rsidRPr="00B23B76">
        <w:rPr>
          <w:sz w:val="24"/>
        </w:rPr>
        <w:t xml:space="preserve"> </w:t>
      </w:r>
      <w:r w:rsidR="00B23B76" w:rsidRPr="00B23B76">
        <w:rPr>
          <w:sz w:val="24"/>
        </w:rPr>
        <w:t>Arutatud tuumagenoomide katvused</w:t>
      </w:r>
    </w:p>
    <w:p w:rsidR="00823A9C" w:rsidRDefault="007C051E" w:rsidP="005F1E5D">
      <w:r>
        <w:t xml:space="preserve">Kuigi esmane katvuse määramise meetod ei osutunud sobivaks, on </w:t>
      </w:r>
      <w:proofErr w:type="spellStart"/>
      <w:r>
        <w:t>telomeeride</w:t>
      </w:r>
      <w:proofErr w:type="spellEnd"/>
      <w:r>
        <w:t xml:space="preserve"> pikkuse määramiseks siiski</w:t>
      </w:r>
      <w:r w:rsidR="00AB7906">
        <w:t xml:space="preserve"> katvust vaja.</w:t>
      </w:r>
      <w:r w:rsidR="00823A9C">
        <w:t xml:space="preserve"> Kuna esmase tulemuse arvutatud katvuste jaotus sarnaneb väga andmekogu artiklis toodule, on võimalus arvutamise meetodit </w:t>
      </w:r>
      <w:proofErr w:type="spellStart"/>
      <w:r w:rsidR="00823A9C" w:rsidRPr="00823A9C">
        <w:rPr>
          <w:i/>
        </w:rPr>
        <w:t>ad-hoc</w:t>
      </w:r>
      <w:proofErr w:type="spellEnd"/>
      <w:r w:rsidR="00823A9C">
        <w:t xml:space="preserve"> korrigeerida nii, et tulemus sarnaneks artiklis esitatud tulemusele. Selle jaoks prooviti kahte võimalust – leida kordaja, millega katvusi läbi korrutades saadakse keskmiseks katvuseks 1,7 ning liita arvutatud katvusele </w:t>
      </w:r>
      <w:r w:rsidR="00BB3DD9">
        <w:t>puudujääv osa juurde</w:t>
      </w:r>
      <w:r w:rsidR="00823A9C">
        <w:t>.</w:t>
      </w:r>
    </w:p>
    <w:p w:rsidR="006E0EAA" w:rsidRDefault="000C7B14" w:rsidP="006E0EAA">
      <w:pPr>
        <w:keepNext/>
      </w:pPr>
      <w:r>
        <w:rPr>
          <w:noProof/>
          <w:lang w:eastAsia="et-EE"/>
        </w:rPr>
        <w:lastRenderedPageBreak/>
        <w:drawing>
          <wp:inline distT="0" distB="0" distL="0" distR="0">
            <wp:extent cx="5257973" cy="3564466"/>
            <wp:effectExtent l="0" t="0" r="0" b="0"/>
            <wp:docPr id="9" name="Pilt 9" descr="F:\ktelom\thesis\Korrigeeritud katvuste variand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telom\thesis\Korrigeeritud katvuste variandid.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9608"/>
                    <a:stretch/>
                  </pic:blipFill>
                  <pic:spPr bwMode="auto">
                    <a:xfrm>
                      <a:off x="0" y="0"/>
                      <a:ext cx="5266410" cy="3570185"/>
                    </a:xfrm>
                    <a:prstGeom prst="rect">
                      <a:avLst/>
                    </a:prstGeom>
                    <a:noFill/>
                    <a:ln>
                      <a:noFill/>
                    </a:ln>
                    <a:extLst>
                      <a:ext uri="{53640926-AAD7-44D8-BBD7-CCE9431645EC}">
                        <a14:shadowObscured xmlns:a14="http://schemas.microsoft.com/office/drawing/2010/main"/>
                      </a:ext>
                    </a:extLst>
                  </pic:spPr>
                </pic:pic>
              </a:graphicData>
            </a:graphic>
          </wp:inline>
        </w:drawing>
      </w:r>
    </w:p>
    <w:p w:rsidR="005B1791" w:rsidRPr="00732C04" w:rsidRDefault="006E0EAA" w:rsidP="006E0EAA">
      <w:pPr>
        <w:pStyle w:val="Pealdis"/>
        <w:rPr>
          <w:sz w:val="24"/>
        </w:rPr>
      </w:pPr>
      <w:bookmarkStart w:id="7" w:name="_Ref483431780"/>
      <w:r w:rsidRPr="00DC05F6">
        <w:rPr>
          <w:b/>
          <w:i w:val="0"/>
          <w:sz w:val="24"/>
        </w:rPr>
        <w:t xml:space="preserve">Joonis </w:t>
      </w:r>
      <w:r w:rsidRPr="00DC05F6">
        <w:rPr>
          <w:b/>
          <w:i w:val="0"/>
          <w:sz w:val="24"/>
        </w:rPr>
        <w:fldChar w:fldCharType="begin"/>
      </w:r>
      <w:r w:rsidRPr="00DC05F6">
        <w:rPr>
          <w:b/>
          <w:i w:val="0"/>
          <w:sz w:val="24"/>
        </w:rPr>
        <w:instrText xml:space="preserve"> SEQ Joonis \* ARABIC </w:instrText>
      </w:r>
      <w:r w:rsidRPr="00DC05F6">
        <w:rPr>
          <w:b/>
          <w:i w:val="0"/>
          <w:sz w:val="24"/>
        </w:rPr>
        <w:fldChar w:fldCharType="separate"/>
      </w:r>
      <w:r w:rsidR="002F684F">
        <w:rPr>
          <w:b/>
          <w:i w:val="0"/>
          <w:noProof/>
          <w:sz w:val="24"/>
        </w:rPr>
        <w:t>6</w:t>
      </w:r>
      <w:r w:rsidRPr="00DC05F6">
        <w:rPr>
          <w:b/>
          <w:i w:val="0"/>
          <w:sz w:val="24"/>
        </w:rPr>
        <w:fldChar w:fldCharType="end"/>
      </w:r>
      <w:bookmarkEnd w:id="7"/>
      <w:r w:rsidR="00DC05F6">
        <w:rPr>
          <w:sz w:val="24"/>
        </w:rPr>
        <w:t xml:space="preserve"> Võimalikud variandid tegeliku katvuse hindamiseks. </w:t>
      </w:r>
    </w:p>
    <w:p w:rsidR="00E936E3" w:rsidRPr="0045301B" w:rsidRDefault="0045301B" w:rsidP="0045301B">
      <w:r>
        <w:t>Jooniselt (</w:t>
      </w:r>
      <w:r>
        <w:fldChar w:fldCharType="begin"/>
      </w:r>
      <w:r>
        <w:instrText xml:space="preserve"> REF _Ref483431780 \h </w:instrText>
      </w:r>
      <w:r>
        <w:fldChar w:fldCharType="separate"/>
      </w:r>
      <w:r>
        <w:t xml:space="preserve">Joonis </w:t>
      </w:r>
      <w:r>
        <w:rPr>
          <w:noProof/>
        </w:rPr>
        <w:t>6</w:t>
      </w:r>
      <w:r>
        <w:fldChar w:fldCharType="end"/>
      </w:r>
      <w:r>
        <w:t xml:space="preserve">) on näha, </w:t>
      </w:r>
      <w:r w:rsidR="00216754">
        <w:t xml:space="preserve">puudujääva osa juurde liitmisel saadav jaotus on kirjanduses toodule palju sarnasem kui kordajaga </w:t>
      </w:r>
      <w:r w:rsidR="009C15CF">
        <w:t>läbi korrutamisel saadav jaotus – ei esine katvusi, mis on väiksemad kui 1,4, kuid on.</w:t>
      </w:r>
    </w:p>
    <w:p w:rsidR="00CD666D" w:rsidRDefault="00CD666D" w:rsidP="00CD666D">
      <w:pPr>
        <w:pStyle w:val="Pealkiri3"/>
      </w:pPr>
      <w:r>
        <w:t xml:space="preserve">Keskmised </w:t>
      </w:r>
      <w:proofErr w:type="spellStart"/>
      <w:r>
        <w:t>telomeeride</w:t>
      </w:r>
      <w:proofErr w:type="spellEnd"/>
      <w:r>
        <w:t xml:space="preserve"> pikkused</w:t>
      </w:r>
    </w:p>
    <w:p w:rsidR="007B43C2" w:rsidRDefault="00145CA5" w:rsidP="007B43C2">
      <w:proofErr w:type="spellStart"/>
      <w:r>
        <w:t>Telomeeride</w:t>
      </w:r>
      <w:proofErr w:type="spellEnd"/>
      <w:r>
        <w:t xml:space="preserve"> </w:t>
      </w:r>
      <w:proofErr w:type="spellStart"/>
      <w:r>
        <w:t>k-meri</w:t>
      </w:r>
      <w:proofErr w:type="spellEnd"/>
      <w:r>
        <w:t xml:space="preserve"> (</w:t>
      </w:r>
      <w:r w:rsidRPr="00145CA5">
        <w:t>TTAGGGTTAGGGTTAGGGTTAGGGT</w:t>
      </w:r>
      <w:r>
        <w:t xml:space="preserve">) arvude uurimisel selgus, et </w:t>
      </w:r>
      <w:r w:rsidR="001D7CC1">
        <w:t xml:space="preserve">andmestiku siseselt </w:t>
      </w:r>
      <w:r w:rsidR="00AE33B7">
        <w:t>jagunevad hulgad kahte gruppi</w:t>
      </w:r>
      <w:r w:rsidR="00B84DC4">
        <w:t xml:space="preserve"> (</w:t>
      </w:r>
      <w:r w:rsidR="00B84DC4" w:rsidRPr="00B84DC4">
        <w:fldChar w:fldCharType="begin"/>
      </w:r>
      <w:r w:rsidR="00B84DC4" w:rsidRPr="00B84DC4">
        <w:instrText xml:space="preserve"> REF _Ref483438689 \h </w:instrText>
      </w:r>
      <w:r w:rsidR="00B84DC4" w:rsidRPr="00B84DC4">
        <w:instrText xml:space="preserve"> \* MERGEFORMAT </w:instrText>
      </w:r>
      <w:r w:rsidR="00B84DC4" w:rsidRPr="00B84DC4">
        <w:fldChar w:fldCharType="separate"/>
      </w:r>
      <w:r w:rsidR="00B84DC4" w:rsidRPr="00B84DC4">
        <w:fldChar w:fldCharType="end"/>
      </w:r>
      <w:r w:rsidR="00B84DC4" w:rsidRPr="00B84DC4">
        <w:fldChar w:fldCharType="begin"/>
      </w:r>
      <w:r w:rsidR="00B84DC4" w:rsidRPr="00B84DC4">
        <w:instrText xml:space="preserve"> REF _Ref483438697 \h </w:instrText>
      </w:r>
      <w:r w:rsidR="00B84DC4" w:rsidRPr="00B84DC4">
        <w:instrText xml:space="preserve"> \* MERGEFORMAT </w:instrText>
      </w:r>
      <w:r w:rsidR="00B84DC4" w:rsidRPr="00B84DC4">
        <w:fldChar w:fldCharType="separate"/>
      </w:r>
      <w:r w:rsidR="00B84DC4" w:rsidRPr="00B84DC4">
        <w:t xml:space="preserve">Joonis </w:t>
      </w:r>
      <w:r w:rsidR="00B84DC4" w:rsidRPr="00B84DC4">
        <w:rPr>
          <w:noProof/>
        </w:rPr>
        <w:t>7</w:t>
      </w:r>
      <w:r w:rsidR="00B84DC4" w:rsidRPr="00B84DC4">
        <w:fldChar w:fldCharType="end"/>
      </w:r>
      <w:r w:rsidR="00B84DC4">
        <w:t>)</w:t>
      </w:r>
      <w:r w:rsidR="001D7CC1">
        <w:t>.</w:t>
      </w:r>
    </w:p>
    <w:p w:rsidR="000017D4" w:rsidRDefault="000017D4" w:rsidP="000017D4">
      <w:pPr>
        <w:keepNext/>
      </w:pPr>
      <w:r>
        <w:rPr>
          <w:noProof/>
          <w:lang w:eastAsia="et-EE"/>
        </w:rPr>
        <w:drawing>
          <wp:inline distT="0" distB="0" distL="0" distR="0">
            <wp:extent cx="5753100" cy="1958340"/>
            <wp:effectExtent l="0" t="0" r="0" b="0"/>
            <wp:docPr id="5" name="Pilt 5" descr="C:\Users\Enar\AppData\Local\Microsoft\Windows\INetCache\Content.Word\Grupeerituga k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Grupeerituga koo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1958340"/>
                    </a:xfrm>
                    <a:prstGeom prst="rect">
                      <a:avLst/>
                    </a:prstGeom>
                    <a:noFill/>
                    <a:ln>
                      <a:noFill/>
                    </a:ln>
                  </pic:spPr>
                </pic:pic>
              </a:graphicData>
            </a:graphic>
          </wp:inline>
        </w:drawing>
      </w:r>
    </w:p>
    <w:p w:rsidR="001D7CC1" w:rsidRDefault="000017D4" w:rsidP="000E17FE">
      <w:pPr>
        <w:pStyle w:val="Pealdis"/>
        <w:ind w:left="708" w:hanging="708"/>
        <w:rPr>
          <w:i w:val="0"/>
          <w:sz w:val="24"/>
        </w:rPr>
      </w:pPr>
      <w:bookmarkStart w:id="8" w:name="_Ref483438697"/>
      <w:r w:rsidRPr="007D65ED">
        <w:rPr>
          <w:b/>
          <w:i w:val="0"/>
          <w:sz w:val="24"/>
        </w:rPr>
        <w:t xml:space="preserve">Joonis </w:t>
      </w:r>
      <w:r w:rsidRPr="007D65ED">
        <w:rPr>
          <w:b/>
          <w:i w:val="0"/>
          <w:sz w:val="24"/>
        </w:rPr>
        <w:fldChar w:fldCharType="begin"/>
      </w:r>
      <w:r w:rsidRPr="007D65ED">
        <w:rPr>
          <w:b/>
          <w:i w:val="0"/>
          <w:sz w:val="24"/>
        </w:rPr>
        <w:instrText xml:space="preserve"> SEQ Joonis \* ARABIC </w:instrText>
      </w:r>
      <w:r w:rsidRPr="007D65ED">
        <w:rPr>
          <w:b/>
          <w:i w:val="0"/>
          <w:sz w:val="24"/>
        </w:rPr>
        <w:fldChar w:fldCharType="separate"/>
      </w:r>
      <w:r w:rsidR="002F684F">
        <w:rPr>
          <w:b/>
          <w:i w:val="0"/>
          <w:noProof/>
          <w:sz w:val="24"/>
        </w:rPr>
        <w:t>7</w:t>
      </w:r>
      <w:r w:rsidRPr="007D65ED">
        <w:rPr>
          <w:b/>
          <w:i w:val="0"/>
          <w:sz w:val="24"/>
        </w:rPr>
        <w:fldChar w:fldCharType="end"/>
      </w:r>
      <w:bookmarkEnd w:id="8"/>
      <w:r w:rsidR="00910703" w:rsidRPr="007D65ED">
        <w:rPr>
          <w:i w:val="0"/>
          <w:sz w:val="24"/>
        </w:rPr>
        <w:t xml:space="preserve"> </w:t>
      </w:r>
      <w:bookmarkStart w:id="9" w:name="_Ref483438689"/>
      <w:r w:rsidR="00910703" w:rsidRPr="00DC05F6">
        <w:rPr>
          <w:sz w:val="24"/>
        </w:rPr>
        <w:t xml:space="preserve">Vasakul: kontroll </w:t>
      </w:r>
      <w:proofErr w:type="spellStart"/>
      <w:r w:rsidR="00910703" w:rsidRPr="00DC05F6">
        <w:rPr>
          <w:sz w:val="24"/>
        </w:rPr>
        <w:t>kmeri</w:t>
      </w:r>
      <w:proofErr w:type="spellEnd"/>
      <w:r w:rsidR="00910703" w:rsidRPr="00DC05F6">
        <w:rPr>
          <w:sz w:val="24"/>
        </w:rPr>
        <w:t xml:space="preserve">-arvu ja Alu </w:t>
      </w:r>
      <w:proofErr w:type="spellStart"/>
      <w:r w:rsidR="00910703" w:rsidRPr="00DC05F6">
        <w:rPr>
          <w:sz w:val="24"/>
        </w:rPr>
        <w:t>k-meri</w:t>
      </w:r>
      <w:proofErr w:type="spellEnd"/>
      <w:r w:rsidR="00910703" w:rsidRPr="00DC05F6">
        <w:rPr>
          <w:sz w:val="24"/>
        </w:rPr>
        <w:t xml:space="preserve"> suhe. Par</w:t>
      </w:r>
      <w:r w:rsidR="00B807EB" w:rsidRPr="00DC05F6">
        <w:rPr>
          <w:sz w:val="24"/>
        </w:rPr>
        <w:t xml:space="preserve">emal: </w:t>
      </w:r>
      <w:proofErr w:type="spellStart"/>
      <w:r w:rsidR="00B807EB" w:rsidRPr="00DC05F6">
        <w:rPr>
          <w:sz w:val="24"/>
        </w:rPr>
        <w:t>Telomeeri</w:t>
      </w:r>
      <w:proofErr w:type="spellEnd"/>
      <w:r w:rsidR="00B807EB" w:rsidRPr="00DC05F6">
        <w:rPr>
          <w:sz w:val="24"/>
        </w:rPr>
        <w:t xml:space="preserve"> </w:t>
      </w:r>
      <w:proofErr w:type="spellStart"/>
      <w:r w:rsidR="00B807EB" w:rsidRPr="00DC05F6">
        <w:rPr>
          <w:sz w:val="24"/>
        </w:rPr>
        <w:t>k-meri</w:t>
      </w:r>
      <w:proofErr w:type="spellEnd"/>
      <w:r w:rsidR="00B807EB" w:rsidRPr="00DC05F6">
        <w:rPr>
          <w:sz w:val="24"/>
        </w:rPr>
        <w:t xml:space="preserve"> ja Alu </w:t>
      </w:r>
      <w:r w:rsidR="00B807EB" w:rsidRPr="00DC05F6">
        <w:rPr>
          <w:sz w:val="24"/>
        </w:rPr>
        <w:br/>
      </w:r>
      <w:proofErr w:type="spellStart"/>
      <w:r w:rsidR="00B807EB" w:rsidRPr="00DC05F6">
        <w:rPr>
          <w:sz w:val="24"/>
        </w:rPr>
        <w:t>k-</w:t>
      </w:r>
      <w:r w:rsidR="00910703" w:rsidRPr="00DC05F6">
        <w:rPr>
          <w:sz w:val="24"/>
        </w:rPr>
        <w:t>meri</w:t>
      </w:r>
      <w:proofErr w:type="spellEnd"/>
      <w:r w:rsidR="00910703" w:rsidRPr="00DC05F6">
        <w:rPr>
          <w:sz w:val="24"/>
        </w:rPr>
        <w:t xml:space="preserve"> suhe. </w:t>
      </w:r>
      <w:r w:rsidR="007D65ED" w:rsidRPr="00DC05F6">
        <w:rPr>
          <w:sz w:val="24"/>
        </w:rPr>
        <w:t xml:space="preserve">Punaseks on värvitud proovid, kus </w:t>
      </w:r>
      <w:proofErr w:type="spellStart"/>
      <w:r w:rsidR="007D65ED" w:rsidRPr="00DC05F6">
        <w:rPr>
          <w:sz w:val="24"/>
        </w:rPr>
        <w:t>AvgSpotLen_l</w:t>
      </w:r>
      <w:proofErr w:type="spellEnd"/>
      <w:r w:rsidR="007D65ED" w:rsidRPr="00DC05F6">
        <w:rPr>
          <w:sz w:val="24"/>
        </w:rPr>
        <w:t xml:space="preserve"> on 166, siniseks kus </w:t>
      </w:r>
      <w:proofErr w:type="spellStart"/>
      <w:r w:rsidR="007D65ED" w:rsidRPr="00DC05F6">
        <w:rPr>
          <w:sz w:val="24"/>
        </w:rPr>
        <w:t>AvgSpotLen_l</w:t>
      </w:r>
      <w:proofErr w:type="spellEnd"/>
      <w:r w:rsidR="007D65ED" w:rsidRPr="00DC05F6">
        <w:rPr>
          <w:sz w:val="24"/>
        </w:rPr>
        <w:t xml:space="preserve"> on mõni muu väärtusega (</w:t>
      </w:r>
      <w:r w:rsidR="004954C1" w:rsidRPr="00DC05F6">
        <w:rPr>
          <w:sz w:val="24"/>
        </w:rPr>
        <w:t>enamus</w:t>
      </w:r>
      <w:r w:rsidR="007D65ED" w:rsidRPr="00DC05F6">
        <w:rPr>
          <w:sz w:val="24"/>
        </w:rPr>
        <w:t xml:space="preserve"> 165).</w:t>
      </w:r>
      <w:bookmarkEnd w:id="9"/>
    </w:p>
    <w:p w:rsidR="00F04516" w:rsidRDefault="00F04516" w:rsidP="002C00AE">
      <w:r>
        <w:lastRenderedPageBreak/>
        <w:t xml:space="preserve">Selle erisuse tõttu viidi </w:t>
      </w:r>
      <w:proofErr w:type="spellStart"/>
      <w:r>
        <w:t>telomeeride</w:t>
      </w:r>
      <w:proofErr w:type="spellEnd"/>
      <w:r>
        <w:t xml:space="preserve"> pikkuse analüüs läbi vaid nende proovidega, kus </w:t>
      </w:r>
      <w:proofErr w:type="spellStart"/>
      <w:r>
        <w:t>AvgSpotLen_l</w:t>
      </w:r>
      <w:proofErr w:type="spellEnd"/>
      <w:r>
        <w:t xml:space="preserve"> väärtus oli 166.</w:t>
      </w:r>
      <w:r w:rsidR="001C2241">
        <w:t xml:space="preserve"> Neid proove oli kokku 6863 tükki.</w:t>
      </w:r>
      <w:r w:rsidR="00B902FD">
        <w:t xml:space="preserve"> </w:t>
      </w:r>
      <w:proofErr w:type="spellStart"/>
      <w:r w:rsidR="00B902FD">
        <w:t>Telomeeride</w:t>
      </w:r>
      <w:proofErr w:type="spellEnd"/>
      <w:r w:rsidR="00B902FD">
        <w:t xml:space="preserve"> keskmised pikkused arvutati valemi (</w:t>
      </w:r>
      <w:proofErr w:type="spellStart"/>
      <w:r w:rsidR="00B902FD">
        <w:t>tel_kmer_arv</w:t>
      </w:r>
      <w:proofErr w:type="spellEnd"/>
      <w:r w:rsidR="00B902FD">
        <w:t>*25)/(katvus*92)</w:t>
      </w:r>
      <w:r w:rsidR="000C69F2">
        <w:t xml:space="preserve"> abil</w:t>
      </w:r>
      <w:r w:rsidR="00B902FD">
        <w:t xml:space="preserve">. 25 on valemis </w:t>
      </w:r>
      <w:proofErr w:type="spellStart"/>
      <w:r w:rsidR="00B902FD">
        <w:t>k-meri</w:t>
      </w:r>
      <w:proofErr w:type="spellEnd"/>
      <w:r w:rsidR="00B902FD">
        <w:t xml:space="preserve"> pikkus, 92 on </w:t>
      </w:r>
      <w:proofErr w:type="spellStart"/>
      <w:r w:rsidR="00B902FD">
        <w:t>telomeeride</w:t>
      </w:r>
      <w:proofErr w:type="spellEnd"/>
      <w:r w:rsidR="00B902FD">
        <w:t xml:space="preserve"> arv tuumas.</w:t>
      </w:r>
    </w:p>
    <w:p w:rsidR="00A05371" w:rsidRDefault="00A05371" w:rsidP="00A05371">
      <w:pPr>
        <w:keepNext/>
      </w:pPr>
      <w:r>
        <w:rPr>
          <w:noProof/>
          <w:lang w:eastAsia="et-EE"/>
        </w:rPr>
        <w:drawing>
          <wp:inline distT="0" distB="0" distL="0" distR="0">
            <wp:extent cx="5753100" cy="3848100"/>
            <wp:effectExtent l="0" t="0" r="0" b="0"/>
            <wp:docPr id="6" name="Pilt 6" descr="F:\ktelom\thesis\Telomeeride pikk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telom\thesis\Telomeeride pikkused.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0778"/>
                    <a:stretch/>
                  </pic:blipFill>
                  <pic:spPr bwMode="auto">
                    <a:xfrm>
                      <a:off x="0" y="0"/>
                      <a:ext cx="5753100" cy="3848100"/>
                    </a:xfrm>
                    <a:prstGeom prst="rect">
                      <a:avLst/>
                    </a:prstGeom>
                    <a:noFill/>
                    <a:ln>
                      <a:noFill/>
                    </a:ln>
                    <a:extLst>
                      <a:ext uri="{53640926-AAD7-44D8-BBD7-CCE9431645EC}">
                        <a14:shadowObscured xmlns:a14="http://schemas.microsoft.com/office/drawing/2010/main"/>
                      </a:ext>
                    </a:extLst>
                  </pic:spPr>
                </pic:pic>
              </a:graphicData>
            </a:graphic>
          </wp:inline>
        </w:drawing>
      </w:r>
    </w:p>
    <w:p w:rsidR="002053A0" w:rsidRDefault="00A05371" w:rsidP="00A05371">
      <w:pPr>
        <w:pStyle w:val="Pealdis"/>
        <w:rPr>
          <w:sz w:val="24"/>
        </w:rPr>
      </w:pPr>
      <w:r w:rsidRPr="006E2DDF">
        <w:rPr>
          <w:b/>
          <w:i w:val="0"/>
          <w:sz w:val="24"/>
        </w:rPr>
        <w:t xml:space="preserve">Joonis </w:t>
      </w:r>
      <w:r w:rsidRPr="006E2DDF">
        <w:rPr>
          <w:b/>
          <w:i w:val="0"/>
          <w:sz w:val="24"/>
        </w:rPr>
        <w:fldChar w:fldCharType="begin"/>
      </w:r>
      <w:r w:rsidRPr="006E2DDF">
        <w:rPr>
          <w:b/>
          <w:i w:val="0"/>
          <w:sz w:val="24"/>
        </w:rPr>
        <w:instrText xml:space="preserve"> SEQ Joonis \* ARABIC </w:instrText>
      </w:r>
      <w:r w:rsidRPr="006E2DDF">
        <w:rPr>
          <w:b/>
          <w:i w:val="0"/>
          <w:sz w:val="24"/>
        </w:rPr>
        <w:fldChar w:fldCharType="separate"/>
      </w:r>
      <w:r w:rsidR="002F684F" w:rsidRPr="006E2DDF">
        <w:rPr>
          <w:b/>
          <w:i w:val="0"/>
          <w:noProof/>
          <w:sz w:val="24"/>
        </w:rPr>
        <w:t>8</w:t>
      </w:r>
      <w:r w:rsidRPr="006E2DDF">
        <w:rPr>
          <w:b/>
          <w:i w:val="0"/>
          <w:sz w:val="24"/>
        </w:rPr>
        <w:fldChar w:fldCharType="end"/>
      </w:r>
      <w:r>
        <w:rPr>
          <w:sz w:val="24"/>
        </w:rPr>
        <w:t xml:space="preserve"> Horisontaalteljel on inimese vanus ning </w:t>
      </w:r>
      <w:r w:rsidR="00813EB2">
        <w:rPr>
          <w:sz w:val="24"/>
        </w:rPr>
        <w:t xml:space="preserve">vertikaalteljel keskmine </w:t>
      </w:r>
      <w:proofErr w:type="spellStart"/>
      <w:r w:rsidR="00813EB2">
        <w:rPr>
          <w:sz w:val="24"/>
        </w:rPr>
        <w:t>telomeeri</w:t>
      </w:r>
      <w:proofErr w:type="spellEnd"/>
      <w:r w:rsidR="00813EB2">
        <w:rPr>
          <w:sz w:val="24"/>
        </w:rPr>
        <w:t xml:space="preserve"> pikkus.</w:t>
      </w:r>
      <w:r w:rsidR="00CC0E75">
        <w:rPr>
          <w:sz w:val="24"/>
        </w:rPr>
        <w:t xml:space="preserve"> Täisarvulisele vanusele on visualiseerimise tarvis liidetud juhuslik arv vahemikus -0.5 kuni 0.5. Trendijoon on arvutatud tõeliste vanuse-väärtustega.</w:t>
      </w:r>
    </w:p>
    <w:p w:rsidR="00F854D5" w:rsidRDefault="00D863FC" w:rsidP="00D863FC">
      <w:r>
        <w:t>Hajuvusdiagrammilt on näha vanusega seotud valimi-efekti – 40-50 aastaseid on rohkem, kui 30-40 aastaseid.</w:t>
      </w:r>
    </w:p>
    <w:p w:rsidR="002F684F" w:rsidRDefault="00F854D5" w:rsidP="002F684F">
      <w:pPr>
        <w:keepNext/>
      </w:pPr>
      <w:r>
        <w:rPr>
          <w:noProof/>
          <w:lang w:eastAsia="et-EE"/>
        </w:rPr>
        <w:lastRenderedPageBreak/>
        <w:drawing>
          <wp:inline distT="0" distB="0" distL="0" distR="0">
            <wp:extent cx="5753100" cy="3733800"/>
            <wp:effectExtent l="0" t="0" r="0" b="7620"/>
            <wp:docPr id="8" name="Pilt 8" descr="F:\ktelom\thesis\Keskmised keskm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telom\thesis\Keskmised keskmised.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1484" b="1944"/>
                    <a:stretch/>
                  </pic:blipFill>
                  <pic:spPr bwMode="auto">
                    <a:xfrm>
                      <a:off x="0" y="0"/>
                      <a:ext cx="5753100" cy="3733800"/>
                    </a:xfrm>
                    <a:prstGeom prst="rect">
                      <a:avLst/>
                    </a:prstGeom>
                    <a:noFill/>
                    <a:ln>
                      <a:noFill/>
                    </a:ln>
                    <a:extLst>
                      <a:ext uri="{53640926-AAD7-44D8-BBD7-CCE9431645EC}">
                        <a14:shadowObscured xmlns:a14="http://schemas.microsoft.com/office/drawing/2010/main"/>
                      </a:ext>
                    </a:extLst>
                  </pic:spPr>
                </pic:pic>
              </a:graphicData>
            </a:graphic>
          </wp:inline>
        </w:drawing>
      </w:r>
    </w:p>
    <w:p w:rsidR="002F684F" w:rsidRPr="006E2DDF" w:rsidRDefault="002F684F" w:rsidP="002F684F">
      <w:pPr>
        <w:pStyle w:val="Pealdis"/>
        <w:rPr>
          <w:sz w:val="24"/>
        </w:rPr>
      </w:pPr>
      <w:r w:rsidRPr="006E2DDF">
        <w:rPr>
          <w:b/>
          <w:i w:val="0"/>
          <w:sz w:val="24"/>
        </w:rPr>
        <w:t xml:space="preserve">Joonis </w:t>
      </w:r>
      <w:r w:rsidRPr="006E2DDF">
        <w:rPr>
          <w:b/>
          <w:i w:val="0"/>
          <w:sz w:val="24"/>
        </w:rPr>
        <w:fldChar w:fldCharType="begin"/>
      </w:r>
      <w:r w:rsidRPr="006E2DDF">
        <w:rPr>
          <w:b/>
          <w:i w:val="0"/>
          <w:sz w:val="24"/>
        </w:rPr>
        <w:instrText xml:space="preserve"> SEQ Joonis \* ARABIC </w:instrText>
      </w:r>
      <w:r w:rsidRPr="006E2DDF">
        <w:rPr>
          <w:b/>
          <w:i w:val="0"/>
          <w:sz w:val="24"/>
        </w:rPr>
        <w:fldChar w:fldCharType="separate"/>
      </w:r>
      <w:r w:rsidRPr="006E2DDF">
        <w:rPr>
          <w:b/>
          <w:i w:val="0"/>
          <w:noProof/>
          <w:sz w:val="24"/>
        </w:rPr>
        <w:t>9</w:t>
      </w:r>
      <w:r w:rsidRPr="006E2DDF">
        <w:rPr>
          <w:b/>
          <w:i w:val="0"/>
          <w:sz w:val="24"/>
        </w:rPr>
        <w:fldChar w:fldCharType="end"/>
      </w:r>
      <w:r w:rsidRPr="006E2DDF">
        <w:rPr>
          <w:sz w:val="24"/>
        </w:rPr>
        <w:t xml:space="preserve"> Sama tabel, aga keskmiste keskmistega ja 95% usaldusvahemikega. </w:t>
      </w:r>
      <w:r w:rsidR="006E2DDF" w:rsidRPr="006E2DDF">
        <w:rPr>
          <w:sz w:val="24"/>
        </w:rPr>
        <w:t>Annab see mingit infot?</w:t>
      </w:r>
      <w:r w:rsidR="006F05A8">
        <w:rPr>
          <w:sz w:val="24"/>
        </w:rPr>
        <w:t xml:space="preserve"> R</w:t>
      </w:r>
      <w:r w:rsidR="006F05A8" w:rsidRPr="006F05A8">
        <w:rPr>
          <w:sz w:val="24"/>
          <w:vertAlign w:val="superscript"/>
        </w:rPr>
        <w:t>2</w:t>
      </w:r>
      <w:r w:rsidR="006F05A8">
        <w:rPr>
          <w:sz w:val="24"/>
        </w:rPr>
        <w:t xml:space="preserve"> juurde?</w:t>
      </w:r>
    </w:p>
    <w:p w:rsidR="00D863FC" w:rsidRPr="00D863FC" w:rsidRDefault="00F16FB1" w:rsidP="00D863FC">
      <w:r>
        <w:t xml:space="preserve"> </w:t>
      </w:r>
    </w:p>
    <w:p w:rsidR="00BE5F40" w:rsidRDefault="00BE5F40" w:rsidP="00BE5F40">
      <w:pPr>
        <w:pStyle w:val="Pealkiri2"/>
      </w:pPr>
      <w:r>
        <w:t>Arutelu</w:t>
      </w:r>
    </w:p>
    <w:p w:rsidR="00C90A18" w:rsidRDefault="00C90A18" w:rsidP="00C90A18">
      <w:pPr>
        <w:pStyle w:val="Pealkiri3"/>
      </w:pPr>
      <w:r>
        <w:t xml:space="preserve">TODO: </w:t>
      </w:r>
      <w:proofErr w:type="spellStart"/>
      <w:r>
        <w:t>Sekveneerimisandmete</w:t>
      </w:r>
      <w:proofErr w:type="spellEnd"/>
      <w:r>
        <w:t xml:space="preserve"> analüüsi meetod</w:t>
      </w:r>
    </w:p>
    <w:p w:rsidR="00766A59" w:rsidRDefault="00766A59" w:rsidP="00766A59">
      <w:pPr>
        <w:pStyle w:val="Loendilik"/>
        <w:numPr>
          <w:ilvl w:val="0"/>
          <w:numId w:val="8"/>
        </w:numPr>
      </w:pPr>
      <w:r>
        <w:t>Töötas plaanitult</w:t>
      </w:r>
    </w:p>
    <w:p w:rsidR="00232C85" w:rsidRDefault="00232C85" w:rsidP="00766A59">
      <w:pPr>
        <w:pStyle w:val="Loendilik"/>
        <w:numPr>
          <w:ilvl w:val="0"/>
          <w:numId w:val="8"/>
        </w:numPr>
      </w:pPr>
      <w:r>
        <w:t>Ressursse kasutati optimaalselt</w:t>
      </w:r>
    </w:p>
    <w:p w:rsidR="00766A59" w:rsidRDefault="00766A59" w:rsidP="00766A59">
      <w:pPr>
        <w:pStyle w:val="Loendilik"/>
        <w:numPr>
          <w:ilvl w:val="0"/>
          <w:numId w:val="8"/>
        </w:numPr>
      </w:pPr>
      <w:r>
        <w:t>Rakendatav tulevasteks analüüsideks</w:t>
      </w:r>
    </w:p>
    <w:p w:rsidR="00766A59" w:rsidRPr="00766A59" w:rsidRDefault="005D47A5" w:rsidP="00766A59">
      <w:pPr>
        <w:pStyle w:val="Loendilik"/>
        <w:numPr>
          <w:ilvl w:val="0"/>
          <w:numId w:val="8"/>
        </w:numPr>
      </w:pPr>
      <w:r>
        <w:t xml:space="preserve">Edasi </w:t>
      </w:r>
      <w:r w:rsidR="00012BA9">
        <w:t xml:space="preserve">võimalik </w:t>
      </w:r>
      <w:r>
        <w:t>arendada hajussüsteemiks</w:t>
      </w:r>
    </w:p>
    <w:p w:rsidR="00C90A18" w:rsidRDefault="00A722F0" w:rsidP="00C90A18">
      <w:pPr>
        <w:pStyle w:val="Pealkiri3"/>
      </w:pPr>
      <w:r>
        <w:t>TODO: Katvuse määramise meetod</w:t>
      </w:r>
    </w:p>
    <w:p w:rsidR="007C051E" w:rsidRDefault="007C051E" w:rsidP="007C051E">
      <w:pPr>
        <w:pStyle w:val="Loendilik"/>
        <w:numPr>
          <w:ilvl w:val="0"/>
          <w:numId w:val="7"/>
        </w:numPr>
      </w:pPr>
      <w:r>
        <w:t xml:space="preserve">Vaja </w:t>
      </w:r>
      <w:r w:rsidR="00E936E3">
        <w:t>paremat meetodit</w:t>
      </w:r>
      <w:r w:rsidR="0056451D">
        <w:t xml:space="preserve"> või kuskil on viga</w:t>
      </w:r>
    </w:p>
    <w:p w:rsidR="00E936E3" w:rsidRDefault="00E936E3" w:rsidP="007C051E">
      <w:pPr>
        <w:pStyle w:val="Loendilik"/>
        <w:numPr>
          <w:ilvl w:val="0"/>
          <w:numId w:val="7"/>
        </w:numPr>
      </w:pPr>
      <w:r>
        <w:t>0.97 ~= 1?</w:t>
      </w:r>
    </w:p>
    <w:p w:rsidR="00E936E3" w:rsidRDefault="00E936E3" w:rsidP="007C051E">
      <w:pPr>
        <w:pStyle w:val="Loendilik"/>
        <w:numPr>
          <w:ilvl w:val="0"/>
          <w:numId w:val="7"/>
        </w:numPr>
      </w:pPr>
      <w:r>
        <w:t>Erinev arusaam katvusest?</w:t>
      </w:r>
    </w:p>
    <w:p w:rsidR="00E936E3" w:rsidRDefault="00E936E3" w:rsidP="007C051E">
      <w:pPr>
        <w:pStyle w:val="Loendilik"/>
        <w:numPr>
          <w:ilvl w:val="0"/>
          <w:numId w:val="7"/>
        </w:numPr>
      </w:pPr>
      <w:proofErr w:type="spellStart"/>
      <w:r>
        <w:t>Read’ide</w:t>
      </w:r>
      <w:proofErr w:type="spellEnd"/>
      <w:r>
        <w:t xml:space="preserve"> filtreerimise tulemus?</w:t>
      </w:r>
    </w:p>
    <w:p w:rsidR="00E936E3" w:rsidRPr="007C051E" w:rsidRDefault="00E9738D" w:rsidP="007C051E">
      <w:pPr>
        <w:pStyle w:val="Loendilik"/>
        <w:numPr>
          <w:ilvl w:val="0"/>
          <w:numId w:val="7"/>
        </w:numPr>
      </w:pPr>
      <w:r>
        <w:t>Kas saadud tulemus sobib järgmise sammu jaoks?</w:t>
      </w:r>
    </w:p>
    <w:p w:rsidR="00C90A18" w:rsidRDefault="00A722F0" w:rsidP="00C90A18">
      <w:pPr>
        <w:pStyle w:val="Pealkiri3"/>
      </w:pPr>
      <w:r>
        <w:t xml:space="preserve">TODO: keskmised </w:t>
      </w:r>
      <w:proofErr w:type="spellStart"/>
      <w:r>
        <w:t>telomeeride</w:t>
      </w:r>
      <w:proofErr w:type="spellEnd"/>
      <w:r>
        <w:t xml:space="preserve"> pikkused</w:t>
      </w:r>
    </w:p>
    <w:p w:rsidR="003959C9" w:rsidRDefault="003959C9" w:rsidP="003959C9">
      <w:pPr>
        <w:pStyle w:val="Loendilik"/>
        <w:numPr>
          <w:ilvl w:val="0"/>
          <w:numId w:val="7"/>
        </w:numPr>
      </w:pPr>
      <w:r>
        <w:t>Grupeerumise põhjused</w:t>
      </w:r>
    </w:p>
    <w:p w:rsidR="007C5CBA" w:rsidRDefault="007C5CBA" w:rsidP="003959C9">
      <w:pPr>
        <w:pStyle w:val="Loendilik"/>
        <w:numPr>
          <w:ilvl w:val="0"/>
          <w:numId w:val="7"/>
        </w:numPr>
      </w:pPr>
      <w:proofErr w:type="spellStart"/>
      <w:r w:rsidRPr="00DC05F6">
        <w:t>AvgSpotLen</w:t>
      </w:r>
      <w:proofErr w:type="spellEnd"/>
    </w:p>
    <w:p w:rsidR="003959C9" w:rsidRDefault="00766A59" w:rsidP="003959C9">
      <w:pPr>
        <w:pStyle w:val="Loendilik"/>
        <w:numPr>
          <w:ilvl w:val="0"/>
          <w:numId w:val="7"/>
        </w:numPr>
      </w:pPr>
      <w:r>
        <w:lastRenderedPageBreak/>
        <w:t>Võrdlus kirjandusega</w:t>
      </w:r>
    </w:p>
    <w:p w:rsidR="00766A59" w:rsidRDefault="00766A59" w:rsidP="003959C9">
      <w:pPr>
        <w:pStyle w:val="Loendilik"/>
        <w:numPr>
          <w:ilvl w:val="0"/>
          <w:numId w:val="7"/>
        </w:numPr>
      </w:pPr>
      <w:r>
        <w:t>Miks pikemad kui kirjanduses</w:t>
      </w:r>
    </w:p>
    <w:p w:rsidR="00766A59" w:rsidRPr="003959C9" w:rsidRDefault="00766A59" w:rsidP="00766A59">
      <w:pPr>
        <w:pStyle w:val="Loendilik"/>
        <w:numPr>
          <w:ilvl w:val="0"/>
          <w:numId w:val="7"/>
        </w:numPr>
      </w:pPr>
      <w:proofErr w:type="spellStart"/>
      <w:r>
        <w:t>Sampling</w:t>
      </w:r>
      <w:proofErr w:type="spellEnd"/>
      <w:r>
        <w:t xml:space="preserve"> efektid</w:t>
      </w:r>
    </w:p>
    <w:p w:rsidR="007C21D1" w:rsidRDefault="007C21D1" w:rsidP="007C21D1">
      <w:pPr>
        <w:pStyle w:val="Pealkiri1"/>
        <w:numPr>
          <w:ilvl w:val="0"/>
          <w:numId w:val="0"/>
        </w:numPr>
        <w:ind w:left="432" w:hanging="432"/>
      </w:pPr>
      <w:r>
        <w:t>Kokkuvõte</w:t>
      </w:r>
    </w:p>
    <w:p w:rsidR="007C21D1" w:rsidRDefault="007C21D1" w:rsidP="007C21D1">
      <w:pPr>
        <w:pStyle w:val="Pealkiri1"/>
        <w:numPr>
          <w:ilvl w:val="0"/>
          <w:numId w:val="0"/>
        </w:numPr>
        <w:ind w:left="432" w:hanging="432"/>
      </w:pPr>
      <w:r>
        <w:t>Resümee</w:t>
      </w:r>
    </w:p>
    <w:p w:rsidR="007C21D1" w:rsidRDefault="007C21D1" w:rsidP="007C21D1">
      <w:pPr>
        <w:pStyle w:val="Pealkiri1"/>
        <w:numPr>
          <w:ilvl w:val="0"/>
          <w:numId w:val="0"/>
        </w:numPr>
        <w:ind w:left="432" w:hanging="432"/>
      </w:pPr>
      <w:r>
        <w:t>Kasutatud kirjanduse loetelu</w:t>
      </w:r>
    </w:p>
    <w:p w:rsidR="00A13127" w:rsidRPr="00A13127" w:rsidRDefault="00A13127" w:rsidP="00A13127"/>
    <w:p w:rsidR="007C21D1" w:rsidRPr="00422CE6" w:rsidRDefault="007C21D1" w:rsidP="007C21D1">
      <w:pPr>
        <w:pStyle w:val="Pealkiri1"/>
        <w:numPr>
          <w:ilvl w:val="0"/>
          <w:numId w:val="0"/>
        </w:numPr>
        <w:ind w:left="432" w:hanging="432"/>
      </w:pPr>
      <w:r>
        <w:t>Kasutatud veebiaadressid</w:t>
      </w:r>
    </w:p>
    <w:sectPr w:rsidR="007C21D1" w:rsidRPr="00422CE6"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09F11451"/>
    <w:multiLevelType w:val="hybridMultilevel"/>
    <w:tmpl w:val="C33A1794"/>
    <w:lvl w:ilvl="0" w:tplc="1AC43626">
      <w:numFmt w:val="bullet"/>
      <w:lvlText w:val="-"/>
      <w:lvlJc w:val="left"/>
      <w:pPr>
        <w:ind w:left="720" w:hanging="360"/>
      </w:pPr>
      <w:rPr>
        <w:rFonts w:ascii="Calibri" w:eastAsiaTheme="minorHAnsi" w:hAnsi="Calibri" w:cs="Calibr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4CA3096"/>
    <w:multiLevelType w:val="hybridMultilevel"/>
    <w:tmpl w:val="5F7EF2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7DBF650A"/>
    <w:multiLevelType w:val="hybridMultilevel"/>
    <w:tmpl w:val="A296C004"/>
    <w:lvl w:ilvl="0" w:tplc="7BD03892">
      <w:start w:val="11"/>
      <w:numFmt w:val="bullet"/>
      <w:lvlText w:val="-"/>
      <w:lvlJc w:val="left"/>
      <w:pPr>
        <w:ind w:left="720" w:hanging="360"/>
      </w:pPr>
      <w:rPr>
        <w:rFonts w:ascii="Calibri" w:eastAsiaTheme="minorHAnsi" w:hAnsi="Calibri"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017D4"/>
    <w:rsid w:val="00012BA9"/>
    <w:rsid w:val="00026D46"/>
    <w:rsid w:val="00027AAF"/>
    <w:rsid w:val="00046BE9"/>
    <w:rsid w:val="0005174F"/>
    <w:rsid w:val="000675E5"/>
    <w:rsid w:val="00071DD1"/>
    <w:rsid w:val="00092CCD"/>
    <w:rsid w:val="00092E9F"/>
    <w:rsid w:val="000977E6"/>
    <w:rsid w:val="00097C9A"/>
    <w:rsid w:val="000B1AB1"/>
    <w:rsid w:val="000C5483"/>
    <w:rsid w:val="000C5EB0"/>
    <w:rsid w:val="000C69F2"/>
    <w:rsid w:val="000C7B14"/>
    <w:rsid w:val="000E17FE"/>
    <w:rsid w:val="000E1AE7"/>
    <w:rsid w:val="000F2C70"/>
    <w:rsid w:val="0011516E"/>
    <w:rsid w:val="00122A66"/>
    <w:rsid w:val="00123084"/>
    <w:rsid w:val="0012531C"/>
    <w:rsid w:val="001305CC"/>
    <w:rsid w:val="0014520D"/>
    <w:rsid w:val="00145CA5"/>
    <w:rsid w:val="00147E99"/>
    <w:rsid w:val="00151A31"/>
    <w:rsid w:val="001649F8"/>
    <w:rsid w:val="00167B3E"/>
    <w:rsid w:val="001724CA"/>
    <w:rsid w:val="0017488E"/>
    <w:rsid w:val="001749F5"/>
    <w:rsid w:val="00194573"/>
    <w:rsid w:val="001A1A5D"/>
    <w:rsid w:val="001A34F5"/>
    <w:rsid w:val="001A47D0"/>
    <w:rsid w:val="001A4E9B"/>
    <w:rsid w:val="001B0926"/>
    <w:rsid w:val="001C2241"/>
    <w:rsid w:val="001D7CC1"/>
    <w:rsid w:val="001E4ED7"/>
    <w:rsid w:val="001F244F"/>
    <w:rsid w:val="001F520C"/>
    <w:rsid w:val="001F7B97"/>
    <w:rsid w:val="00201739"/>
    <w:rsid w:val="002053A0"/>
    <w:rsid w:val="00216754"/>
    <w:rsid w:val="0021784E"/>
    <w:rsid w:val="002272DE"/>
    <w:rsid w:val="00227373"/>
    <w:rsid w:val="00232C85"/>
    <w:rsid w:val="002447F8"/>
    <w:rsid w:val="00262378"/>
    <w:rsid w:val="00265330"/>
    <w:rsid w:val="00272B5E"/>
    <w:rsid w:val="0027764D"/>
    <w:rsid w:val="0029233F"/>
    <w:rsid w:val="002A053A"/>
    <w:rsid w:val="002B11DC"/>
    <w:rsid w:val="002B127D"/>
    <w:rsid w:val="002B62C4"/>
    <w:rsid w:val="002B66C2"/>
    <w:rsid w:val="002C00AE"/>
    <w:rsid w:val="002C32B0"/>
    <w:rsid w:val="002D7125"/>
    <w:rsid w:val="002E4FB7"/>
    <w:rsid w:val="002E54A0"/>
    <w:rsid w:val="002F684F"/>
    <w:rsid w:val="002F6DCD"/>
    <w:rsid w:val="00300A9E"/>
    <w:rsid w:val="003278E4"/>
    <w:rsid w:val="00336C5E"/>
    <w:rsid w:val="00345B06"/>
    <w:rsid w:val="00352FCF"/>
    <w:rsid w:val="003639E3"/>
    <w:rsid w:val="00363D90"/>
    <w:rsid w:val="003959C9"/>
    <w:rsid w:val="003B0686"/>
    <w:rsid w:val="003B0CDB"/>
    <w:rsid w:val="003B7A33"/>
    <w:rsid w:val="003C0D35"/>
    <w:rsid w:val="003D370E"/>
    <w:rsid w:val="003D4375"/>
    <w:rsid w:val="003E4DB1"/>
    <w:rsid w:val="003F0FE6"/>
    <w:rsid w:val="003F7DB0"/>
    <w:rsid w:val="00411811"/>
    <w:rsid w:val="00411F8D"/>
    <w:rsid w:val="00422CE6"/>
    <w:rsid w:val="004302F8"/>
    <w:rsid w:val="00431C81"/>
    <w:rsid w:val="00437304"/>
    <w:rsid w:val="004403EA"/>
    <w:rsid w:val="00441335"/>
    <w:rsid w:val="00447B56"/>
    <w:rsid w:val="00452DE0"/>
    <w:rsid w:val="0045301B"/>
    <w:rsid w:val="0045660C"/>
    <w:rsid w:val="00466AB3"/>
    <w:rsid w:val="0049544D"/>
    <w:rsid w:val="004954C1"/>
    <w:rsid w:val="004A2BD4"/>
    <w:rsid w:val="004A2DE5"/>
    <w:rsid w:val="004B358C"/>
    <w:rsid w:val="004B4182"/>
    <w:rsid w:val="004B6E4D"/>
    <w:rsid w:val="004C0BC0"/>
    <w:rsid w:val="004D1DC8"/>
    <w:rsid w:val="004E0618"/>
    <w:rsid w:val="005015BC"/>
    <w:rsid w:val="00501953"/>
    <w:rsid w:val="00503BC9"/>
    <w:rsid w:val="00504D69"/>
    <w:rsid w:val="005110F6"/>
    <w:rsid w:val="005179EB"/>
    <w:rsid w:val="00525CA6"/>
    <w:rsid w:val="00527858"/>
    <w:rsid w:val="00532B7C"/>
    <w:rsid w:val="00541144"/>
    <w:rsid w:val="00542E73"/>
    <w:rsid w:val="00546EDE"/>
    <w:rsid w:val="00550595"/>
    <w:rsid w:val="00562E5D"/>
    <w:rsid w:val="0056451D"/>
    <w:rsid w:val="00571A51"/>
    <w:rsid w:val="0058252B"/>
    <w:rsid w:val="00594396"/>
    <w:rsid w:val="005A6DDA"/>
    <w:rsid w:val="005B1791"/>
    <w:rsid w:val="005C79D1"/>
    <w:rsid w:val="005D413A"/>
    <w:rsid w:val="005D454F"/>
    <w:rsid w:val="005D47A5"/>
    <w:rsid w:val="005D5163"/>
    <w:rsid w:val="005D60FF"/>
    <w:rsid w:val="005D7B84"/>
    <w:rsid w:val="005E57EC"/>
    <w:rsid w:val="005F1E5D"/>
    <w:rsid w:val="005F5750"/>
    <w:rsid w:val="005F6787"/>
    <w:rsid w:val="005F6EDB"/>
    <w:rsid w:val="005F7012"/>
    <w:rsid w:val="005F7E9C"/>
    <w:rsid w:val="00673658"/>
    <w:rsid w:val="0067606C"/>
    <w:rsid w:val="00697ECE"/>
    <w:rsid w:val="006B5E24"/>
    <w:rsid w:val="006D01CB"/>
    <w:rsid w:val="006E0EAA"/>
    <w:rsid w:val="006E2CA2"/>
    <w:rsid w:val="006E2DDF"/>
    <w:rsid w:val="006E386E"/>
    <w:rsid w:val="006E3DFE"/>
    <w:rsid w:val="006F00C7"/>
    <w:rsid w:val="006F05A8"/>
    <w:rsid w:val="006F5727"/>
    <w:rsid w:val="007024A3"/>
    <w:rsid w:val="00712C48"/>
    <w:rsid w:val="00716D19"/>
    <w:rsid w:val="007237C1"/>
    <w:rsid w:val="00724A4A"/>
    <w:rsid w:val="00727D5C"/>
    <w:rsid w:val="00731653"/>
    <w:rsid w:val="00732C04"/>
    <w:rsid w:val="0073612E"/>
    <w:rsid w:val="007521AC"/>
    <w:rsid w:val="007523DF"/>
    <w:rsid w:val="007565A6"/>
    <w:rsid w:val="00761321"/>
    <w:rsid w:val="007623A4"/>
    <w:rsid w:val="007641AD"/>
    <w:rsid w:val="00766A59"/>
    <w:rsid w:val="007724E1"/>
    <w:rsid w:val="007742EA"/>
    <w:rsid w:val="007764F9"/>
    <w:rsid w:val="00780049"/>
    <w:rsid w:val="00784211"/>
    <w:rsid w:val="007909AD"/>
    <w:rsid w:val="00790E23"/>
    <w:rsid w:val="00790FA3"/>
    <w:rsid w:val="007B0361"/>
    <w:rsid w:val="007B43C2"/>
    <w:rsid w:val="007B7799"/>
    <w:rsid w:val="007C051E"/>
    <w:rsid w:val="007C21D1"/>
    <w:rsid w:val="007C531B"/>
    <w:rsid w:val="007C5CBA"/>
    <w:rsid w:val="007D65ED"/>
    <w:rsid w:val="007E2A91"/>
    <w:rsid w:val="007E39EA"/>
    <w:rsid w:val="007F2591"/>
    <w:rsid w:val="007F3B73"/>
    <w:rsid w:val="00800FC8"/>
    <w:rsid w:val="00813EB2"/>
    <w:rsid w:val="00821785"/>
    <w:rsid w:val="00821977"/>
    <w:rsid w:val="00822B0D"/>
    <w:rsid w:val="00823A9C"/>
    <w:rsid w:val="008264CF"/>
    <w:rsid w:val="00832352"/>
    <w:rsid w:val="00834D7A"/>
    <w:rsid w:val="008419ED"/>
    <w:rsid w:val="008454AF"/>
    <w:rsid w:val="0085333D"/>
    <w:rsid w:val="008556C6"/>
    <w:rsid w:val="008621CB"/>
    <w:rsid w:val="00862BA6"/>
    <w:rsid w:val="008814DD"/>
    <w:rsid w:val="00885A35"/>
    <w:rsid w:val="00886092"/>
    <w:rsid w:val="00887FA1"/>
    <w:rsid w:val="00893169"/>
    <w:rsid w:val="00897A70"/>
    <w:rsid w:val="008A12F5"/>
    <w:rsid w:val="008B0834"/>
    <w:rsid w:val="008C18AA"/>
    <w:rsid w:val="008C26FA"/>
    <w:rsid w:val="008C4609"/>
    <w:rsid w:val="008F56E8"/>
    <w:rsid w:val="00901B60"/>
    <w:rsid w:val="00902093"/>
    <w:rsid w:val="00910703"/>
    <w:rsid w:val="00912928"/>
    <w:rsid w:val="00914DA6"/>
    <w:rsid w:val="00916F3E"/>
    <w:rsid w:val="00920500"/>
    <w:rsid w:val="009260E8"/>
    <w:rsid w:val="00927DAB"/>
    <w:rsid w:val="0093004F"/>
    <w:rsid w:val="00930A8C"/>
    <w:rsid w:val="00932E75"/>
    <w:rsid w:val="00933707"/>
    <w:rsid w:val="00934AD9"/>
    <w:rsid w:val="0093541D"/>
    <w:rsid w:val="00936C66"/>
    <w:rsid w:val="00941E16"/>
    <w:rsid w:val="0096314D"/>
    <w:rsid w:val="00975122"/>
    <w:rsid w:val="0097521B"/>
    <w:rsid w:val="0098528A"/>
    <w:rsid w:val="00986BAA"/>
    <w:rsid w:val="009945F4"/>
    <w:rsid w:val="00995598"/>
    <w:rsid w:val="0099572C"/>
    <w:rsid w:val="009B6A48"/>
    <w:rsid w:val="009C15CF"/>
    <w:rsid w:val="009C188E"/>
    <w:rsid w:val="009E11BF"/>
    <w:rsid w:val="009E1B53"/>
    <w:rsid w:val="009E60BA"/>
    <w:rsid w:val="009E67FE"/>
    <w:rsid w:val="009E737A"/>
    <w:rsid w:val="009F0DBC"/>
    <w:rsid w:val="00A0004B"/>
    <w:rsid w:val="00A00DB1"/>
    <w:rsid w:val="00A03D80"/>
    <w:rsid w:val="00A05371"/>
    <w:rsid w:val="00A100AC"/>
    <w:rsid w:val="00A10515"/>
    <w:rsid w:val="00A13127"/>
    <w:rsid w:val="00A228D1"/>
    <w:rsid w:val="00A2607D"/>
    <w:rsid w:val="00A2644D"/>
    <w:rsid w:val="00A437BF"/>
    <w:rsid w:val="00A4548E"/>
    <w:rsid w:val="00A45ECD"/>
    <w:rsid w:val="00A61B94"/>
    <w:rsid w:val="00A673DE"/>
    <w:rsid w:val="00A70299"/>
    <w:rsid w:val="00A722F0"/>
    <w:rsid w:val="00A73C76"/>
    <w:rsid w:val="00A77412"/>
    <w:rsid w:val="00A81402"/>
    <w:rsid w:val="00A83019"/>
    <w:rsid w:val="00A9074F"/>
    <w:rsid w:val="00AB55B4"/>
    <w:rsid w:val="00AB7906"/>
    <w:rsid w:val="00AC0550"/>
    <w:rsid w:val="00AC63F8"/>
    <w:rsid w:val="00AC74A4"/>
    <w:rsid w:val="00AD2450"/>
    <w:rsid w:val="00AD3D94"/>
    <w:rsid w:val="00AE33B7"/>
    <w:rsid w:val="00AF5497"/>
    <w:rsid w:val="00B04916"/>
    <w:rsid w:val="00B1590E"/>
    <w:rsid w:val="00B16964"/>
    <w:rsid w:val="00B20FFB"/>
    <w:rsid w:val="00B2174C"/>
    <w:rsid w:val="00B22F74"/>
    <w:rsid w:val="00B23B76"/>
    <w:rsid w:val="00B24042"/>
    <w:rsid w:val="00B42C41"/>
    <w:rsid w:val="00B5153E"/>
    <w:rsid w:val="00B57F73"/>
    <w:rsid w:val="00B67D89"/>
    <w:rsid w:val="00B708C4"/>
    <w:rsid w:val="00B70B28"/>
    <w:rsid w:val="00B71E86"/>
    <w:rsid w:val="00B807EB"/>
    <w:rsid w:val="00B8166E"/>
    <w:rsid w:val="00B84DC4"/>
    <w:rsid w:val="00B902FD"/>
    <w:rsid w:val="00B910A1"/>
    <w:rsid w:val="00BA24FD"/>
    <w:rsid w:val="00BA41AB"/>
    <w:rsid w:val="00BA6240"/>
    <w:rsid w:val="00BB3DD9"/>
    <w:rsid w:val="00BD57FD"/>
    <w:rsid w:val="00BE501E"/>
    <w:rsid w:val="00BE5F40"/>
    <w:rsid w:val="00BF2A17"/>
    <w:rsid w:val="00BF3C99"/>
    <w:rsid w:val="00C00251"/>
    <w:rsid w:val="00C005C0"/>
    <w:rsid w:val="00C0519E"/>
    <w:rsid w:val="00C11606"/>
    <w:rsid w:val="00C23CF0"/>
    <w:rsid w:val="00C2631E"/>
    <w:rsid w:val="00C27AAF"/>
    <w:rsid w:val="00C31495"/>
    <w:rsid w:val="00C3222D"/>
    <w:rsid w:val="00C33902"/>
    <w:rsid w:val="00C33E35"/>
    <w:rsid w:val="00C46C54"/>
    <w:rsid w:val="00C6044D"/>
    <w:rsid w:val="00C62B9A"/>
    <w:rsid w:val="00C635F0"/>
    <w:rsid w:val="00C80376"/>
    <w:rsid w:val="00C90A18"/>
    <w:rsid w:val="00C90D91"/>
    <w:rsid w:val="00C91DE9"/>
    <w:rsid w:val="00C94B0C"/>
    <w:rsid w:val="00C97312"/>
    <w:rsid w:val="00CB3FE8"/>
    <w:rsid w:val="00CB5D31"/>
    <w:rsid w:val="00CB7D5B"/>
    <w:rsid w:val="00CC0E75"/>
    <w:rsid w:val="00CC59C6"/>
    <w:rsid w:val="00CD6317"/>
    <w:rsid w:val="00CD666D"/>
    <w:rsid w:val="00CE50A0"/>
    <w:rsid w:val="00CF3E30"/>
    <w:rsid w:val="00D1707E"/>
    <w:rsid w:val="00D17134"/>
    <w:rsid w:val="00D1716E"/>
    <w:rsid w:val="00D35ED8"/>
    <w:rsid w:val="00D456EA"/>
    <w:rsid w:val="00D501E7"/>
    <w:rsid w:val="00D67E00"/>
    <w:rsid w:val="00D76099"/>
    <w:rsid w:val="00D85950"/>
    <w:rsid w:val="00D863FC"/>
    <w:rsid w:val="00D86ED0"/>
    <w:rsid w:val="00D955E3"/>
    <w:rsid w:val="00DB4777"/>
    <w:rsid w:val="00DC05F6"/>
    <w:rsid w:val="00DC25B7"/>
    <w:rsid w:val="00DE5585"/>
    <w:rsid w:val="00DF7B4D"/>
    <w:rsid w:val="00E0355E"/>
    <w:rsid w:val="00E06FDD"/>
    <w:rsid w:val="00E23671"/>
    <w:rsid w:val="00E26370"/>
    <w:rsid w:val="00E268E8"/>
    <w:rsid w:val="00E33986"/>
    <w:rsid w:val="00E550B6"/>
    <w:rsid w:val="00E602B7"/>
    <w:rsid w:val="00E70DCA"/>
    <w:rsid w:val="00E72E86"/>
    <w:rsid w:val="00E763F8"/>
    <w:rsid w:val="00E77946"/>
    <w:rsid w:val="00E835FA"/>
    <w:rsid w:val="00E84F2D"/>
    <w:rsid w:val="00E936E3"/>
    <w:rsid w:val="00E9738D"/>
    <w:rsid w:val="00EA0223"/>
    <w:rsid w:val="00ED498D"/>
    <w:rsid w:val="00ED5BD4"/>
    <w:rsid w:val="00EE200A"/>
    <w:rsid w:val="00EF12F7"/>
    <w:rsid w:val="00EF2784"/>
    <w:rsid w:val="00F04516"/>
    <w:rsid w:val="00F16FB1"/>
    <w:rsid w:val="00F17780"/>
    <w:rsid w:val="00F20B23"/>
    <w:rsid w:val="00F26977"/>
    <w:rsid w:val="00F30BC3"/>
    <w:rsid w:val="00F3715D"/>
    <w:rsid w:val="00F4783B"/>
    <w:rsid w:val="00F569B1"/>
    <w:rsid w:val="00F658BD"/>
    <w:rsid w:val="00F71F4C"/>
    <w:rsid w:val="00F81BEA"/>
    <w:rsid w:val="00F8397D"/>
    <w:rsid w:val="00F84071"/>
    <w:rsid w:val="00F854D5"/>
    <w:rsid w:val="00FA224C"/>
    <w:rsid w:val="00FB52A8"/>
    <w:rsid w:val="00FB6F92"/>
    <w:rsid w:val="00FC121E"/>
    <w:rsid w:val="00FC6979"/>
    <w:rsid w:val="00FC7F42"/>
    <w:rsid w:val="00FE2F58"/>
    <w:rsid w:val="00FF45D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7760"/>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 w:type="table" w:styleId="Kontuurtabel">
    <w:name w:val="Table Grid"/>
    <w:basedOn w:val="Normaaltabel"/>
    <w:uiPriority w:val="39"/>
    <w:rsid w:val="00244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0192">
      <w:bodyDiv w:val="1"/>
      <w:marLeft w:val="0"/>
      <w:marRight w:val="0"/>
      <w:marTop w:val="0"/>
      <w:marBottom w:val="0"/>
      <w:divBdr>
        <w:top w:val="none" w:sz="0" w:space="0" w:color="auto"/>
        <w:left w:val="none" w:sz="0" w:space="0" w:color="auto"/>
        <w:bottom w:val="none" w:sz="0" w:space="0" w:color="auto"/>
        <w:right w:val="none" w:sz="0" w:space="0" w:color="auto"/>
      </w:divBdr>
    </w:div>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658002244">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sra/" TargetMode="External"/><Relationship Id="rId13" Type="http://schemas.openxmlformats.org/officeDocument/2006/relationships/hyperlink" Target="https://github.com/karlerss/telomere-length/blob/master/Dockerfile" TargetMode="External"/><Relationship Id="rId18" Type="http://schemas.openxmlformats.org/officeDocument/2006/relationships/hyperlink" Target="https://github.com/karlerss/telomere-length/blob/master/tlenpy/kmer_sample_min.tx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illumina.com/technology/next-generation-sequencing/paired-end-sequencing_assay.html" TargetMode="External"/><Relationship Id="rId12" Type="http://schemas.openxmlformats.org/officeDocument/2006/relationships/hyperlink" Target="https://github.com/karlerss/telomere-length" TargetMode="External"/><Relationship Id="rId17" Type="http://schemas.openxmlformats.org/officeDocument/2006/relationships/hyperlink" Target="https://github.com/karlerss/telomere-length/blob/master/tlenpy/kmer_sample.tx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jupyter.org/" TargetMode="Externa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ithub.com/ncbi/sra-tools/wiki/HowTo:-Access-SRA-Data" TargetMode="External"/><Relationship Id="rId14" Type="http://schemas.openxmlformats.org/officeDocument/2006/relationships/hyperlink" Target="http://click.pocoo.org/5/" TargetMode="External"/><Relationship Id="rId22" Type="http://schemas.openxmlformats.org/officeDocument/2006/relationships/image" Target="media/image7.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1C5EA-F0D5-42D6-A9F1-413BE658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7155</TotalTime>
  <Pages>21</Pages>
  <Words>18717</Words>
  <Characters>108561</Characters>
  <Application>Microsoft Office Word</Application>
  <DocSecurity>0</DocSecurity>
  <Lines>904</Lines>
  <Paragraphs>254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298</cp:revision>
  <dcterms:created xsi:type="dcterms:W3CDTF">2017-05-03T06:59:00Z</dcterms:created>
  <dcterms:modified xsi:type="dcterms:W3CDTF">2017-05-25T00:34:00Z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http://www.zotero.org/styles/apa</vt:lpwstr>
  </property>
</Properties>
</file>