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spacing w:lineRule="exact" w:line="240" w:before="0" w:after="0"/>
        <w:ind w:left="425" w:hanging="0"/>
        <w:jc w:val="right"/>
        <w:rPr>
          <w:b/>
          <w:b/>
        </w:rPr>
      </w:pPr>
      <w:r>
        <w:rPr>
          <w:b/>
        </w:rPr>
      </w:r>
    </w:p>
    <w:p>
      <w:pPr>
        <w:pStyle w:val="Title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b/>
          <w:b/>
        </w:rPr>
      </w:pPr>
      <w:r>
        <w:rPr>
          <w:b/>
          <w:spacing w:val="40"/>
          <w:sz w:val="32"/>
        </w:rPr>
        <w:t>ОТЗЫВ РЕЦЕНЗЕНТА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  ВЫПУСКНОЙ  КВАЛИФИКАЦИОННОЙ  РАБОТЕ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Студент </w:t>
      </w:r>
      <w:r>
        <w:rPr>
          <w:b w:val="false"/>
          <w:bCs w:val="false"/>
        </w:rPr>
        <w:t>Герасимов Дмитрий Александрович</w:t>
      </w:r>
    </w:p>
    <w:p>
      <w:pPr>
        <w:pStyle w:val="Normal"/>
        <w:jc w:val="both"/>
        <w:rPr/>
      </w:pPr>
      <w:r>
        <w:rPr>
          <w:b/>
        </w:rPr>
        <w:t xml:space="preserve">Группа </w:t>
      </w:r>
      <w:r>
        <w:rPr>
          <w:b w:val="false"/>
          <w:bCs w:val="false"/>
        </w:rPr>
        <w:t>A4200</w:t>
      </w:r>
      <w:r>
        <w:rPr>
          <w:b/>
          <w:bCs w:val="false"/>
        </w:rPr>
        <w:t xml:space="preserve"> </w:t>
      </w:r>
      <w:r>
        <w:rPr>
          <w:b/>
        </w:rPr>
        <w:t xml:space="preserve">Кафедра </w:t>
      </w:r>
      <w:r>
        <w:rPr>
          <w:b w:val="false"/>
          <w:bCs w:val="false"/>
        </w:rPr>
        <w:t xml:space="preserve">высшей математики </w:t>
      </w:r>
      <w:r>
        <w:rPr>
          <w:b/>
        </w:rPr>
        <w:t xml:space="preserve"> </w:t>
      </w:r>
      <w:r>
        <w:rPr>
          <w:b/>
        </w:rPr>
        <w:t xml:space="preserve">Факультет </w:t>
      </w:r>
      <w:r>
        <w:rPr>
          <w:b w:val="false"/>
          <w:bCs w:val="false"/>
        </w:rPr>
        <w:t xml:space="preserve">естественно-научный </w:t>
      </w:r>
    </w:p>
    <w:p>
      <w:pPr>
        <w:pStyle w:val="Normal"/>
        <w:rPr/>
      </w:pPr>
      <w:r>
        <w:rPr>
          <w:b/>
        </w:rPr>
        <w:t>Квалификация</w:t>
      </w:r>
      <w:r>
        <w:rPr/>
        <w:t xml:space="preserve"> </w:t>
      </w:r>
      <w:r>
        <w:rPr/>
        <w:t>магистр</w:t>
      </w:r>
    </w:p>
    <w:p>
      <w:pPr>
        <w:pStyle w:val="Cf0"/>
        <w:tabs>
          <w:tab w:val="left" w:pos="3969" w:leader="none"/>
        </w:tabs>
        <w:rPr>
          <w:b/>
          <w:b/>
          <w:lang w:val="ru-RU"/>
        </w:rPr>
      </w:pPr>
      <w:r>
        <w:rPr>
          <w:b/>
          <w:sz w:val="24"/>
          <w:szCs w:val="24"/>
          <w:lang w:val="ru-RU"/>
        </w:rPr>
        <w:t>Направление подготовки (специальность)</w:t>
      </w:r>
      <w:r>
        <w:rPr>
          <w:sz w:val="24"/>
          <w:szCs w:val="24"/>
          <w:lang w:val="ru-RU"/>
        </w:rPr>
        <w:t xml:space="preserve"> 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  <w:t>Направленность (профиль) _________________________________________________________</w:t>
      </w:r>
    </w:p>
    <w:p>
      <w:pPr>
        <w:pStyle w:val="Normal"/>
        <w:rPr/>
      </w:pPr>
      <w:r>
        <w:rPr>
          <w:b/>
        </w:rPr>
        <w:t xml:space="preserve">Наименование темы: </w:t>
      </w:r>
      <w:r>
        <w:rPr>
          <w:b w:val="false"/>
          <w:bCs w:val="false"/>
        </w:rPr>
        <w:t>Исследование полноты резонансных состояний оператора Шредингера для модели квантовых графов</w:t>
      </w:r>
    </w:p>
    <w:p>
      <w:pPr>
        <w:pStyle w:val="Normal"/>
        <w:rPr/>
      </w:pPr>
      <w:r>
        <w:rPr>
          <w:b/>
        </w:rPr>
        <w:t xml:space="preserve">Рецензент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Курасов Александр Евгеньевич,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к.т.н., ????</w:t>
      </w:r>
    </w:p>
    <w:p>
      <w:pPr>
        <w:pStyle w:val="Normal"/>
        <w:tabs>
          <w:tab w:val="left" w:pos="3402" w:leader="none"/>
        </w:tabs>
        <w:rPr>
          <w:sz w:val="16"/>
          <w:szCs w:val="16"/>
        </w:rPr>
      </w:pPr>
      <w:r>
        <w:rPr>
          <w:sz w:val="16"/>
        </w:rPr>
        <w:tab/>
        <w:t>(Фамилия, И., О., место  работы, должность, ученое звание, степень)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/>
      </w:pPr>
      <w:r>
        <w:rPr>
          <w:b/>
        </w:rPr>
        <w:t>О</w:t>
      </w:r>
      <w:r>
        <w:rPr>
          <w:b/>
        </w:rPr>
        <w:t>ЦЕНКА ВЫПУСКНОЙ КВАЛИФИКАЦИОННОЙ РАБОТЫ</w:t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posOffset>-53975</wp:posOffset>
                </wp:positionH>
                <wp:positionV relativeFrom="paragraph">
                  <wp:posOffset>233045</wp:posOffset>
                </wp:positionV>
                <wp:extent cx="6235065" cy="47485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065" cy="47485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19" w:type="dxa"/>
                              <w:jc w:val="left"/>
                              <w:tblInd w:w="70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</w:tblBorders>
                              <w:tblCellMar>
                                <w:top w:w="0" w:type="dxa"/>
                                <w:left w:w="60" w:type="dxa"/>
                                <w:bottom w:w="0" w:type="dxa"/>
                                <w:right w:w="70" w:type="dxa"/>
                              </w:tblCellMar>
                              <w:tblLook w:val="0000"/>
                            </w:tblPr>
                            <w:tblGrid>
                              <w:gridCol w:w="459"/>
                              <w:gridCol w:w="436"/>
                              <w:gridCol w:w="6915"/>
                              <w:gridCol w:w="392"/>
                              <w:gridCol w:w="350"/>
                              <w:gridCol w:w="349"/>
                              <w:gridCol w:w="347"/>
                              <w:gridCol w:w="569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vMerge w:val="restart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before="12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vMerge w:val="restart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Heading7"/>
                                    <w:keepNext/>
                                    <w:tabs>
                                      <w:tab w:val="left" w:pos="1296" w:leader="none"/>
                                    </w:tabs>
                                    <w:spacing w:before="120" w:after="0"/>
                                    <w:ind w:left="1296" w:hanging="1296"/>
                                    <w:jc w:val="center"/>
                                    <w:outlineLvl w:val="6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Показатели оценки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gridSpan w:val="5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Оценка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vMerge w:val="continue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vMerge w:val="continue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left w:val="single" w:sz="4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restart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Справочно-информационная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Соответствие представленного материала техническому заданию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Раскрытие актуальности тематики работы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Степень полноты обзора состояния вопроса 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Корректность постановки задачи исследования и разработки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Уровень и корректность использования в работе методов исследований, математического моделирования, инженерных расчетов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Использование информационных ресурсов Internet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Использование современных пакетов компьютерных программ и технологий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Наличие публикаций, участие в н.-т. конференциях, награды за участие в конкурсах, подтвержденных копиями 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9" w:hRule="atLeast"/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restart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before="60" w:after="0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Творческая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Оригинальность и новизна полученных результатов, научных, конструкторских и технологических решений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9" w:hRule="atLeast"/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Ясность, четкость, последовательность и обоснованность изложения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restart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ind w:left="113" w:right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Оформительская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vMerge w:val="restart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Уровень оформления пояснительной записки: 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8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общий уровень грамотности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стиль изложения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vMerge w:val="continue"/>
                                  <w:tcBorders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качество иллюстраций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Объем и качество выполнения графического материала, его соответствие тексту записки 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  <w:insideH w:val="single" w:sz="4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59" w:type="dxa"/>
                                  <w:vMerge w:val="continue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91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Соответствие требованиям стандарта оформления пояснительной записки и графического материала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  <w:cantSplit w:val="true"/>
                              </w:trPr>
                              <w:tc>
                                <w:tcPr>
                                  <w:tcW w:w="7810" w:type="dxa"/>
                                  <w:gridSpan w:val="3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ИТОГОВАЯ ОЦЕНКА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gridSpan w:val="5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color="auto" w:fill="auto" w:val="clear"/>
                                  <w:tcMar>
                                    <w:left w:w="6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90.95pt;height:373.9pt;mso-wrap-distance-left:0pt;mso-wrap-distance-right:9pt;mso-wrap-distance-top:0pt;mso-wrap-distance-bottom:0pt;margin-top:18.35pt;mso-position-vertical-relative:text;margin-left:-4.25pt;mso-position-horizontal-relative:text">
                <v:fill opacity="0f"/>
                <v:textbox inset="0in,0in,0in,0in">
                  <w:txbxContent>
                    <w:tbl>
                      <w:tblPr>
                        <w:tblW w:w="9819" w:type="dxa"/>
                        <w:jc w:val="left"/>
                        <w:tblInd w:w="70" w:type="dxa"/>
                        <w:tblBorders>
                          <w:top w:val="single" w:sz="8" w:space="0" w:color="000001"/>
                          <w:left w:val="single" w:sz="8" w:space="0" w:color="000001"/>
                        </w:tblBorders>
                        <w:tblCellMar>
                          <w:top w:w="0" w:type="dxa"/>
                          <w:left w:w="60" w:type="dxa"/>
                          <w:bottom w:w="0" w:type="dxa"/>
                          <w:right w:w="70" w:type="dxa"/>
                        </w:tblCellMar>
                        <w:tblLook w:val="0000"/>
                      </w:tblPr>
                      <w:tblGrid>
                        <w:gridCol w:w="459"/>
                        <w:gridCol w:w="436"/>
                        <w:gridCol w:w="6915"/>
                        <w:gridCol w:w="392"/>
                        <w:gridCol w:w="350"/>
                        <w:gridCol w:w="349"/>
                        <w:gridCol w:w="347"/>
                        <w:gridCol w:w="569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tcBorders>
                              <w:top w:val="single" w:sz="8" w:space="0" w:color="000001"/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vMerge w:val="restart"/>
                            <w:tcBorders>
                              <w:top w:val="single" w:sz="8" w:space="0" w:color="000001"/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pacing w:before="12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6915" w:type="dxa"/>
                            <w:vMerge w:val="restart"/>
                            <w:tcBorders>
                              <w:top w:val="single" w:sz="8" w:space="0" w:color="000001"/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Heading7"/>
                              <w:keepNext/>
                              <w:tabs>
                                <w:tab w:val="left" w:pos="1296" w:leader="none"/>
                              </w:tabs>
                              <w:spacing w:before="120" w:after="0"/>
                              <w:ind w:left="1296" w:hanging="1296"/>
                              <w:jc w:val="center"/>
                              <w:outlineLvl w:val="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Показатели оценки</w:t>
                            </w:r>
                          </w:p>
                        </w:tc>
                        <w:tc>
                          <w:tcPr>
                            <w:tcW w:w="2007" w:type="dxa"/>
                            <w:gridSpan w:val="5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Оценка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vMerge w:val="continue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915" w:type="dxa"/>
                            <w:vMerge w:val="continue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left w:val="single" w:sz="4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0*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  <w:cantSplit w:val="true"/>
                        </w:trPr>
                        <w:tc>
                          <w:tcPr>
                            <w:tcW w:w="459" w:type="dxa"/>
                            <w:vMerge w:val="restart"/>
                            <w:tcBorders>
                              <w:top w:val="single" w:sz="8" w:space="0" w:color="000001"/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Справочно-информационная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Соответствие представленного материала техническому заданию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Раскрытие актуальности тематики работы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Степень полноты обзора состояния вопроса 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Корректность постановки задачи исследования и разработки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Уровень и корректность использования в работе методов исследований, математического моделирования, инженерных расчетов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Использование информационных ресурсов Internet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Использование современных пакетов компьютерных программ и технологий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snapToGrid w:val="false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Наличие публикаций, участие в н.-т. конференциях, награды за участие в конкурсах, подтвержденных копиями 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99" w:hRule="atLeast"/>
                          <w:cantSplit w:val="true"/>
                        </w:trPr>
                        <w:tc>
                          <w:tcPr>
                            <w:tcW w:w="459" w:type="dxa"/>
                            <w:vMerge w:val="restart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spacing w:before="60" w:after="0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Творческая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Оригинальность и новизна полученных результатов, научных, конструкторских и технологических решений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29" w:hRule="atLeast"/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Ясность, четкость, последовательность и обоснованность изложения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  <w:cantSplit w:val="true"/>
                        </w:trPr>
                        <w:tc>
                          <w:tcPr>
                            <w:tcW w:w="459" w:type="dxa"/>
                            <w:vMerge w:val="restart"/>
                            <w:tcBorders>
                              <w:top w:val="single" w:sz="8" w:space="0" w:color="000001"/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  <w:textDirection w:val="btLr"/>
                            <w:vAlign w:val="center"/>
                          </w:tcPr>
                          <w:p>
                            <w:pPr>
                              <w:pStyle w:val="FrameContents"/>
                              <w:ind w:left="113" w:right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Оформительская</w:t>
                            </w:r>
                          </w:p>
                        </w:tc>
                        <w:tc>
                          <w:tcPr>
                            <w:tcW w:w="436" w:type="dxa"/>
                            <w:vMerge w:val="restart"/>
                            <w:tcBorders>
                              <w:top w:val="single" w:sz="8" w:space="0" w:color="000001"/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Уровень оформления пояснительной записки: 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8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общий уровень грамотности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стиль изложения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vMerge w:val="continue"/>
                            <w:tcBorders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качество иллюстраций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Объем и качество выполнения графического материала, его соответствие тексту записки 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  <w:insideH w:val="single" w:sz="4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59" w:type="dxa"/>
                            <w:vMerge w:val="continue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691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Соответствие требованиям стандарта оформления пояснительной записки и графического материала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  <w:cantSplit w:val="true"/>
                        </w:trPr>
                        <w:tc>
                          <w:tcPr>
                            <w:tcW w:w="7810" w:type="dxa"/>
                            <w:gridSpan w:val="3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ИТОГОВАЯ ОЦЕНКА</w:t>
                            </w:r>
                          </w:p>
                        </w:tc>
                        <w:tc>
                          <w:tcPr>
                            <w:tcW w:w="2007" w:type="dxa"/>
                            <w:gridSpan w:val="5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color="auto" w:fill="auto" w:val="clear"/>
                            <w:tcMar>
                              <w:left w:w="60" w:type="dxa"/>
                            </w:tcMar>
                          </w:tcPr>
                          <w:p>
                            <w:pPr>
                              <w:pStyle w:val="FrameContents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2835" w:leader="none"/>
        </w:tabs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* - не оценивается (трудно оценить)</w:t>
      </w:r>
      <w:r>
        <w:br w:type="page"/>
      </w:r>
    </w:p>
    <w:p>
      <w:pPr>
        <w:pStyle w:val="Normal"/>
        <w:spacing w:lineRule="auto" w:line="360"/>
        <w:rPr/>
      </w:pPr>
      <w:r>
        <w:rPr>
          <w:b/>
        </w:rPr>
        <w:t>Отмеченные достоинства</w:t>
      </w:r>
      <w:r>
        <w:rPr>
          <w:b/>
        </w:rPr>
        <w:t xml:space="preserve">: </w:t>
      </w:r>
    </w:p>
    <w:p>
      <w:pPr>
        <w:pStyle w:val="Normal"/>
        <w:spacing w:lineRule="auto" w:line="360"/>
        <w:rPr/>
      </w:pPr>
      <w:r>
        <w:rPr/>
        <w:t xml:space="preserve">В работе исследована тема полноты резонансных состояний одномерной квантовой системы с резонатором в форме квантового графа. Работа имеет ценность, так как полные системы функций имеют теоретическую и практическую полезность, и их наличие упрощает анализ квантовых систем, позволяя пользоваться уже развитой теорией </w:t>
      </w:r>
      <w:r>
        <w:rPr/>
        <w:t xml:space="preserve">(к примеру, рядов Фурье), </w:t>
      </w:r>
      <w:r>
        <w:rPr/>
        <w:t xml:space="preserve">для изучения таких систем. </w:t>
      </w:r>
      <w:r>
        <w:rPr/>
        <w:t>В работе:</w:t>
      </w:r>
    </w:p>
    <w:p>
      <w:pPr>
        <w:pStyle w:val="Normal"/>
        <w:spacing w:lineRule="auto" w:line="360"/>
        <w:rPr/>
      </w:pPr>
      <w:r>
        <w:rPr/>
        <w:t>1. Аналитически доказана полнота резонансных состояний для сложного квантового графа с резонатором в виде «пучка».</w:t>
      </w:r>
    </w:p>
    <w:p>
      <w:pPr>
        <w:pStyle w:val="Normal"/>
        <w:spacing w:lineRule="auto" w:line="360"/>
        <w:rPr/>
      </w:pPr>
      <w:r>
        <w:rPr/>
        <w:t>2. Опровергнута полнота резонансных состояний для квантового графа с резонатором в виде кольца с простым граничным условием, что является неожиданным и интересным результатом.</w:t>
      </w:r>
    </w:p>
    <w:p>
      <w:pPr>
        <w:pStyle w:val="Normal"/>
        <w:spacing w:lineRule="auto" w:line="360"/>
        <w:rPr/>
      </w:pPr>
      <w:r>
        <w:rPr/>
        <w:t>3. Проанализировано изменение граничных условий для графа с резонаторов в виде кольца, и показано что при непрерывном изменении граничных условий полнота может появиться или пропасть, что является интересным с теоретической точки зрения результатов и заслуживает более глубокого анализа.</w:t>
      </w:r>
    </w:p>
    <w:p>
      <w:pPr>
        <w:pStyle w:val="Normal"/>
        <w:spacing w:lineRule="auto" w:line="360"/>
        <w:rPr/>
      </w:pPr>
      <w:r>
        <w:rPr/>
        <w:t>Работа допускает расширение и обобщение, и может развиваться в различных направлениях: более тщательного анализа граничных условий и объяснения наличия или отсутствия полноты с физической точки зрения; обобщением доказательства для произвольного квантового графа.</w:t>
      </w:r>
    </w:p>
    <w:p>
      <w:pPr>
        <w:pStyle w:val="Normal"/>
        <w:spacing w:lineRule="auto" w:line="360"/>
        <w:rPr/>
      </w:pPr>
      <w:r>
        <w:rPr>
          <w:b/>
        </w:rPr>
        <w:t>Отмеченные недостатки:</w:t>
      </w:r>
      <w:r>
        <w:rPr/>
        <w:t>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>
          <w:b/>
        </w:rPr>
        <w:t>Заключение</w:t>
      </w:r>
      <w:r>
        <w:rPr/>
        <w:t xml:space="preserve">: Считаю, что выпускная квалификационная работа студента </w:t>
      </w:r>
      <w:r>
        <w:rPr/>
        <w:t>Герасимова Дмитрия Александровича</w:t>
      </w:r>
    </w:p>
    <w:p>
      <w:pPr>
        <w:pStyle w:val="Normal"/>
        <w:rPr/>
      </w:pPr>
      <w:r>
        <w:rPr/>
        <w:t xml:space="preserve"> </w:t>
      </w:r>
      <w:r>
        <w:rPr/>
        <w:t>на тему «</w:t>
      </w:r>
      <w:r>
        <w:rPr>
          <w:b w:val="false"/>
          <w:bCs w:val="false"/>
        </w:rPr>
        <w:t>Исследование полноты резонансных состояний оператора Шредингера для модели квантовых графов</w:t>
      </w:r>
      <w:r>
        <w:rPr/>
        <w:t xml:space="preserve">» </w:t>
      </w:r>
    </w:p>
    <w:p>
      <w:pPr>
        <w:pStyle w:val="Normal"/>
        <w:jc w:val="both"/>
        <w:rPr/>
      </w:pPr>
      <w:r>
        <w:rPr/>
        <w:t xml:space="preserve">соответствует требованиям Университета ИТМО, предъявляемым к ВКР и заслуживает оценки ___________________________, а её автор присуждения квалификации </w:t>
      </w:r>
      <w:r>
        <w:rPr/>
        <w:t>магистра</w:t>
      </w:r>
      <w:r>
        <w:rPr/>
        <w:t xml:space="preserve"> по направлению подготовки (специальности) ____________________.</w:t>
      </w:r>
    </w:p>
    <w:p>
      <w:pPr>
        <w:pStyle w:val="Cf0"/>
        <w:tabs>
          <w:tab w:val="left" w:pos="1134" w:leader="none"/>
        </w:tabs>
        <w:rPr/>
      </w:pPr>
      <w:r>
        <w:rPr/>
      </w:r>
    </w:p>
    <w:p>
      <w:pPr>
        <w:pStyle w:val="Normal"/>
        <w:tabs>
          <w:tab w:val="left" w:pos="6237" w:leader="none"/>
        </w:tabs>
        <w:rPr/>
      </w:pPr>
      <w:r>
        <w:rPr/>
        <w:t xml:space="preserve">Рецензент_____________               ________________________ «____» «______________» 20    г.  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sz w:val="16"/>
        </w:rPr>
        <w:tab/>
        <w:tab/>
        <w:t>(подпись)</w:t>
        <w:tab/>
        <w:tab/>
        <w:tab/>
        <w:tab/>
        <w:t>(ФИО)</w:t>
      </w:r>
    </w:p>
    <w:p>
      <w:pPr>
        <w:pStyle w:val="Normal"/>
        <w:tabs>
          <w:tab w:val="left" w:pos="6237" w:leader="none"/>
        </w:tabs>
        <w:rPr/>
      </w:pPr>
      <w:r>
        <w:rPr/>
        <w:t xml:space="preserve">С отзывом ознакомлен_____________       __________________ «____» «______________» 20   г.   </w:t>
      </w:r>
    </w:p>
    <w:p>
      <w:pPr>
        <w:pStyle w:val="Normal"/>
        <w:rPr/>
      </w:pPr>
      <w:r>
        <w:rPr>
          <w:sz w:val="16"/>
        </w:rPr>
        <w:tab/>
        <w:tab/>
        <w:tab/>
        <w:tab/>
        <w:t>(подпись)</w:t>
        <w:tab/>
        <w:tab/>
        <w:tab/>
        <w:tab/>
        <w:t>(ФИО)</w:t>
      </w:r>
    </w:p>
    <w:sectPr>
      <w:headerReference w:type="default" r:id="rId2"/>
      <w:footerReference w:type="default" r:id="rId3"/>
      <w:type w:val="nextPage"/>
      <w:pgSz w:w="11906" w:h="16838"/>
      <w:pgMar w:left="1134" w:right="567" w:header="720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E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85"/>
        </w:tabs>
        <w:ind w:left="0" w:hanging="-425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122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ru-RU" w:bidi="ar-SA"/>
    </w:rPr>
  </w:style>
  <w:style w:type="paragraph" w:styleId="Heading1">
    <w:name w:val="Heading 1"/>
    <w:basedOn w:val="Normal"/>
    <w:qFormat/>
    <w:rsid w:val="00331227"/>
    <w:pPr>
      <w:keepNext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331227"/>
    <w:pPr>
      <w:keepNext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qFormat/>
    <w:rsid w:val="00331227"/>
    <w:pPr>
      <w:keepNext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331227"/>
    <w:pPr>
      <w:keepNext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331227"/>
    <w:rPr>
      <w:rFonts w:ascii="Wingdings" w:hAnsi="Wingdings" w:cs="Wingdings"/>
    </w:rPr>
  </w:style>
  <w:style w:type="character" w:styleId="WW8Num1z1" w:customStyle="1">
    <w:name w:val="WW8Num1z1"/>
    <w:qFormat/>
    <w:rsid w:val="00331227"/>
    <w:rPr>
      <w:rFonts w:ascii="Courier New" w:hAnsi="Courier New" w:cs="Courier New"/>
    </w:rPr>
  </w:style>
  <w:style w:type="character" w:styleId="WW8Num1z3" w:customStyle="1">
    <w:name w:val="WW8Num1z3"/>
    <w:qFormat/>
    <w:rsid w:val="00331227"/>
    <w:rPr>
      <w:rFonts w:ascii="Symbol" w:hAnsi="Symbol" w:cs="Symbol"/>
    </w:rPr>
  </w:style>
  <w:style w:type="character" w:styleId="WW8Num2z0" w:customStyle="1">
    <w:name w:val="WW8Num2z0"/>
    <w:qFormat/>
    <w:rsid w:val="00331227"/>
    <w:rPr>
      <w:rFonts w:ascii="Wingdings" w:hAnsi="Wingdings" w:cs="Wingdings"/>
    </w:rPr>
  </w:style>
  <w:style w:type="character" w:styleId="WW8Num2z3" w:customStyle="1">
    <w:name w:val="WW8Num2z3"/>
    <w:qFormat/>
    <w:rsid w:val="00331227"/>
    <w:rPr>
      <w:rFonts w:ascii="Symbol" w:hAnsi="Symbol" w:cs="Symbol"/>
    </w:rPr>
  </w:style>
  <w:style w:type="character" w:styleId="WW8Num2z4" w:customStyle="1">
    <w:name w:val="WW8Num2z4"/>
    <w:qFormat/>
    <w:rsid w:val="00331227"/>
    <w:rPr>
      <w:rFonts w:ascii="Courier New" w:hAnsi="Courier New" w:cs="Courier New"/>
    </w:rPr>
  </w:style>
  <w:style w:type="character" w:styleId="WW8Num4z0" w:customStyle="1">
    <w:name w:val="WW8Num4z0"/>
    <w:qFormat/>
    <w:rsid w:val="00331227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331227"/>
    <w:rPr>
      <w:rFonts w:ascii="Courier New" w:hAnsi="Courier New" w:cs="Courier New"/>
    </w:rPr>
  </w:style>
  <w:style w:type="character" w:styleId="WW8Num4z2" w:customStyle="1">
    <w:name w:val="WW8Num4z2"/>
    <w:qFormat/>
    <w:rsid w:val="00331227"/>
    <w:rPr>
      <w:rFonts w:ascii="Wingdings" w:hAnsi="Wingdings" w:cs="Wingdings"/>
    </w:rPr>
  </w:style>
  <w:style w:type="character" w:styleId="WW8Num4z3" w:customStyle="1">
    <w:name w:val="WW8Num4z3"/>
    <w:qFormat/>
    <w:rsid w:val="00331227"/>
    <w:rPr>
      <w:rFonts w:ascii="Symbol" w:hAnsi="Symbol" w:cs="Symbol"/>
    </w:rPr>
  </w:style>
  <w:style w:type="character" w:styleId="WW8Num5z0" w:customStyle="1">
    <w:name w:val="WW8Num5z0"/>
    <w:qFormat/>
    <w:rsid w:val="00331227"/>
    <w:rPr>
      <w:rFonts w:ascii="Wingdings" w:hAnsi="Wingdings" w:cs="Wingdings"/>
    </w:rPr>
  </w:style>
  <w:style w:type="character" w:styleId="WW8Num5z3" w:customStyle="1">
    <w:name w:val="WW8Num5z3"/>
    <w:qFormat/>
    <w:rsid w:val="00331227"/>
    <w:rPr>
      <w:rFonts w:ascii="Symbol" w:hAnsi="Symbol" w:cs="Symbol"/>
    </w:rPr>
  </w:style>
  <w:style w:type="character" w:styleId="WW8Num5z4" w:customStyle="1">
    <w:name w:val="WW8Num5z4"/>
    <w:qFormat/>
    <w:rsid w:val="00331227"/>
    <w:rPr>
      <w:rFonts w:ascii="Courier New" w:hAnsi="Courier New" w:cs="Courier New"/>
    </w:rPr>
  </w:style>
  <w:style w:type="character" w:styleId="WW8Num6z1" w:customStyle="1">
    <w:name w:val="WW8Num6z1"/>
    <w:qFormat/>
    <w:rsid w:val="00331227"/>
    <w:rPr>
      <w:rFonts w:ascii="Courier New" w:hAnsi="Courier New" w:cs="Courier New"/>
    </w:rPr>
  </w:style>
  <w:style w:type="character" w:styleId="WW8Num6z2" w:customStyle="1">
    <w:name w:val="WW8Num6z2"/>
    <w:qFormat/>
    <w:rsid w:val="00331227"/>
    <w:rPr>
      <w:rFonts w:ascii="Wingdings" w:hAnsi="Wingdings" w:cs="Wingdings"/>
    </w:rPr>
  </w:style>
  <w:style w:type="character" w:styleId="WW8Num6z3" w:customStyle="1">
    <w:name w:val="WW8Num6z3"/>
    <w:qFormat/>
    <w:rsid w:val="00331227"/>
    <w:rPr>
      <w:rFonts w:ascii="Symbol" w:hAnsi="Symbol" w:cs="Symbol"/>
    </w:rPr>
  </w:style>
  <w:style w:type="character" w:styleId="WW8Num7z0" w:customStyle="1">
    <w:name w:val="WW8Num7z0"/>
    <w:qFormat/>
    <w:rsid w:val="00331227"/>
    <w:rPr>
      <w:rFonts w:cs="Times New Roman"/>
      <w:sz w:val="28"/>
      <w:szCs w:val="28"/>
    </w:rPr>
  </w:style>
  <w:style w:type="character" w:styleId="WW8Num7z1" w:customStyle="1">
    <w:name w:val="WW8Num7z1"/>
    <w:qFormat/>
    <w:rsid w:val="00331227"/>
    <w:rPr>
      <w:rFonts w:cs="Times New Roman"/>
    </w:rPr>
  </w:style>
  <w:style w:type="character" w:styleId="WW8Num8z0" w:customStyle="1">
    <w:name w:val="WW8Num8z0"/>
    <w:qFormat/>
    <w:rsid w:val="00331227"/>
    <w:rPr>
      <w:rFonts w:ascii="TimesET" w:hAnsi="TimesET" w:cs="TimesET"/>
    </w:rPr>
  </w:style>
  <w:style w:type="character" w:styleId="WW8Num8z1" w:customStyle="1">
    <w:name w:val="WW8Num8z1"/>
    <w:qFormat/>
    <w:rsid w:val="00331227"/>
    <w:rPr>
      <w:rFonts w:ascii="Courier New" w:hAnsi="Courier New" w:cs="Courier New"/>
    </w:rPr>
  </w:style>
  <w:style w:type="character" w:styleId="WW8Num8z2" w:customStyle="1">
    <w:name w:val="WW8Num8z2"/>
    <w:qFormat/>
    <w:rsid w:val="00331227"/>
    <w:rPr>
      <w:rFonts w:ascii="Wingdings" w:hAnsi="Wingdings" w:cs="Wingdings"/>
    </w:rPr>
  </w:style>
  <w:style w:type="character" w:styleId="WW8Num8z3" w:customStyle="1">
    <w:name w:val="WW8Num8z3"/>
    <w:qFormat/>
    <w:rsid w:val="00331227"/>
    <w:rPr>
      <w:rFonts w:ascii="Symbol" w:hAnsi="Symbol" w:cs="Symbol"/>
    </w:rPr>
  </w:style>
  <w:style w:type="character" w:styleId="WW8Num9z0" w:customStyle="1">
    <w:name w:val="WW8Num9z0"/>
    <w:qFormat/>
    <w:rsid w:val="00331227"/>
    <w:rPr>
      <w:rFonts w:ascii="Wingdings" w:hAnsi="Wingdings" w:cs="Wingdings"/>
    </w:rPr>
  </w:style>
  <w:style w:type="character" w:styleId="WW8Num9z3" w:customStyle="1">
    <w:name w:val="WW8Num9z3"/>
    <w:qFormat/>
    <w:rsid w:val="00331227"/>
    <w:rPr>
      <w:rFonts w:ascii="Symbol" w:hAnsi="Symbol" w:cs="Symbol"/>
    </w:rPr>
  </w:style>
  <w:style w:type="character" w:styleId="WW8Num9z4" w:customStyle="1">
    <w:name w:val="WW8Num9z4"/>
    <w:qFormat/>
    <w:rsid w:val="00331227"/>
    <w:rPr>
      <w:rFonts w:ascii="Courier New" w:hAnsi="Courier New" w:cs="Courier New"/>
    </w:rPr>
  </w:style>
  <w:style w:type="character" w:styleId="WW8Num10z0" w:customStyle="1">
    <w:name w:val="WW8Num10z0"/>
    <w:qFormat/>
    <w:rsid w:val="00331227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331227"/>
    <w:rPr>
      <w:rFonts w:ascii="Courier New" w:hAnsi="Courier New" w:cs="Courier New"/>
    </w:rPr>
  </w:style>
  <w:style w:type="character" w:styleId="WW8Num10z2" w:customStyle="1">
    <w:name w:val="WW8Num10z2"/>
    <w:qFormat/>
    <w:rsid w:val="00331227"/>
    <w:rPr>
      <w:rFonts w:ascii="Wingdings" w:hAnsi="Wingdings" w:cs="Wingdings"/>
    </w:rPr>
  </w:style>
  <w:style w:type="character" w:styleId="WW8Num10z3" w:customStyle="1">
    <w:name w:val="WW8Num10z3"/>
    <w:qFormat/>
    <w:rsid w:val="00331227"/>
    <w:rPr>
      <w:rFonts w:ascii="Symbol" w:hAnsi="Symbol" w:cs="Symbol"/>
    </w:rPr>
  </w:style>
  <w:style w:type="character" w:styleId="WW8Num11z0" w:customStyle="1">
    <w:name w:val="WW8Num11z0"/>
    <w:qFormat/>
    <w:rsid w:val="00331227"/>
    <w:rPr>
      <w:rFonts w:ascii="Wingdings" w:hAnsi="Wingdings" w:cs="Wingdings"/>
    </w:rPr>
  </w:style>
  <w:style w:type="character" w:styleId="WW8Num11z3" w:customStyle="1">
    <w:name w:val="WW8Num11z3"/>
    <w:qFormat/>
    <w:rsid w:val="00331227"/>
    <w:rPr>
      <w:rFonts w:ascii="Symbol" w:hAnsi="Symbol" w:cs="Symbol"/>
    </w:rPr>
  </w:style>
  <w:style w:type="character" w:styleId="WW8Num11z4" w:customStyle="1">
    <w:name w:val="WW8Num11z4"/>
    <w:qFormat/>
    <w:rsid w:val="00331227"/>
    <w:rPr>
      <w:rFonts w:ascii="Courier New" w:hAnsi="Courier New" w:cs="Courier New"/>
    </w:rPr>
  </w:style>
  <w:style w:type="character" w:styleId="WW8Num12z0" w:customStyle="1">
    <w:name w:val="WW8Num12z0"/>
    <w:qFormat/>
    <w:rsid w:val="00331227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331227"/>
    <w:rPr>
      <w:rFonts w:ascii="Courier New" w:hAnsi="Courier New" w:cs="Courier New"/>
    </w:rPr>
  </w:style>
  <w:style w:type="character" w:styleId="WW8Num12z2" w:customStyle="1">
    <w:name w:val="WW8Num12z2"/>
    <w:qFormat/>
    <w:rsid w:val="00331227"/>
    <w:rPr>
      <w:rFonts w:ascii="Wingdings" w:hAnsi="Wingdings" w:cs="Wingdings"/>
    </w:rPr>
  </w:style>
  <w:style w:type="character" w:styleId="WW8Num12z3" w:customStyle="1">
    <w:name w:val="WW8Num12z3"/>
    <w:qFormat/>
    <w:rsid w:val="00331227"/>
    <w:rPr>
      <w:rFonts w:ascii="Symbol" w:hAnsi="Symbol" w:cs="Symbol"/>
    </w:rPr>
  </w:style>
  <w:style w:type="character" w:styleId="WW8Num13z0" w:customStyle="1">
    <w:name w:val="WW8Num13z0"/>
    <w:qFormat/>
    <w:rsid w:val="00331227"/>
    <w:rPr>
      <w:rFonts w:ascii="Wingdings" w:hAnsi="Wingdings" w:cs="Wingdings"/>
    </w:rPr>
  </w:style>
  <w:style w:type="character" w:styleId="WW8Num13z1" w:customStyle="1">
    <w:name w:val="WW8Num13z1"/>
    <w:qFormat/>
    <w:rsid w:val="00331227"/>
    <w:rPr>
      <w:rFonts w:ascii="Courier New" w:hAnsi="Courier New" w:cs="Courier New"/>
    </w:rPr>
  </w:style>
  <w:style w:type="character" w:styleId="WW8Num13z3" w:customStyle="1">
    <w:name w:val="WW8Num13z3"/>
    <w:qFormat/>
    <w:rsid w:val="00331227"/>
    <w:rPr>
      <w:rFonts w:ascii="Symbol" w:hAnsi="Symbol" w:cs="Symbol"/>
    </w:rPr>
  </w:style>
  <w:style w:type="character" w:styleId="WW8Num14z0" w:customStyle="1">
    <w:name w:val="WW8Num14z0"/>
    <w:qFormat/>
    <w:rsid w:val="00331227"/>
    <w:rPr>
      <w:rFonts w:ascii="Times New Roman" w:hAnsi="Times New Roman" w:cs="Times New Roman"/>
    </w:rPr>
  </w:style>
  <w:style w:type="character" w:styleId="WW8Num14z1" w:customStyle="1">
    <w:name w:val="WW8Num14z1"/>
    <w:qFormat/>
    <w:rsid w:val="00331227"/>
    <w:rPr>
      <w:rFonts w:ascii="Courier New" w:hAnsi="Courier New" w:cs="Courier New"/>
    </w:rPr>
  </w:style>
  <w:style w:type="character" w:styleId="WW8Num14z2" w:customStyle="1">
    <w:name w:val="WW8Num14z2"/>
    <w:qFormat/>
    <w:rsid w:val="00331227"/>
    <w:rPr>
      <w:rFonts w:ascii="Wingdings" w:hAnsi="Wingdings" w:cs="Wingdings"/>
    </w:rPr>
  </w:style>
  <w:style w:type="character" w:styleId="WW8Num14z3" w:customStyle="1">
    <w:name w:val="WW8Num14z3"/>
    <w:qFormat/>
    <w:rsid w:val="00331227"/>
    <w:rPr>
      <w:rFonts w:ascii="Symbol" w:hAnsi="Symbol" w:cs="Symbol"/>
    </w:rPr>
  </w:style>
  <w:style w:type="character" w:styleId="1" w:customStyle="1">
    <w:name w:val="Основной шрифт абзаца1"/>
    <w:qFormat/>
    <w:rsid w:val="00331227"/>
    <w:rPr/>
  </w:style>
  <w:style w:type="character" w:styleId="F" w:customStyle="1">
    <w:name w:val="f"/>
    <w:qFormat/>
    <w:rsid w:val="00331227"/>
    <w:rPr>
      <w:rFonts w:cs="Times New Roman"/>
    </w:rPr>
  </w:style>
  <w:style w:type="character" w:styleId="2" w:customStyle="1">
    <w:name w:val="Знак Знак2"/>
    <w:qFormat/>
    <w:rsid w:val="00331227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331227"/>
    <w:rPr>
      <w:rFonts w:eastAsia="Calibri"/>
      <w:b/>
      <w:sz w:val="26"/>
      <w:lang w:val="ru-RU" w:eastAsia="ar-SA" w:bidi="ar-SA"/>
    </w:rPr>
  </w:style>
  <w:style w:type="character" w:styleId="Style10" w:customStyle="1">
    <w:name w:val="Знак Знак"/>
    <w:qFormat/>
    <w:rsid w:val="00331227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331227"/>
    <w:rPr/>
  </w:style>
  <w:style w:type="character" w:styleId="InternetLink">
    <w:name w:val="Internet Link"/>
    <w:rsid w:val="00331227"/>
    <w:rPr>
      <w:color w:val="0000FF"/>
      <w:u w:val="single"/>
    </w:rPr>
  </w:style>
  <w:style w:type="character" w:styleId="3" w:customStyle="1">
    <w:name w:val="Знак Знак3"/>
    <w:qFormat/>
    <w:rsid w:val="00331227"/>
    <w:rPr>
      <w:sz w:val="24"/>
      <w:szCs w:val="24"/>
    </w:rPr>
  </w:style>
  <w:style w:type="character" w:styleId="Emphasis">
    <w:name w:val="Emphasis"/>
    <w:qFormat/>
    <w:rsid w:val="00331227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331227"/>
    <w:pPr>
      <w:spacing w:before="0" w:after="120"/>
    </w:pPr>
    <w:rPr/>
  </w:style>
  <w:style w:type="paragraph" w:styleId="List">
    <w:name w:val="List"/>
    <w:basedOn w:val="TextBody"/>
    <w:rsid w:val="00331227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rsid w:val="00331227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331227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331227"/>
    <w:pPr>
      <w:suppressLineNumbers/>
    </w:pPr>
    <w:rPr>
      <w:rFonts w:cs="Mangal"/>
    </w:rPr>
  </w:style>
  <w:style w:type="paragraph" w:styleId="Default" w:customStyle="1">
    <w:name w:val="Default"/>
    <w:qFormat/>
    <w:rsid w:val="0033122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he-IL" w:bidi="he-IL" w:val="ru-RU"/>
    </w:rPr>
  </w:style>
  <w:style w:type="paragraph" w:styleId="Style12" w:customStyle="1">
    <w:name w:val="Знак Знак Знак Знак Знак Знак"/>
    <w:basedOn w:val="Normal"/>
    <w:qFormat/>
    <w:rsid w:val="00331227"/>
    <w:pPr>
      <w:widowControl w:val="false"/>
      <w:spacing w:lineRule="exact" w:line="240" w:before="0" w:after="160"/>
      <w:jc w:val="both"/>
    </w:pPr>
    <w:rPr>
      <w:rFonts w:ascii="Verdana" w:hAnsi="Verdana" w:cs="Verdana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331227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331227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331227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Text Body Indent"/>
    <w:basedOn w:val="Normal"/>
    <w:rsid w:val="00331227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331227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331227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33122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331227"/>
    <w:pPr>
      <w:spacing w:before="280" w:after="280"/>
    </w:pPr>
    <w:rPr/>
  </w:style>
  <w:style w:type="paragraph" w:styleId="Footer">
    <w:name w:val="Footer"/>
    <w:basedOn w:val="Normal"/>
    <w:rsid w:val="00331227"/>
    <w:pPr>
      <w:tabs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331227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331227"/>
    <w:pPr>
      <w:jc w:val="center"/>
    </w:pPr>
    <w:rPr>
      <w:b/>
      <w:bCs/>
    </w:rPr>
  </w:style>
  <w:style w:type="paragraph" w:styleId="Style15" w:customStyle="1">
    <w:name w:val="Содержимое врезки"/>
    <w:basedOn w:val="TextBody"/>
    <w:qFormat/>
    <w:rsid w:val="00331227"/>
    <w:pPr/>
    <w:rPr/>
  </w:style>
  <w:style w:type="paragraph" w:styleId="Header">
    <w:name w:val="Header"/>
    <w:basedOn w:val="Normal"/>
    <w:rsid w:val="00331227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LibreOffice/5.0.5.2$Linux_X86_64 LibreOffice_project/00m0$Build-2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2016-03-28T10:06:00Z</dcterms:created>
  <dc:creator>TVA</dc:creator>
  <dc:language>en-US</dc:language>
  <cp:lastPrinted>2016-01-26T10:08:00Z</cp:lastPrinted>
  <dcterms:modified xsi:type="dcterms:W3CDTF">2016-06-08T17:24:21Z</dcterms:modified>
  <cp:revision>4</cp:revision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