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8"/>
        </w:rPr>
      </w:pPr>
      <w:r w:rsidDel="00000000" w:rsidR="00000000" w:rsidRPr="00000000">
        <w:rPr>
          <w:b w:val="1"/>
          <w:sz w:val="28"/>
          <w:rtl w:val="0"/>
        </w:rPr>
        <w:t xml:space="preserve">Wstęp teoretyczny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Promieniotwórczość jest to samorzutne przekształcanie się jednych jąder atomowych w inne. Zjawisku temu towarzyszy emisja cząstek elementarnych. Wyróżnianych jest kilka procesów promieniotwórczych: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rozpad </w:t>
      </w:r>
      <m:oMath>
        <m:r>
          <m:t>α</m:t>
        </m:r>
      </m:oMath>
      <w:r w:rsidDel="00000000" w:rsidR="00000000" w:rsidRPr="00000000">
        <w:rPr>
          <w:rtl w:val="0"/>
        </w:rPr>
        <w:t xml:space="preserve">- promieniowanie bardzo silnie jonizujące o niewielkim zasięgu. Polega na rozpadzie jądra pierwotnego na jądro pochodne i jądro helu.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57150" distT="57150" distL="57150" distR="57150">
            <wp:extent cx="1362075" cy="200025"/>
            <wp:effectExtent b="0" l="0" r="0" t="0"/>
            <wp:docPr descr="CodeCogsEqn.gif" id="22" name="image42.gif"/>
            <a:graphic>
              <a:graphicData uri="http://schemas.openxmlformats.org/drawingml/2006/picture">
                <pic:pic>
                  <pic:nvPicPr>
                    <pic:cNvPr descr="CodeCogsEqn.gif" id="0" name="image42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rozpad </w:t>
      </w:r>
      <m:oMath>
        <m:r>
          <m:t>β</m:t>
        </m:r>
      </m:oMath>
      <w:r w:rsidDel="00000000" w:rsidR="00000000" w:rsidRPr="00000000">
        <w:rPr>
          <w:rtl w:val="0"/>
        </w:rPr>
        <w:t xml:space="preserve">- wyróżniane  są trzy odmiany tego promieniowania: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rozpad </w:t>
      </w:r>
      <m:oMath>
        <m:sSup>
          <m:sSupPr>
            <m:ctrlPr>
              <w:rPr/>
            </m:ctrlPr>
          </m:sSupPr>
          <m:e>
            <m:r>
              <m:t>β</m:t>
            </m:r>
          </m:e>
          <m:sup>
            <m:r>
              <w:rPr/>
              <m:t xml:space="preserve">-</m:t>
            </m:r>
          </m:sup>
        </m:sSup>
      </m:oMath>
      <w:r w:rsidDel="00000000" w:rsidR="00000000" w:rsidRPr="00000000">
        <w:rPr>
          <w:rtl w:val="0"/>
        </w:rPr>
        <w:t xml:space="preserve">, czyli rozpad elektronowy - emitowany jest elektron oraz antyneutrino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657350" cy="209550"/>
            <wp:effectExtent b="0" l="0" r="0" t="0"/>
            <wp:docPr descr="CodeCogsEqn (1).gif" id="1" name="image06.gif"/>
            <a:graphic>
              <a:graphicData uri="http://schemas.openxmlformats.org/drawingml/2006/picture">
                <pic:pic>
                  <pic:nvPicPr>
                    <pic:cNvPr descr="CodeCogsEqn (1).gif" id="0" name="image0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rozpad </w:t>
      </w:r>
      <m:oMath>
        <m:sSup>
          <m:sSupPr>
            <m:ctrlPr>
              <w:rPr/>
            </m:ctrlPr>
          </m:sSupPr>
          <m:e>
            <m:r>
              <m:t>β</m:t>
            </m:r>
          </m:e>
          <m:sup>
            <m:r>
              <w:rPr/>
              <m:t xml:space="preserve">+</m:t>
            </m:r>
          </m:sup>
        </m:sSup>
      </m:oMath>
      <w:r w:rsidDel="00000000" w:rsidR="00000000" w:rsidRPr="00000000">
        <w:rPr>
          <w:rtl w:val="0"/>
        </w:rPr>
        <w:t xml:space="preserve">, czyli rozpad pozytonowy - emitowany jest pozyton oraz neutrino </w:t>
      </w:r>
      <w:r w:rsidDel="00000000" w:rsidR="00000000" w:rsidRPr="00000000">
        <w:drawing>
          <wp:inline distB="114300" distT="114300" distL="114300" distR="114300">
            <wp:extent cx="1647825" cy="209550"/>
            <wp:effectExtent b="0" l="0" r="0" t="0"/>
            <wp:docPr descr="CodeCogsEqn (2).gif" id="16" name="image35.gif"/>
            <a:graphic>
              <a:graphicData uri="http://schemas.openxmlformats.org/drawingml/2006/picture">
                <pic:pic>
                  <pic:nvPicPr>
                    <pic:cNvPr descr="CodeCogsEqn (2).gif" id="0" name="image3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wychwyt elektronowy - jądro pochłania elektron ze swojego atomu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drawing>
          <wp:inline distB="57150" distT="57150" distL="57150" distR="57150">
            <wp:extent cx="1647825" cy="209550"/>
            <wp:effectExtent b="0" l="0" r="0" t="0"/>
            <wp:docPr descr="CodeCogsEqn (3).gif" id="4" name="image15.gif"/>
            <a:graphic>
              <a:graphicData uri="http://schemas.openxmlformats.org/drawingml/2006/picture">
                <pic:pic>
                  <pic:nvPicPr>
                    <pic:cNvPr descr="CodeCogsEqn (3).gif" id="0" name="image1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promieniowanie jądrowe </w:t>
      </w:r>
      <m:oMath>
        <m:r>
          <m:t>γ</m:t>
        </m:r>
      </m:oMath>
      <w:r w:rsidDel="00000000" w:rsidR="00000000" w:rsidRPr="00000000">
        <w:rPr>
          <w:rtl w:val="0"/>
        </w:rPr>
        <w:t xml:space="preserve">- promieniowanie elektromagnetyczne o dużej częstotliwości. Jest jonizujące i bardzo przenikliwe.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spontaniczne rozszczepienie jąder ciężkich - podział jąder na dwa, </w:t>
      </w:r>
      <w:r w:rsidDel="00000000" w:rsidR="00000000" w:rsidRPr="00000000">
        <w:rPr>
          <w:rtl w:val="0"/>
        </w:rPr>
        <w:t xml:space="preserve">występuje bez zderzenia cząstki elementarnej z ciężkim jądrem.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promieniotwórczość protonowa - przekształcenie jądra atomu, czemu towarzyszy emisja jednego lub dwóch protonów.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Przemiany promieniotwórcze zachodzą niezależnie od siebie. Liczba dN jąder, które rozpadną się w czasie dt jest proporcjonalna do liczby N wszystkich jąder i czasu dt. 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009650" cy="123825"/>
            <wp:effectExtent b="0" l="0" r="0" t="0"/>
            <wp:docPr descr="CodeCogsEqn (4).gif" id="18" name="image37.gif"/>
            <a:graphic>
              <a:graphicData uri="http://schemas.openxmlformats.org/drawingml/2006/picture">
                <pic:pic>
                  <pic:nvPicPr>
                    <pic:cNvPr descr="CodeCogsEqn (4).gif" id="0" name="image37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drawing>
          <wp:inline distB="114300" distT="114300" distL="114300" distR="114300">
            <wp:extent cx="95250" cy="123825"/>
            <wp:effectExtent b="0" l="0" r="0" t="0"/>
            <wp:docPr descr="CodeCogsEqn (5).gif" id="9" name="image24.gif"/>
            <a:graphic>
              <a:graphicData uri="http://schemas.openxmlformats.org/drawingml/2006/picture">
                <pic:pic>
                  <pic:nvPicPr>
                    <pic:cNvPr descr="CodeCogsEqn (5).gif" id="0" name="image24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to stała rozpadu.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Przekształcając powyższy wzór otrzymujemy prawo rozpadu promieniotwórczego: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009650" cy="180975"/>
            <wp:effectExtent b="0" l="0" r="0" t="0"/>
            <wp:docPr descr="CodeCogsEqn (7).gif" id="8" name="image23.gif"/>
            <a:graphic>
              <a:graphicData uri="http://schemas.openxmlformats.org/drawingml/2006/picture">
                <pic:pic>
                  <pic:nvPicPr>
                    <pic:cNvPr descr="CodeCogsEqn (7).gif" id="0" name="image23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gdzie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to liczba jąder w chwili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to liczba jąder w chwili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=0.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Prawo to także można zapisać w postaci :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457325" cy="428625"/>
            <wp:effectExtent b="0" l="0" r="0" t="0"/>
            <wp:docPr descr="CodeCogsEqn (8).gif" id="6" name="image19.gif"/>
            <a:graphic>
              <a:graphicData uri="http://schemas.openxmlformats.org/drawingml/2006/picture">
                <pic:pic>
                  <pic:nvPicPr>
                    <pic:cNvPr descr="CodeCogsEqn (8).gif" id="0" name="image19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drawing>
          <wp:inline distB="114300" distT="114300" distL="114300" distR="114300">
            <wp:extent cx="95250" cy="76200"/>
            <wp:effectExtent b="0" l="0" r="0" t="0"/>
            <wp:docPr descr="CodeCogsEqn (9).gif" id="3" name="image12.gif"/>
            <a:graphic>
              <a:graphicData uri="http://schemas.openxmlformats.org/drawingml/2006/picture">
                <pic:pic>
                  <pic:nvPicPr>
                    <pic:cNvPr descr="CodeCogsEqn (9).gif" id="0" name="image12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 średni czas życia jądra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2905125</wp:posOffset>
            </wp:positionH>
            <wp:positionV relativeFrom="paragraph">
              <wp:posOffset>25400</wp:posOffset>
            </wp:positionV>
            <wp:extent cx="619125" cy="419100"/>
            <wp:effectExtent b="0" l="0" r="0" t="0"/>
            <wp:wrapSquare wrapText="bothSides" distB="57150" distT="57150" distL="57150" distR="57150"/>
            <wp:docPr descr="CodeCogsEqn (6).gif" id="17" name="image36.gif"/>
            <a:graphic>
              <a:graphicData uri="http://schemas.openxmlformats.org/drawingml/2006/picture">
                <pic:pic>
                  <pic:nvPicPr>
                    <pic:cNvPr descr="CodeCogsEqn (6).gif" id="0" name="image36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Stałą rozpadu można scharakteryzować jako: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drawing>
          <wp:inline distB="57150" distT="57150" distL="57150" distR="57150">
            <wp:extent cx="247650" cy="133350"/>
            <wp:effectExtent b="0" l="0" r="0" t="0"/>
            <wp:docPr descr="CodeCogsEqn (10).gif" id="21" name="image41.gif"/>
            <a:graphic>
              <a:graphicData uri="http://schemas.openxmlformats.org/drawingml/2006/picture">
                <pic:pic>
                  <pic:nvPicPr>
                    <pic:cNvPr descr="CodeCogsEqn (10).gif" id="0" name="image41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to czas połowicznego zaniku, czyli czas po którym połowa początkowej liczby jąder ulegnie rozpadowi.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rtl w:val="0"/>
        </w:rPr>
        <w:t xml:space="preserve">II. Opis metody pomiarowej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Preparat promieniotwórczy został umieszczony w ołowianej osłonie, w niedużej odległości od kielichowego licznika Geigera-Müllera, który służy do rejestracji cząstek β. Nad preparatem została umieszczona folia aluminiowa. Na module wysokiego napięcia ZWN-21 ustawiono napięcie 650V. Z licznikiem G-M współpracuje także moduł wzmacniacza impulsów oraz moduł przelicznika, który został ustawiony w tryb pracy zadanego czasu rejestracji impulsów wynoszacego 6s.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uruchomiono przelicznik i notowano jego wskazania. Zostało zanotowanych 551 wskazań.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rtl w:val="0"/>
        </w:rPr>
        <w:t xml:space="preserve">III. Wyniki pomiarów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Tabela nr 1</w:t>
        <w:tab/>
        <w:tab/>
        <w:tab/>
        <w:tab/>
        <w:t xml:space="preserve">      Tabela nr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76200</wp:posOffset>
            </wp:positionV>
            <wp:extent cx="1851934" cy="7053263"/>
            <wp:effectExtent b="0" l="0" r="0" t="0"/>
            <wp:wrapSquare wrapText="bothSides" distB="57150" distT="57150" distL="57150" distR="5715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934" cy="7053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2409825</wp:posOffset>
            </wp:positionH>
            <wp:positionV relativeFrom="paragraph">
              <wp:posOffset>76200</wp:posOffset>
            </wp:positionV>
            <wp:extent cx="2090738" cy="6969125"/>
            <wp:effectExtent b="0" l="0" r="0" t="0"/>
            <wp:wrapSquare wrapText="bothSides" distB="57150" distT="57150" distL="57150" distR="5715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696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IV. Wykresy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Wykres nr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-133349</wp:posOffset>
            </wp:positionH>
            <wp:positionV relativeFrom="paragraph">
              <wp:posOffset>57150</wp:posOffset>
            </wp:positionV>
            <wp:extent cx="5189284" cy="7939088"/>
            <wp:effectExtent b="0" l="0" r="0" t="0"/>
            <wp:wrapSquare wrapText="bothSides" distB="57150" distT="57150" distL="57150" distR="5715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284" cy="793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V. Obliczenia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tabeli nr 1 umieszczono ilości k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danych liczb zliczeń n. Następnie obliczono średnią wartość liczby zarejestrowanych zliczeń n</w:t>
      </w:r>
      <w:r w:rsidDel="00000000" w:rsidR="00000000" w:rsidRPr="00000000">
        <w:rPr>
          <w:vertAlign w:val="subscript"/>
          <w:rtl w:val="0"/>
        </w:rPr>
        <w:t xml:space="preserve">śr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28900" cy="419100"/>
            <wp:effectExtent b="0" l="0" r="0" t="0"/>
            <wp:docPr id="10" name="image26.gif"/>
            <a:graphic>
              <a:graphicData uri="http://schemas.openxmlformats.org/drawingml/2006/picture">
                <pic:pic>
                  <pic:nvPicPr>
                    <pic:cNvPr id="0" name="image26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Niepewność statystyczna u(N) dla liczby zliczeń N równej 551 wynosi </w:t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1628775</wp:posOffset>
            </wp:positionH>
            <wp:positionV relativeFrom="paragraph">
              <wp:posOffset>180975</wp:posOffset>
            </wp:positionV>
            <wp:extent cx="2190750" cy="200025"/>
            <wp:effectExtent b="0" l="0" r="0" t="0"/>
            <wp:wrapSquare wrapText="bothSides" distB="57150" distT="57150" distL="57150" distR="57150"/>
            <wp:docPr id="14" name="image32.gif"/>
            <a:graphic>
              <a:graphicData uri="http://schemas.openxmlformats.org/drawingml/2006/picture">
                <pic:pic>
                  <pic:nvPicPr>
                    <pic:cNvPr id="0" name="image32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1295400</wp:posOffset>
            </wp:positionH>
            <wp:positionV relativeFrom="paragraph">
              <wp:posOffset>19050</wp:posOffset>
            </wp:positionV>
            <wp:extent cx="2295525" cy="371475"/>
            <wp:effectExtent b="0" l="0" r="0" t="0"/>
            <wp:wrapSquare wrapText="bothSides" distB="57150" distT="57150" distL="57150" distR="57150"/>
            <wp:docPr id="15" name="image34.gif"/>
            <a:graphic>
              <a:graphicData uri="http://schemas.openxmlformats.org/drawingml/2006/picture">
                <pic:pic>
                  <pic:nvPicPr>
                    <pic:cNvPr id="0" name="image34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Zgodnie ze wzorem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gdzie k=551, wyznaczono teoretyczne wartości wystąpień k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danej liczby zliczeń n zgodnie z rozkładem Poissona. Wyniki zebrano w tabeli nr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dane zmierzone i teoretyczne zostały zestawione razem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 wykresie nr 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Aby sprawdzić zgodność otrzymanego histogramu z histogramem teoretycznym, skorzystano z testu </w:t>
      </w:r>
      <w:r w:rsidDel="00000000" w:rsidR="00000000" w:rsidRPr="00000000">
        <w:drawing>
          <wp:inline distB="114300" distT="114300" distL="114300" distR="114300">
            <wp:extent cx="161925" cy="190500"/>
            <wp:effectExtent b="0" l="0" r="0" t="0"/>
            <wp:docPr id="19" name="image38.gif"/>
            <a:graphic>
              <a:graphicData uri="http://schemas.openxmlformats.org/drawingml/2006/picture">
                <pic:pic>
                  <pic:nvPicPr>
                    <pic:cNvPr id="0" name="image38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wyznaczając testową </w:t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3057525</wp:posOffset>
            </wp:positionH>
            <wp:positionV relativeFrom="paragraph">
              <wp:posOffset>200025</wp:posOffset>
            </wp:positionV>
            <wp:extent cx="2024063" cy="462902"/>
            <wp:effectExtent b="0" l="0" r="0" t="0"/>
            <wp:wrapSquare wrapText="bothSides" distB="57150" distT="57150" distL="57150" distR="57150"/>
            <wp:docPr id="12" name="image29.gif"/>
            <a:graphic>
              <a:graphicData uri="http://schemas.openxmlformats.org/drawingml/2006/picture">
                <pic:pic>
                  <pic:nvPicPr>
                    <pic:cNvPr id="0" name="image29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462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Otrzymany wynik został porównany w tabeli nr 3 z wartościami krytycznymi z tabeli rozkładu </w:t>
      </w:r>
      <w:r w:rsidDel="00000000" w:rsidR="00000000" w:rsidRPr="00000000">
        <w:drawing>
          <wp:inline distB="114300" distT="114300" distL="114300" distR="114300">
            <wp:extent cx="161925" cy="190500"/>
            <wp:effectExtent b="0" l="0" r="0" t="0"/>
            <wp:docPr id="11" name="image28.gif"/>
            <a:graphic>
              <a:graphicData uri="http://schemas.openxmlformats.org/drawingml/2006/picture">
                <pic:pic>
                  <pic:nvPicPr>
                    <pic:cNvPr id="0" name="image28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dla poziomów istotności 0,99 i 0,95. Za liczbę stopni swobody przyjęto 23, czyli największą liczbę zliczeń, jaka wystąpiła w pomiarach.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Tabela nr 3</w:t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-57149</wp:posOffset>
            </wp:positionH>
            <wp:positionV relativeFrom="paragraph">
              <wp:posOffset>219075</wp:posOffset>
            </wp:positionV>
            <wp:extent cx="3333750" cy="1062404"/>
            <wp:effectExtent b="0" l="0" r="0" t="0"/>
            <wp:wrapSquare wrapText="bothSides" distB="57150" distT="57150" distL="57150" distR="5715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62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VI. Wnioski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porównania otrzymanego histogramu z histogramem teoretycznym wynika, że otrzymany wynik testu </w:t>
      </w:r>
      <w:r w:rsidDel="00000000" w:rsidR="00000000" w:rsidRPr="00000000">
        <w:drawing>
          <wp:inline distB="114300" distT="114300" distL="114300" distR="114300">
            <wp:extent cx="161925" cy="190500"/>
            <wp:effectExtent b="0" l="0" r="0" t="0"/>
            <wp:docPr id="13" name="image30.gif"/>
            <a:graphic>
              <a:graphicData uri="http://schemas.openxmlformats.org/drawingml/2006/picture">
                <pic:pic>
                  <pic:nvPicPr>
                    <pic:cNvPr id="0" name="image30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jest ponad 4-krotnie większy niż wartość krytyczna dla poziomu 0,99 i ponad 3-krotnie większa niż wartość krytyczna dla poziomu 0,95. Tak duża rozbieżność może wynikać z niedokładności wskazań licznika G-M.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26.gif"/><Relationship Id="rId18" Type="http://schemas.openxmlformats.org/officeDocument/2006/relationships/image" Target="media/image40.png"/><Relationship Id="rId17" Type="http://schemas.openxmlformats.org/officeDocument/2006/relationships/image" Target="media/image11.png"/><Relationship Id="rId16" Type="http://schemas.openxmlformats.org/officeDocument/2006/relationships/image" Target="media/image16.png"/><Relationship Id="rId15" Type="http://schemas.openxmlformats.org/officeDocument/2006/relationships/image" Target="media/image41.gif"/><Relationship Id="rId14" Type="http://schemas.openxmlformats.org/officeDocument/2006/relationships/image" Target="media/image36.gif"/><Relationship Id="rId12" Type="http://schemas.openxmlformats.org/officeDocument/2006/relationships/image" Target="media/image19.gif"/><Relationship Id="rId13" Type="http://schemas.openxmlformats.org/officeDocument/2006/relationships/image" Target="media/image12.gif"/><Relationship Id="rId10" Type="http://schemas.openxmlformats.org/officeDocument/2006/relationships/image" Target="media/image24.gif"/><Relationship Id="rId11" Type="http://schemas.openxmlformats.org/officeDocument/2006/relationships/image" Target="media/image23.gif"/><Relationship Id="rId26" Type="http://schemas.openxmlformats.org/officeDocument/2006/relationships/image" Target="media/image30.gif"/><Relationship Id="rId25" Type="http://schemas.openxmlformats.org/officeDocument/2006/relationships/image" Target="media/image21.png"/><Relationship Id="rId2" Type="http://schemas.openxmlformats.org/officeDocument/2006/relationships/fontTable" Target="fontTable.xml"/><Relationship Id="rId21" Type="http://schemas.openxmlformats.org/officeDocument/2006/relationships/image" Target="media/image34.gif"/><Relationship Id="rId1" Type="http://schemas.openxmlformats.org/officeDocument/2006/relationships/settings" Target="settings.xml"/><Relationship Id="rId22" Type="http://schemas.openxmlformats.org/officeDocument/2006/relationships/image" Target="media/image38.gif"/><Relationship Id="rId4" Type="http://schemas.openxmlformats.org/officeDocument/2006/relationships/styles" Target="styles.xml"/><Relationship Id="rId23" Type="http://schemas.openxmlformats.org/officeDocument/2006/relationships/image" Target="media/image29.gif"/><Relationship Id="rId3" Type="http://schemas.openxmlformats.org/officeDocument/2006/relationships/numbering" Target="numbering.xml"/><Relationship Id="rId24" Type="http://schemas.openxmlformats.org/officeDocument/2006/relationships/image" Target="media/image28.gif"/><Relationship Id="rId20" Type="http://schemas.openxmlformats.org/officeDocument/2006/relationships/image" Target="media/image32.gif"/><Relationship Id="rId9" Type="http://schemas.openxmlformats.org/officeDocument/2006/relationships/image" Target="media/image37.gif"/><Relationship Id="rId6" Type="http://schemas.openxmlformats.org/officeDocument/2006/relationships/image" Target="media/image06.gif"/><Relationship Id="rId5" Type="http://schemas.openxmlformats.org/officeDocument/2006/relationships/image" Target="media/image42.gif"/><Relationship Id="rId8" Type="http://schemas.openxmlformats.org/officeDocument/2006/relationships/image" Target="media/image15.gif"/><Relationship Id="rId7" Type="http://schemas.openxmlformats.org/officeDocument/2006/relationships/image" Target="media/image35.gif"/></Relationships>
</file>