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DF" w:rsidRDefault="005C4FDF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-181610</wp:posOffset>
            </wp:positionV>
            <wp:extent cx="8848725" cy="6124575"/>
            <wp:effectExtent l="0" t="0" r="9525" b="9525"/>
            <wp:wrapSquare wrapText="bothSides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C4FDF" w:rsidRDefault="005C4FDF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370205</wp:posOffset>
            </wp:positionV>
            <wp:extent cx="8867775" cy="5020310"/>
            <wp:effectExtent l="0" t="0" r="9525" b="27940"/>
            <wp:wrapSquare wrapText="bothSides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50B9D" w:rsidRDefault="005C5937">
      <w:bookmarkStart w:id="0" w:name="_GoBack"/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389255</wp:posOffset>
            </wp:positionV>
            <wp:extent cx="8848725" cy="4981575"/>
            <wp:effectExtent l="0" t="0" r="9525" b="9525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50B9D" w:rsidSect="005C59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37"/>
    <w:rsid w:val="005C4FDF"/>
    <w:rsid w:val="005C5937"/>
    <w:rsid w:val="00950B9D"/>
    <w:rsid w:val="00951E57"/>
    <w:rsid w:val="00A3488D"/>
    <w:rsid w:val="00B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C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5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C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5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_G62-china_\Desktop\WYPAK\fiz3\nasze\wykres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_G62-china_\Desktop\WYPAK\fiz3\nasze\wykres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_G62-china_\Desktop\WYPAK\fiz3\nasze\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2000" b="1" i="0" u="none" strike="noStrike" baseline="0">
                <a:effectLst/>
              </a:rPr>
              <a:t>Charakterystyka prądowo-napięciowa kondensatorów</a:t>
            </a:r>
            <a:endParaRPr lang="pl-PL" sz="2000"/>
          </a:p>
          <a:p>
            <a:pPr>
              <a:defRPr/>
            </a:pPr>
            <a:r>
              <a:rPr lang="pl-PL" sz="1200" b="0"/>
              <a:t>(reaktancja)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C1</c:v>
          </c:tx>
          <c:spPr>
            <a:ln w="28575">
              <a:noFill/>
            </a:ln>
          </c:spPr>
          <c:dLbls>
            <c:dLbl>
              <c:idx val="1"/>
              <c:layout>
                <c:manualLayout>
                  <c:x val="7.1761750986724339E-3"/>
                  <c:y val="-8.294453084499740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4.305705059203444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4352350197344816E-3"/>
                  <c:y val="2.90305857957490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2.8704700394689632E-3"/>
                  <c:y val="2.4883359253499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4.3057050592034442E-3"/>
                  <c:y val="2.48833592534991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4.3057050592034442E-3"/>
                  <c:y val="3.31778123379990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1.4352350197344816E-3"/>
                  <c:y val="3.1104199066874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0"/>
                  <c:y val="3.1104199066874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chemeClr val="bg1">
                  <a:lumMod val="85000"/>
                </a:schemeClr>
              </a:solidFill>
            </c:spPr>
            <c:txPr>
              <a:bodyPr/>
              <a:lstStyle/>
              <a:p>
                <a:pPr>
                  <a:defRPr b="0">
                    <a:solidFill>
                      <a:sysClr val="windowText" lastClr="000000"/>
                    </a:solidFill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1"/>
            <c:trendlineLbl>
              <c:layout>
                <c:manualLayout>
                  <c:x val="8.6455393291123867E-2"/>
                  <c:y val="-4.9962160639717861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obliczenia!$A$16:$A$24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obliczenia!$C$16:$C$24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0.23</c:v>
                </c:pt>
                <c:pt idx="3">
                  <c:v>0.36</c:v>
                </c:pt>
                <c:pt idx="4">
                  <c:v>0.49</c:v>
                </c:pt>
                <c:pt idx="5">
                  <c:v>0.62</c:v>
                </c:pt>
                <c:pt idx="6">
                  <c:v>0.75</c:v>
                </c:pt>
                <c:pt idx="7">
                  <c:v>0.88</c:v>
                </c:pt>
                <c:pt idx="8">
                  <c:v>1.01</c:v>
                </c:pt>
              </c:numCache>
            </c:numRef>
          </c:yVal>
          <c:smooth val="0"/>
        </c:ser>
        <c:ser>
          <c:idx val="0"/>
          <c:order val="1"/>
          <c:tx>
            <c:v>C2,C3</c:v>
          </c:tx>
          <c:spPr>
            <a:ln w="28575">
              <a:noFill/>
            </a:ln>
          </c:spPr>
          <c:dLbls>
            <c:dLbl>
              <c:idx val="1"/>
              <c:layout>
                <c:manualLayout>
                  <c:x val="1.4352350197344816E-3"/>
                  <c:y val="2.07361327112493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4352350197344816E-3"/>
                  <c:y val="2.4883359253499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"/>
                  <c:y val="2.4883359253499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2.4883359253499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1.4352350197344816E-3"/>
                  <c:y val="3.1104199066874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2.8704700394689632E-3"/>
                  <c:y val="3.93986521513737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4.3057050592034442E-3"/>
                  <c:y val="3.73250388802488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1.4352350197344816E-3"/>
                  <c:y val="3.73250388802488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chemeClr val="bg1">
                  <a:lumMod val="85000"/>
                </a:schemeClr>
              </a:solidFill>
            </c:spPr>
            <c:txPr>
              <a:bodyPr/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1"/>
            <c:trendlineLbl>
              <c:layout>
                <c:manualLayout>
                  <c:x val="8.2264507033499176E-2"/>
                  <c:y val="-4.2754966671156774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obliczenia!$A$16:$A$24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obliczenia!$E$16:$E$24</c:f>
              <c:numCache>
                <c:formatCode>General</c:formatCode>
                <c:ptCount val="9"/>
                <c:pt idx="0">
                  <c:v>0</c:v>
                </c:pt>
                <c:pt idx="1">
                  <c:v>0.04</c:v>
                </c:pt>
                <c:pt idx="2">
                  <c:v>0.1</c:v>
                </c:pt>
                <c:pt idx="3">
                  <c:v>0.17</c:v>
                </c:pt>
                <c:pt idx="4">
                  <c:v>0.24</c:v>
                </c:pt>
                <c:pt idx="5">
                  <c:v>0.3</c:v>
                </c:pt>
                <c:pt idx="6">
                  <c:v>0.36</c:v>
                </c:pt>
                <c:pt idx="7">
                  <c:v>0.43</c:v>
                </c:pt>
                <c:pt idx="8">
                  <c:v>0.5</c:v>
                </c:pt>
              </c:numCache>
            </c:numRef>
          </c:yVal>
          <c:smooth val="0"/>
        </c:ser>
        <c:ser>
          <c:idx val="2"/>
          <c:order val="2"/>
          <c:tx>
            <c:v>równoległe</c:v>
          </c:tx>
          <c:spPr>
            <a:ln w="28575">
              <a:noFill/>
            </a:ln>
          </c:spPr>
          <c:dLbls>
            <c:dLbl>
              <c:idx val="1"/>
              <c:layout>
                <c:manualLayout>
                  <c:x val="-3.782205911021079E-2"/>
                  <c:y val="-3.54640117885730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3609644327290089E-2"/>
                  <c:y val="-2.9243171975198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5.2174409307555611E-2"/>
                  <c:y val="-2.92431719751982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9350584406228014E-2"/>
                  <c:y val="-2.92431719751982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6.0785819425962499E-2"/>
                  <c:y val="-2.92431719751982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5.6480114366759052E-2"/>
                  <c:y val="-2.9243171975198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5.6480114366759052E-2"/>
                  <c:y val="-3.33903985174481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chemeClr val="bg1">
                  <a:lumMod val="85000"/>
                </a:schemeClr>
              </a:solidFill>
            </c:spPr>
            <c:txPr>
              <a:bodyPr/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1"/>
            <c:trendlineLbl>
              <c:layout>
                <c:manualLayout>
                  <c:x val="-0.24508389626754137"/>
                  <c:y val="0.14407220092822767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obliczenia!$A$16:$A$24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obliczenia!$G$16:$G$24</c:f>
              <c:numCache>
                <c:formatCode>General</c:formatCode>
                <c:ptCount val="9"/>
                <c:pt idx="0">
                  <c:v>0</c:v>
                </c:pt>
                <c:pt idx="1">
                  <c:v>0.17</c:v>
                </c:pt>
                <c:pt idx="2">
                  <c:v>0.36</c:v>
                </c:pt>
                <c:pt idx="3">
                  <c:v>0.56000000000000005</c:v>
                </c:pt>
                <c:pt idx="4">
                  <c:v>0.75</c:v>
                </c:pt>
                <c:pt idx="5">
                  <c:v>0.95</c:v>
                </c:pt>
                <c:pt idx="6">
                  <c:v>1.1499999999999999</c:v>
                </c:pt>
                <c:pt idx="7">
                  <c:v>1.34</c:v>
                </c:pt>
                <c:pt idx="8">
                  <c:v>1.54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74273536"/>
        <c:axId val="74275456"/>
      </c:scatterChart>
      <c:valAx>
        <c:axId val="74273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pl-PL" sz="1400"/>
                  <a:t>U</a:t>
                </a:r>
                <a:r>
                  <a:rPr lang="pl-PL" sz="1400" baseline="0"/>
                  <a:t> [A]</a:t>
                </a:r>
                <a:endParaRPr lang="pl-PL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4275456"/>
        <c:crosses val="autoZero"/>
        <c:crossBetween val="midCat"/>
      </c:valAx>
      <c:valAx>
        <c:axId val="742754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pl-PL" sz="1400"/>
                  <a:t>I [mA]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4273536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txPr>
        <a:bodyPr/>
        <a:lstStyle/>
        <a:p>
          <a:pPr>
            <a:defRPr sz="1200"/>
          </a:pPr>
          <a:endParaRPr lang="pl-PL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2000" b="1" i="0" baseline="0"/>
              <a:t>Charakterystyka prądowo-napięciowa cewki dla prądu zmiennego</a:t>
            </a:r>
          </a:p>
          <a:p>
            <a:pPr>
              <a:defRPr/>
            </a:pPr>
            <a:r>
              <a:rPr lang="pl-PL" sz="1200" b="0" i="0" u="none" strike="noStrike" baseline="0">
                <a:effectLst/>
              </a:rPr>
              <a:t>(impedancja)</a:t>
            </a:r>
            <a:endParaRPr lang="pl-PL" sz="1200" b="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bez rdzenia</c:v>
          </c:tx>
          <c:spPr>
            <a:ln w="28575">
              <a:noFill/>
            </a:ln>
          </c:spPr>
          <c:dLbls>
            <c:dLbl>
              <c:idx val="2"/>
              <c:layout>
                <c:manualLayout>
                  <c:x val="-6.0655237644166658E-2"/>
                  <c:y val="-3.56799992031356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5.3494478603708373E-2"/>
                  <c:y val="-3.56799992031356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635878221989174E-2"/>
                  <c:y val="-3.56799992031356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6.4951693068441632E-2"/>
                  <c:y val="-3.56799992031357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6.3519541260349976E-2"/>
                  <c:y val="-4.07400877546852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5.7790934027983347E-2"/>
                  <c:y val="-4.5793402959354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5.635878221989158E-2"/>
                  <c:y val="-3.82100434789104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chemeClr val="bg1">
                  <a:lumMod val="85000"/>
                </a:schemeClr>
              </a:solidFill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1"/>
            <c:trendlineLbl>
              <c:layout>
                <c:manualLayout>
                  <c:x val="-0.41868292779192073"/>
                  <c:y val="0.26111630733065389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200" b="1" baseline="0"/>
                      <a:t>y = 0,4987x - 0,0213</a:t>
                    </a:r>
                    <a:endParaRPr lang="en-US" sz="1200" b="1"/>
                  </a:p>
                </c:rich>
              </c:tx>
              <c:numFmt formatCode="General" sourceLinked="0"/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obliczenia!$D$3:$D$11</c:f>
              <c:numCache>
                <c:formatCode>0.00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obliczenia!$E$3:$E$11</c:f>
              <c:numCache>
                <c:formatCode>0.00</c:formatCode>
                <c:ptCount val="9"/>
                <c:pt idx="0">
                  <c:v>0</c:v>
                </c:pt>
                <c:pt idx="1">
                  <c:v>0.47</c:v>
                </c:pt>
                <c:pt idx="2">
                  <c:v>0.97</c:v>
                </c:pt>
                <c:pt idx="3">
                  <c:v>1.47</c:v>
                </c:pt>
                <c:pt idx="4">
                  <c:v>1.96</c:v>
                </c:pt>
                <c:pt idx="5">
                  <c:v>2.4700000000000002</c:v>
                </c:pt>
                <c:pt idx="6">
                  <c:v>2.97</c:v>
                </c:pt>
                <c:pt idx="7">
                  <c:v>3.47</c:v>
                </c:pt>
                <c:pt idx="8">
                  <c:v>3.98</c:v>
                </c:pt>
              </c:numCache>
            </c:numRef>
          </c:yVal>
          <c:smooth val="0"/>
        </c:ser>
        <c:ser>
          <c:idx val="1"/>
          <c:order val="1"/>
          <c:tx>
            <c:v>z rdzeniem</c:v>
          </c:tx>
          <c:spPr>
            <a:ln w="28575">
              <a:noFill/>
            </a:ln>
          </c:spPr>
          <c:dLbls>
            <c:dLbl>
              <c:idx val="1"/>
              <c:layout>
                <c:manualLayout>
                  <c:x val="5.2237455280495695E-3"/>
                  <c:y val="-3.31499549273608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3.7915937199579377E-3"/>
                  <c:y val="-3.56799992031357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2.3594419118662798E-3"/>
                  <c:y val="-3.56799992031357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1.4826379785233507E-2"/>
                  <c:y val="-4.83302205820097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chemeClr val="bg1">
                  <a:lumMod val="85000"/>
                </a:schemeClr>
              </a:solidFill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1"/>
            <c:trendlineLbl>
              <c:layout>
                <c:manualLayout>
                  <c:x val="-0.10933813724412268"/>
                  <c:y val="-5.3847908480130685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obliczenia!$D$3:$D$11</c:f>
              <c:numCache>
                <c:formatCode>0.00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obliczenia!$G$3:$G$11</c:f>
              <c:numCache>
                <c:formatCode>0.00</c:formatCode>
                <c:ptCount val="9"/>
                <c:pt idx="0">
                  <c:v>0</c:v>
                </c:pt>
                <c:pt idx="1">
                  <c:v>0.09</c:v>
                </c:pt>
                <c:pt idx="2">
                  <c:v>0.21</c:v>
                </c:pt>
                <c:pt idx="3">
                  <c:v>0.33</c:v>
                </c:pt>
                <c:pt idx="4">
                  <c:v>0.45</c:v>
                </c:pt>
                <c:pt idx="5">
                  <c:v>0.57999999999999996</c:v>
                </c:pt>
                <c:pt idx="6">
                  <c:v>0.69</c:v>
                </c:pt>
                <c:pt idx="7">
                  <c:v>0.81</c:v>
                </c:pt>
                <c:pt idx="8">
                  <c:v>0.93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4413184"/>
        <c:axId val="74415104"/>
      </c:scatterChart>
      <c:valAx>
        <c:axId val="74413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pl-PL" sz="1400"/>
                  <a:t>U [V]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74415104"/>
        <c:crosses val="autoZero"/>
        <c:crossBetween val="midCat"/>
      </c:valAx>
      <c:valAx>
        <c:axId val="74415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pl-PL" sz="1400"/>
                  <a:t>I [mA]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74413184"/>
        <c:crosses val="autoZero"/>
        <c:crossBetween val="midCat"/>
      </c:valAx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txPr>
        <a:bodyPr/>
        <a:lstStyle/>
        <a:p>
          <a:pPr>
            <a:defRPr sz="1200"/>
          </a:pPr>
          <a:endParaRPr lang="pl-PL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1" i="0" u="none" strike="noStrike" baseline="0" smtClean="0"/>
              <a:t>Charakterystyka prądowo-napięciowa </a:t>
            </a:r>
            <a:r>
              <a:rPr lang="pl-PL" sz="1800"/>
              <a:t>cewki dla prądu stałego</a:t>
            </a:r>
          </a:p>
          <a:p>
            <a:pPr>
              <a:defRPr/>
            </a:pPr>
            <a:r>
              <a:rPr lang="pl-PL" sz="1200" b="0"/>
              <a:t>(rezystancja)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obliczenia!$B$1:$B$2</c:f>
              <c:strCache>
                <c:ptCount val="1"/>
                <c:pt idx="0">
                  <c:v>rezystancja cewki I [mA]</c:v>
                </c:pt>
              </c:strCache>
            </c:strRef>
          </c:tx>
          <c:spPr>
            <a:ln w="28575">
              <a:noFill/>
            </a:ln>
          </c:spPr>
          <c:dLbls>
            <c:dLbl>
              <c:idx val="1"/>
              <c:layout>
                <c:manualLayout>
                  <c:x val="-4.6704388082143E-2"/>
                  <c:y val="3.22638593483409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8429681214471306E-2"/>
                  <c:y val="3.47654223327724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1779764966565107E-2"/>
                  <c:y val="3.9768548301635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3404555586330602E-2"/>
                  <c:y val="3.9768548301635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5.8429681214471244E-2"/>
                  <c:y val="3.9768548301635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7.3505058098893419E-2"/>
                  <c:y val="4.22699143126039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6.345480684261201E-2"/>
                  <c:y val="4.22701112860673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7.6855141850987213E-2"/>
                  <c:y val="4.97748002393622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chemeClr val="bg1">
                  <a:lumMod val="85000"/>
                </a:schemeClr>
              </a:solidFill>
            </c:spPr>
            <c:txPr>
              <a:bodyPr/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0"/>
            <c:dispEq val="1"/>
            <c:trendlineLbl>
              <c:layout>
                <c:manualLayout>
                  <c:x val="-0.34154389474189784"/>
                  <c:y val="-0.4132717062374851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200" b="1" baseline="0"/>
                      <a:t>y = -0,7073x + 0,0024</a:t>
                    </a:r>
                    <a:endParaRPr lang="en-US" sz="1200" b="1"/>
                  </a:p>
                </c:rich>
              </c:tx>
              <c:numFmt formatCode="General" sourceLinked="0"/>
            </c:trendlineLbl>
          </c:trendline>
          <c:errBars>
            <c:errDir val="x"/>
            <c:errBarType val="both"/>
            <c:errValType val="percentage"/>
            <c:noEndCap val="0"/>
            <c:val val="5"/>
          </c:errBars>
          <c:errBars>
            <c:errDir val="y"/>
            <c:errBarType val="both"/>
            <c:errValType val="percentage"/>
            <c:noEndCap val="0"/>
            <c:val val="5"/>
          </c:errBars>
          <c:xVal>
            <c:numRef>
              <c:f>obliczenia!$A$3:$A$11</c:f>
              <c:numCache>
                <c:formatCode>0.00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obliczenia!$B$3:$B$11</c:f>
              <c:numCache>
                <c:formatCode>0.00</c:formatCode>
                <c:ptCount val="9"/>
                <c:pt idx="0">
                  <c:v>0</c:v>
                </c:pt>
                <c:pt idx="1">
                  <c:v>-0.35</c:v>
                </c:pt>
                <c:pt idx="2">
                  <c:v>-0.7</c:v>
                </c:pt>
                <c:pt idx="3">
                  <c:v>-1.06</c:v>
                </c:pt>
                <c:pt idx="4">
                  <c:v>-1.41</c:v>
                </c:pt>
                <c:pt idx="5">
                  <c:v>-1.77</c:v>
                </c:pt>
                <c:pt idx="6">
                  <c:v>-2.12</c:v>
                </c:pt>
                <c:pt idx="7">
                  <c:v>-2.48</c:v>
                </c:pt>
                <c:pt idx="8">
                  <c:v>-2.82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4450816"/>
        <c:axId val="74457088"/>
      </c:scatterChart>
      <c:valAx>
        <c:axId val="7445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pl-PL" sz="1400"/>
                  <a:t>U [V]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74457088"/>
        <c:crosses val="autoZero"/>
        <c:crossBetween val="midCat"/>
      </c:valAx>
      <c:valAx>
        <c:axId val="744570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pl-PL" sz="1400"/>
                  <a:t>I [mA]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744508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ABAD7-7ACA-44FD-9220-9F922FAB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3</cp:revision>
  <dcterms:created xsi:type="dcterms:W3CDTF">2012-05-16T13:32:00Z</dcterms:created>
  <dcterms:modified xsi:type="dcterms:W3CDTF">2012-05-16T13:45:00Z</dcterms:modified>
</cp:coreProperties>
</file>