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541C" w:rsidRDefault="003B265E">
      <w:bookmarkStart w:id="0" w:name="_GoBack"/>
      <w:r>
        <w:rPr>
          <w:noProof/>
          <w:lang w:eastAsia="pl-PL"/>
        </w:rPr>
        <w:drawing>
          <wp:anchor distT="0" distB="0" distL="114300" distR="114300" simplePos="0" relativeHeight="251658240" behindDoc="0" locked="0" layoutInCell="1" allowOverlap="1" wp14:anchorId="1DF16901" wp14:editId="51560CC6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9351645" cy="6126480"/>
            <wp:effectExtent l="0" t="0" r="20955" b="26670"/>
            <wp:wrapSquare wrapText="bothSides"/>
            <wp:docPr id="1" name="Wykres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A5541C" w:rsidRDefault="00A5541C">
      <w:pPr>
        <w:sectPr w:rsidR="00A5541C" w:rsidSect="003B265E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:rsidR="00950B9D" w:rsidRDefault="00A5541C">
      <w:r>
        <w:rPr>
          <w:noProof/>
          <w:lang w:eastAsia="pl-PL"/>
        </w:rPr>
        <w:lastRenderedPageBreak/>
        <w:drawing>
          <wp:anchor distT="0" distB="0" distL="114300" distR="114300" simplePos="0" relativeHeight="251659264" behindDoc="0" locked="0" layoutInCell="1" allowOverlap="1" wp14:anchorId="0C4E0DA8" wp14:editId="296E9011">
            <wp:simplePos x="0" y="0"/>
            <wp:positionH relativeFrom="column">
              <wp:posOffset>-474980</wp:posOffset>
            </wp:positionH>
            <wp:positionV relativeFrom="paragraph">
              <wp:posOffset>3770630</wp:posOffset>
            </wp:positionV>
            <wp:extent cx="6735445" cy="4553585"/>
            <wp:effectExtent l="0" t="0" r="27305" b="18415"/>
            <wp:wrapSquare wrapText="bothSides"/>
            <wp:docPr id="4" name="Wykres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l-PL"/>
        </w:rPr>
        <w:drawing>
          <wp:anchor distT="0" distB="0" distL="114300" distR="114300" simplePos="0" relativeHeight="251660288" behindDoc="0" locked="0" layoutInCell="1" allowOverlap="1" wp14:anchorId="4AA25874" wp14:editId="51282631">
            <wp:simplePos x="0" y="0"/>
            <wp:positionH relativeFrom="column">
              <wp:posOffset>-474980</wp:posOffset>
            </wp:positionH>
            <wp:positionV relativeFrom="paragraph">
              <wp:posOffset>-538480</wp:posOffset>
            </wp:positionV>
            <wp:extent cx="6735445" cy="4145915"/>
            <wp:effectExtent l="0" t="0" r="27305" b="26035"/>
            <wp:wrapSquare wrapText="bothSides"/>
            <wp:docPr id="5" name="Wykres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l-PL"/>
        </w:rPr>
        <w:t xml:space="preserve"> </w:t>
      </w:r>
    </w:p>
    <w:sectPr w:rsidR="00950B9D" w:rsidSect="00A5541C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050"/>
    <w:rsid w:val="0021023A"/>
    <w:rsid w:val="003B265E"/>
    <w:rsid w:val="005A6050"/>
    <w:rsid w:val="00950B9D"/>
    <w:rsid w:val="00951E57"/>
    <w:rsid w:val="009C5345"/>
    <w:rsid w:val="00A55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3B26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B265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3B26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B26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HP_G62-china_\Desktop\labfiz\wykresy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HP_G62-china_\Desktop\labfiz\wykresy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HP_G62-china_\Desktop\labfiz\wykresy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200"/>
            </a:pPr>
            <a:r>
              <a:rPr lang="pl-PL" sz="2000"/>
              <a:t>Wykres zależnosci oporu R od temperatury T</a:t>
            </a:r>
          </a:p>
          <a:p>
            <a:pPr>
              <a:defRPr sz="1200"/>
            </a:pPr>
            <a:r>
              <a:rPr lang="pl-PL" sz="1200" b="0"/>
              <a:t>(dla obu termistorów, dla ogrzewania i ochładzania)</a:t>
            </a:r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R1 ogrzewanie</c:v>
          </c:tx>
          <c:spPr>
            <a:ln w="28575">
              <a:noFill/>
            </a:ln>
          </c:spPr>
          <c:marker>
            <c:symbol val="circle"/>
            <c:size val="6"/>
            <c:spPr>
              <a:solidFill>
                <a:srgbClr val="FFC000"/>
              </a:solidFill>
            </c:spPr>
          </c:marker>
          <c:errBars>
            <c:errDir val="y"/>
            <c:errBarType val="both"/>
            <c:errValType val="percentage"/>
            <c:noEndCap val="0"/>
            <c:val val="0.5"/>
          </c:errBars>
          <c:errBars>
            <c:errDir val="x"/>
            <c:errBarType val="both"/>
            <c:errValType val="percentage"/>
            <c:noEndCap val="0"/>
            <c:val val="0.5"/>
          </c:errBars>
          <c:xVal>
            <c:numRef>
              <c:f>Arkusz1!$A$3:$A$20</c:f>
              <c:numCache>
                <c:formatCode>General</c:formatCode>
                <c:ptCount val="18"/>
                <c:pt idx="0">
                  <c:v>35</c:v>
                </c:pt>
                <c:pt idx="1">
                  <c:v>37</c:v>
                </c:pt>
                <c:pt idx="2">
                  <c:v>39</c:v>
                </c:pt>
                <c:pt idx="3">
                  <c:v>41</c:v>
                </c:pt>
                <c:pt idx="4">
                  <c:v>43</c:v>
                </c:pt>
                <c:pt idx="5">
                  <c:v>45</c:v>
                </c:pt>
                <c:pt idx="6">
                  <c:v>47</c:v>
                </c:pt>
                <c:pt idx="7">
                  <c:v>49</c:v>
                </c:pt>
                <c:pt idx="8">
                  <c:v>51</c:v>
                </c:pt>
                <c:pt idx="9">
                  <c:v>53</c:v>
                </c:pt>
                <c:pt idx="10">
                  <c:v>55</c:v>
                </c:pt>
                <c:pt idx="11">
                  <c:v>57</c:v>
                </c:pt>
                <c:pt idx="12">
                  <c:v>59</c:v>
                </c:pt>
                <c:pt idx="13">
                  <c:v>60.8</c:v>
                </c:pt>
                <c:pt idx="14">
                  <c:v>63</c:v>
                </c:pt>
                <c:pt idx="15">
                  <c:v>65</c:v>
                </c:pt>
                <c:pt idx="16">
                  <c:v>66.5</c:v>
                </c:pt>
                <c:pt idx="17">
                  <c:v>69.7</c:v>
                </c:pt>
              </c:numCache>
            </c:numRef>
          </c:xVal>
          <c:yVal>
            <c:numRef>
              <c:f>Arkusz1!$C$3:$C$20</c:f>
              <c:numCache>
                <c:formatCode>General</c:formatCode>
                <c:ptCount val="18"/>
                <c:pt idx="0">
                  <c:v>13.35</c:v>
                </c:pt>
                <c:pt idx="1">
                  <c:v>12.17</c:v>
                </c:pt>
                <c:pt idx="2">
                  <c:v>11.18</c:v>
                </c:pt>
                <c:pt idx="3">
                  <c:v>10.119999999999999</c:v>
                </c:pt>
                <c:pt idx="4">
                  <c:v>9.35</c:v>
                </c:pt>
                <c:pt idx="5">
                  <c:v>8.5299999999999994</c:v>
                </c:pt>
                <c:pt idx="6">
                  <c:v>7.87</c:v>
                </c:pt>
                <c:pt idx="7">
                  <c:v>7.33</c:v>
                </c:pt>
                <c:pt idx="8">
                  <c:v>6.63</c:v>
                </c:pt>
                <c:pt idx="9">
                  <c:v>6.13</c:v>
                </c:pt>
                <c:pt idx="10">
                  <c:v>5.72</c:v>
                </c:pt>
                <c:pt idx="11">
                  <c:v>5.25</c:v>
                </c:pt>
                <c:pt idx="12">
                  <c:v>4.88</c:v>
                </c:pt>
                <c:pt idx="13">
                  <c:v>4.5999999999999996</c:v>
                </c:pt>
                <c:pt idx="14">
                  <c:v>4.2</c:v>
                </c:pt>
                <c:pt idx="15">
                  <c:v>3.91</c:v>
                </c:pt>
                <c:pt idx="16">
                  <c:v>3.67</c:v>
                </c:pt>
                <c:pt idx="17">
                  <c:v>3.1</c:v>
                </c:pt>
              </c:numCache>
            </c:numRef>
          </c:yVal>
          <c:smooth val="0"/>
        </c:ser>
        <c:ser>
          <c:idx val="1"/>
          <c:order val="1"/>
          <c:tx>
            <c:v>R2 ogrzewanie</c:v>
          </c:tx>
          <c:spPr>
            <a:ln w="28575">
              <a:noFill/>
            </a:ln>
          </c:spPr>
          <c:marker>
            <c:symbol val="circle"/>
            <c:size val="6"/>
          </c:marker>
          <c:errBars>
            <c:errDir val="y"/>
            <c:errBarType val="both"/>
            <c:errValType val="percentage"/>
            <c:noEndCap val="0"/>
            <c:val val="0.5"/>
          </c:errBars>
          <c:errBars>
            <c:errDir val="x"/>
            <c:errBarType val="both"/>
            <c:errValType val="percentage"/>
            <c:noEndCap val="0"/>
            <c:val val="0.5"/>
          </c:errBars>
          <c:xVal>
            <c:numRef>
              <c:f>Arkusz1!$A$3:$A$20</c:f>
              <c:numCache>
                <c:formatCode>General</c:formatCode>
                <c:ptCount val="18"/>
                <c:pt idx="0">
                  <c:v>35</c:v>
                </c:pt>
                <c:pt idx="1">
                  <c:v>37</c:v>
                </c:pt>
                <c:pt idx="2">
                  <c:v>39</c:v>
                </c:pt>
                <c:pt idx="3">
                  <c:v>41</c:v>
                </c:pt>
                <c:pt idx="4">
                  <c:v>43</c:v>
                </c:pt>
                <c:pt idx="5">
                  <c:v>45</c:v>
                </c:pt>
                <c:pt idx="6">
                  <c:v>47</c:v>
                </c:pt>
                <c:pt idx="7">
                  <c:v>49</c:v>
                </c:pt>
                <c:pt idx="8">
                  <c:v>51</c:v>
                </c:pt>
                <c:pt idx="9">
                  <c:v>53</c:v>
                </c:pt>
                <c:pt idx="10">
                  <c:v>55</c:v>
                </c:pt>
                <c:pt idx="11">
                  <c:v>57</c:v>
                </c:pt>
                <c:pt idx="12">
                  <c:v>59</c:v>
                </c:pt>
                <c:pt idx="13">
                  <c:v>60.8</c:v>
                </c:pt>
                <c:pt idx="14">
                  <c:v>63</c:v>
                </c:pt>
                <c:pt idx="15">
                  <c:v>65</c:v>
                </c:pt>
                <c:pt idx="16">
                  <c:v>66.5</c:v>
                </c:pt>
                <c:pt idx="17">
                  <c:v>69.7</c:v>
                </c:pt>
              </c:numCache>
            </c:numRef>
          </c:xVal>
          <c:yVal>
            <c:numRef>
              <c:f>Arkusz1!$E$3:$E$20</c:f>
              <c:numCache>
                <c:formatCode>General</c:formatCode>
                <c:ptCount val="18"/>
                <c:pt idx="0">
                  <c:v>20</c:v>
                </c:pt>
                <c:pt idx="1">
                  <c:v>18.2</c:v>
                </c:pt>
                <c:pt idx="2">
                  <c:v>16.8</c:v>
                </c:pt>
                <c:pt idx="3">
                  <c:v>15.2</c:v>
                </c:pt>
                <c:pt idx="4">
                  <c:v>14</c:v>
                </c:pt>
                <c:pt idx="5">
                  <c:v>12.8</c:v>
                </c:pt>
                <c:pt idx="6">
                  <c:v>11.8</c:v>
                </c:pt>
                <c:pt idx="7">
                  <c:v>10.9</c:v>
                </c:pt>
                <c:pt idx="8">
                  <c:v>9.9</c:v>
                </c:pt>
                <c:pt idx="9">
                  <c:v>9.1999999999999993</c:v>
                </c:pt>
                <c:pt idx="10">
                  <c:v>8.5</c:v>
                </c:pt>
                <c:pt idx="11">
                  <c:v>7.8</c:v>
                </c:pt>
                <c:pt idx="12">
                  <c:v>7.3</c:v>
                </c:pt>
                <c:pt idx="13">
                  <c:v>6.8</c:v>
                </c:pt>
                <c:pt idx="14">
                  <c:v>6.3</c:v>
                </c:pt>
                <c:pt idx="15">
                  <c:v>5.8</c:v>
                </c:pt>
                <c:pt idx="16">
                  <c:v>5.4</c:v>
                </c:pt>
                <c:pt idx="17">
                  <c:v>4.5</c:v>
                </c:pt>
              </c:numCache>
            </c:numRef>
          </c:yVal>
          <c:smooth val="0"/>
        </c:ser>
        <c:ser>
          <c:idx val="2"/>
          <c:order val="2"/>
          <c:tx>
            <c:v>R1 ochładzanie</c:v>
          </c:tx>
          <c:spPr>
            <a:ln w="28575">
              <a:noFill/>
            </a:ln>
          </c:spPr>
          <c:marker>
            <c:symbol val="square"/>
            <c:size val="6"/>
            <c:spPr>
              <a:solidFill>
                <a:srgbClr val="00B0F0"/>
              </a:solidFill>
            </c:spPr>
          </c:marker>
          <c:errBars>
            <c:errDir val="y"/>
            <c:errBarType val="both"/>
            <c:errValType val="percentage"/>
            <c:noEndCap val="0"/>
            <c:val val="0.5"/>
          </c:errBars>
          <c:errBars>
            <c:errDir val="x"/>
            <c:errBarType val="both"/>
            <c:errValType val="percentage"/>
            <c:noEndCap val="0"/>
            <c:val val="0.5"/>
          </c:errBars>
          <c:xVal>
            <c:numRef>
              <c:f>Arkusz1!$K$3:$K$20</c:f>
              <c:numCache>
                <c:formatCode>General</c:formatCode>
                <c:ptCount val="18"/>
                <c:pt idx="0">
                  <c:v>69.7</c:v>
                </c:pt>
                <c:pt idx="1">
                  <c:v>67.099999999999994</c:v>
                </c:pt>
                <c:pt idx="2">
                  <c:v>64.7</c:v>
                </c:pt>
                <c:pt idx="3">
                  <c:v>63</c:v>
                </c:pt>
                <c:pt idx="4">
                  <c:v>60.7</c:v>
                </c:pt>
                <c:pt idx="5">
                  <c:v>58.6</c:v>
                </c:pt>
                <c:pt idx="6">
                  <c:v>57</c:v>
                </c:pt>
                <c:pt idx="7">
                  <c:v>55.1</c:v>
                </c:pt>
                <c:pt idx="8">
                  <c:v>53</c:v>
                </c:pt>
                <c:pt idx="9">
                  <c:v>50.7</c:v>
                </c:pt>
                <c:pt idx="10">
                  <c:v>49</c:v>
                </c:pt>
                <c:pt idx="11">
                  <c:v>47.2</c:v>
                </c:pt>
                <c:pt idx="12">
                  <c:v>44.8</c:v>
                </c:pt>
                <c:pt idx="13">
                  <c:v>43.2</c:v>
                </c:pt>
                <c:pt idx="14">
                  <c:v>40.799999999999997</c:v>
                </c:pt>
                <c:pt idx="15">
                  <c:v>39.1</c:v>
                </c:pt>
                <c:pt idx="16">
                  <c:v>37.200000000000003</c:v>
                </c:pt>
                <c:pt idx="17">
                  <c:v>35</c:v>
                </c:pt>
              </c:numCache>
            </c:numRef>
          </c:xVal>
          <c:yVal>
            <c:numRef>
              <c:f>Arkusz1!$M$3:$M$20</c:f>
              <c:numCache>
                <c:formatCode>General</c:formatCode>
                <c:ptCount val="18"/>
                <c:pt idx="0">
                  <c:v>3.1</c:v>
                </c:pt>
                <c:pt idx="1">
                  <c:v>3.64</c:v>
                </c:pt>
                <c:pt idx="2">
                  <c:v>4.0199999999999996</c:v>
                </c:pt>
                <c:pt idx="3">
                  <c:v>4.2699999999999996</c:v>
                </c:pt>
                <c:pt idx="4">
                  <c:v>4.6500000000000004</c:v>
                </c:pt>
                <c:pt idx="5">
                  <c:v>5.07</c:v>
                </c:pt>
                <c:pt idx="6">
                  <c:v>5.47</c:v>
                </c:pt>
                <c:pt idx="7">
                  <c:v>5.87</c:v>
                </c:pt>
                <c:pt idx="8">
                  <c:v>6.4</c:v>
                </c:pt>
                <c:pt idx="9">
                  <c:v>6.82</c:v>
                </c:pt>
                <c:pt idx="10">
                  <c:v>7.59</c:v>
                </c:pt>
                <c:pt idx="11">
                  <c:v>8.0299999999999994</c:v>
                </c:pt>
                <c:pt idx="12">
                  <c:v>8.92</c:v>
                </c:pt>
                <c:pt idx="13">
                  <c:v>9.5500000000000007</c:v>
                </c:pt>
                <c:pt idx="14">
                  <c:v>10.55</c:v>
                </c:pt>
                <c:pt idx="15">
                  <c:v>11.37</c:v>
                </c:pt>
                <c:pt idx="16">
                  <c:v>12.28</c:v>
                </c:pt>
                <c:pt idx="17">
                  <c:v>13.55</c:v>
                </c:pt>
              </c:numCache>
            </c:numRef>
          </c:yVal>
          <c:smooth val="0"/>
        </c:ser>
        <c:ser>
          <c:idx val="3"/>
          <c:order val="3"/>
          <c:tx>
            <c:v>R2 ochładzanie</c:v>
          </c:tx>
          <c:spPr>
            <a:ln w="28575">
              <a:noFill/>
            </a:ln>
          </c:spPr>
          <c:marker>
            <c:symbol val="square"/>
            <c:size val="6"/>
            <c:spPr>
              <a:solidFill>
                <a:schemeClr val="tx2"/>
              </a:solidFill>
            </c:spPr>
          </c:marker>
          <c:errBars>
            <c:errDir val="y"/>
            <c:errBarType val="both"/>
            <c:errValType val="percentage"/>
            <c:noEndCap val="0"/>
            <c:val val="0.5"/>
          </c:errBars>
          <c:errBars>
            <c:errDir val="x"/>
            <c:errBarType val="both"/>
            <c:errValType val="percentage"/>
            <c:noEndCap val="0"/>
            <c:val val="0.5"/>
          </c:errBars>
          <c:xVal>
            <c:numRef>
              <c:f>Arkusz1!$K$3:$K$20</c:f>
              <c:numCache>
                <c:formatCode>General</c:formatCode>
                <c:ptCount val="18"/>
                <c:pt idx="0">
                  <c:v>69.7</c:v>
                </c:pt>
                <c:pt idx="1">
                  <c:v>67.099999999999994</c:v>
                </c:pt>
                <c:pt idx="2">
                  <c:v>64.7</c:v>
                </c:pt>
                <c:pt idx="3">
                  <c:v>63</c:v>
                </c:pt>
                <c:pt idx="4">
                  <c:v>60.7</c:v>
                </c:pt>
                <c:pt idx="5">
                  <c:v>58.6</c:v>
                </c:pt>
                <c:pt idx="6">
                  <c:v>57</c:v>
                </c:pt>
                <c:pt idx="7">
                  <c:v>55.1</c:v>
                </c:pt>
                <c:pt idx="8">
                  <c:v>53</c:v>
                </c:pt>
                <c:pt idx="9">
                  <c:v>50.7</c:v>
                </c:pt>
                <c:pt idx="10">
                  <c:v>49</c:v>
                </c:pt>
                <c:pt idx="11">
                  <c:v>47.2</c:v>
                </c:pt>
                <c:pt idx="12">
                  <c:v>44.8</c:v>
                </c:pt>
                <c:pt idx="13">
                  <c:v>43.2</c:v>
                </c:pt>
                <c:pt idx="14">
                  <c:v>40.799999999999997</c:v>
                </c:pt>
                <c:pt idx="15">
                  <c:v>39.1</c:v>
                </c:pt>
                <c:pt idx="16">
                  <c:v>37.200000000000003</c:v>
                </c:pt>
                <c:pt idx="17">
                  <c:v>35</c:v>
                </c:pt>
              </c:numCache>
            </c:numRef>
          </c:xVal>
          <c:yVal>
            <c:numRef>
              <c:f>Arkusz1!$O$3:$O$20</c:f>
              <c:numCache>
                <c:formatCode>General</c:formatCode>
                <c:ptCount val="18"/>
                <c:pt idx="0">
                  <c:v>4.5</c:v>
                </c:pt>
                <c:pt idx="1">
                  <c:v>5.4</c:v>
                </c:pt>
                <c:pt idx="2">
                  <c:v>6</c:v>
                </c:pt>
                <c:pt idx="3">
                  <c:v>6.3</c:v>
                </c:pt>
                <c:pt idx="4">
                  <c:v>6.9</c:v>
                </c:pt>
                <c:pt idx="5">
                  <c:v>7.5</c:v>
                </c:pt>
                <c:pt idx="6">
                  <c:v>8</c:v>
                </c:pt>
                <c:pt idx="7">
                  <c:v>8.8000000000000007</c:v>
                </c:pt>
                <c:pt idx="8">
                  <c:v>9.5</c:v>
                </c:pt>
                <c:pt idx="9">
                  <c:v>10.199999999999999</c:v>
                </c:pt>
                <c:pt idx="10">
                  <c:v>11.3</c:v>
                </c:pt>
                <c:pt idx="11">
                  <c:v>12</c:v>
                </c:pt>
                <c:pt idx="12">
                  <c:v>13.3</c:v>
                </c:pt>
                <c:pt idx="13">
                  <c:v>14.3</c:v>
                </c:pt>
                <c:pt idx="14">
                  <c:v>15.8</c:v>
                </c:pt>
                <c:pt idx="15">
                  <c:v>17</c:v>
                </c:pt>
                <c:pt idx="16">
                  <c:v>18.399999999999999</c:v>
                </c:pt>
                <c:pt idx="17">
                  <c:v>20.02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0174464"/>
        <c:axId val="100180352"/>
      </c:scatterChart>
      <c:valAx>
        <c:axId val="100174464"/>
        <c:scaling>
          <c:orientation val="minMax"/>
          <c:max val="71"/>
          <c:min val="32"/>
        </c:scaling>
        <c:delete val="0"/>
        <c:axPos val="b"/>
        <c:numFmt formatCode="General" sourceLinked="1"/>
        <c:majorTickMark val="out"/>
        <c:minorTickMark val="none"/>
        <c:tickLblPos val="nextTo"/>
        <c:crossAx val="100180352"/>
        <c:crosses val="autoZero"/>
        <c:crossBetween val="midCat"/>
      </c:valAx>
      <c:valAx>
        <c:axId val="100180352"/>
        <c:scaling>
          <c:orientation val="minMax"/>
          <c:max val="21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00174464"/>
        <c:crosses val="autoZero"/>
        <c:crossBetween val="midCat"/>
      </c:valAx>
    </c:plotArea>
    <c:legend>
      <c:legendPos val="r"/>
      <c:overlay val="0"/>
      <c:txPr>
        <a:bodyPr/>
        <a:lstStyle/>
        <a:p>
          <a:pPr>
            <a:defRPr sz="1200"/>
          </a:pPr>
          <a:endParaRPr lang="pl-PL"/>
        </a:p>
      </c:txPr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pl-PL"/>
              <a:t>Wykres zależności</a:t>
            </a:r>
            <a:r>
              <a:rPr lang="pl-PL" baseline="0"/>
              <a:t> ln(R) od odwrotności temperatury</a:t>
            </a:r>
          </a:p>
          <a:p>
            <a:pPr>
              <a:defRPr/>
            </a:pPr>
            <a:r>
              <a:rPr lang="pl-PL" sz="1100" b="0"/>
              <a:t>(dla obu termistorów, dla ochładzania)</a:t>
            </a:r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R1</c:v>
          </c:tx>
          <c:spPr>
            <a:ln w="28575">
              <a:noFill/>
            </a:ln>
          </c:spPr>
          <c:marker>
            <c:symbol val="square"/>
            <c:size val="6"/>
          </c:marker>
          <c:trendline>
            <c:trendlineType val="linear"/>
            <c:dispRSqr val="0"/>
            <c:dispEq val="1"/>
            <c:trendlineLbl>
              <c:layout>
                <c:manualLayout>
                  <c:x val="5.0261157656918028E-2"/>
                  <c:y val="0.18553839539049335"/>
                </c:manualLayout>
              </c:layout>
              <c:numFmt formatCode="General" sourceLinked="0"/>
            </c:trendlineLbl>
          </c:trendline>
          <c:xVal>
            <c:numRef>
              <c:f>Arkusz1!$Q$3:$Q$20</c:f>
              <c:numCache>
                <c:formatCode>General</c:formatCode>
                <c:ptCount val="18"/>
                <c:pt idx="0">
                  <c:v>2.9167274318214966E-3</c:v>
                </c:pt>
                <c:pt idx="1">
                  <c:v>2.9390154298310064E-3</c:v>
                </c:pt>
                <c:pt idx="2">
                  <c:v>2.9598934438360221E-3</c:v>
                </c:pt>
                <c:pt idx="3">
                  <c:v>2.974862412613417E-3</c:v>
                </c:pt>
                <c:pt idx="4">
                  <c:v>2.9953571963456647E-3</c:v>
                </c:pt>
                <c:pt idx="5">
                  <c:v>3.0143180105501131E-3</c:v>
                </c:pt>
                <c:pt idx="6">
                  <c:v>3.0289262456459189E-3</c:v>
                </c:pt>
                <c:pt idx="7">
                  <c:v>3.0464584920030465E-3</c:v>
                </c:pt>
                <c:pt idx="8">
                  <c:v>3.0660738923808067E-3</c:v>
                </c:pt>
                <c:pt idx="9">
                  <c:v>3.0878493129535283E-3</c:v>
                </c:pt>
                <c:pt idx="10">
                  <c:v>3.1041440322830982E-3</c:v>
                </c:pt>
                <c:pt idx="11">
                  <c:v>3.1215857655689096E-3</c:v>
                </c:pt>
                <c:pt idx="12">
                  <c:v>3.1451486082717411E-3</c:v>
                </c:pt>
                <c:pt idx="13">
                  <c:v>3.1610557926347402E-3</c:v>
                </c:pt>
                <c:pt idx="14">
                  <c:v>3.1852205765249245E-3</c:v>
                </c:pt>
                <c:pt idx="15">
                  <c:v>3.2025620496397116E-3</c:v>
                </c:pt>
                <c:pt idx="16">
                  <c:v>3.2221685194135656E-3</c:v>
                </c:pt>
                <c:pt idx="17">
                  <c:v>3.2451728054518907E-3</c:v>
                </c:pt>
              </c:numCache>
            </c:numRef>
          </c:xVal>
          <c:yVal>
            <c:numRef>
              <c:f>Arkusz1!$R$3:$R$20</c:f>
              <c:numCache>
                <c:formatCode>General</c:formatCode>
                <c:ptCount val="18"/>
                <c:pt idx="0">
                  <c:v>1.1314021114911006</c:v>
                </c:pt>
                <c:pt idx="1">
                  <c:v>1.2919836816486494</c:v>
                </c:pt>
                <c:pt idx="2">
                  <c:v>1.3912819026309295</c:v>
                </c:pt>
                <c:pt idx="3">
                  <c:v>1.451613827240533</c:v>
                </c:pt>
                <c:pt idx="4">
                  <c:v>1.536867219599265</c:v>
                </c:pt>
                <c:pt idx="5">
                  <c:v>1.6233408176030919</c:v>
                </c:pt>
                <c:pt idx="6">
                  <c:v>1.6992786164338898</c:v>
                </c:pt>
                <c:pt idx="7">
                  <c:v>1.7698546338400052</c:v>
                </c:pt>
                <c:pt idx="8">
                  <c:v>1.8562979903656263</c:v>
                </c:pt>
                <c:pt idx="9">
                  <c:v>1.9198594718553708</c:v>
                </c:pt>
                <c:pt idx="10">
                  <c:v>2.0268315914075385</c:v>
                </c:pt>
                <c:pt idx="11">
                  <c:v>2.0831845279586703</c:v>
                </c:pt>
                <c:pt idx="12">
                  <c:v>2.1882959465919178</c:v>
                </c:pt>
                <c:pt idx="13">
                  <c:v>2.256541154492639</c:v>
                </c:pt>
                <c:pt idx="14">
                  <c:v>2.3561258599220753</c:v>
                </c:pt>
                <c:pt idx="15">
                  <c:v>2.4309783077624445</c:v>
                </c:pt>
                <c:pt idx="16">
                  <c:v>2.5079719227189963</c:v>
                </c:pt>
                <c:pt idx="17">
                  <c:v>2.6063865473257102</c:v>
                </c:pt>
              </c:numCache>
            </c:numRef>
          </c:yVal>
          <c:smooth val="0"/>
        </c:ser>
        <c:ser>
          <c:idx val="1"/>
          <c:order val="1"/>
          <c:tx>
            <c:v>R2</c:v>
          </c:tx>
          <c:spPr>
            <a:ln w="28575">
              <a:noFill/>
            </a:ln>
          </c:spPr>
          <c:marker>
            <c:symbol val="square"/>
            <c:size val="6"/>
          </c:marker>
          <c:trendline>
            <c:trendlineType val="linear"/>
            <c:dispRSqr val="0"/>
            <c:dispEq val="1"/>
            <c:trendlineLbl>
              <c:layout>
                <c:manualLayout>
                  <c:x val="-0.24575513029081422"/>
                  <c:y val="0.11850388228269747"/>
                </c:manualLayout>
              </c:layout>
              <c:numFmt formatCode="General" sourceLinked="0"/>
            </c:trendlineLbl>
          </c:trendline>
          <c:xVal>
            <c:numRef>
              <c:f>Arkusz1!$Q$3:$Q$20</c:f>
              <c:numCache>
                <c:formatCode>General</c:formatCode>
                <c:ptCount val="18"/>
                <c:pt idx="0">
                  <c:v>2.9167274318214966E-3</c:v>
                </c:pt>
                <c:pt idx="1">
                  <c:v>2.9390154298310064E-3</c:v>
                </c:pt>
                <c:pt idx="2">
                  <c:v>2.9598934438360221E-3</c:v>
                </c:pt>
                <c:pt idx="3">
                  <c:v>2.974862412613417E-3</c:v>
                </c:pt>
                <c:pt idx="4">
                  <c:v>2.9953571963456647E-3</c:v>
                </c:pt>
                <c:pt idx="5">
                  <c:v>3.0143180105501131E-3</c:v>
                </c:pt>
                <c:pt idx="6">
                  <c:v>3.0289262456459189E-3</c:v>
                </c:pt>
                <c:pt idx="7">
                  <c:v>3.0464584920030465E-3</c:v>
                </c:pt>
                <c:pt idx="8">
                  <c:v>3.0660738923808067E-3</c:v>
                </c:pt>
                <c:pt idx="9">
                  <c:v>3.0878493129535283E-3</c:v>
                </c:pt>
                <c:pt idx="10">
                  <c:v>3.1041440322830982E-3</c:v>
                </c:pt>
                <c:pt idx="11">
                  <c:v>3.1215857655689096E-3</c:v>
                </c:pt>
                <c:pt idx="12">
                  <c:v>3.1451486082717411E-3</c:v>
                </c:pt>
                <c:pt idx="13">
                  <c:v>3.1610557926347402E-3</c:v>
                </c:pt>
                <c:pt idx="14">
                  <c:v>3.1852205765249245E-3</c:v>
                </c:pt>
                <c:pt idx="15">
                  <c:v>3.2025620496397116E-3</c:v>
                </c:pt>
                <c:pt idx="16">
                  <c:v>3.2221685194135656E-3</c:v>
                </c:pt>
                <c:pt idx="17">
                  <c:v>3.2451728054518907E-3</c:v>
                </c:pt>
              </c:numCache>
            </c:numRef>
          </c:xVal>
          <c:yVal>
            <c:numRef>
              <c:f>Arkusz1!$S$3:$S$20</c:f>
              <c:numCache>
                <c:formatCode>General</c:formatCode>
                <c:ptCount val="18"/>
                <c:pt idx="0">
                  <c:v>1.5040773967762742</c:v>
                </c:pt>
                <c:pt idx="1">
                  <c:v>1.6863989535702288</c:v>
                </c:pt>
                <c:pt idx="2">
                  <c:v>1.791759469228055</c:v>
                </c:pt>
                <c:pt idx="3">
                  <c:v>1.8405496333974869</c:v>
                </c:pt>
                <c:pt idx="4">
                  <c:v>1.9315214116032138</c:v>
                </c:pt>
                <c:pt idx="5">
                  <c:v>2.0149030205422647</c:v>
                </c:pt>
                <c:pt idx="6">
                  <c:v>2.0794415416798357</c:v>
                </c:pt>
                <c:pt idx="7">
                  <c:v>2.174751721484161</c:v>
                </c:pt>
                <c:pt idx="8">
                  <c:v>2.2512917986064953</c:v>
                </c:pt>
                <c:pt idx="9">
                  <c:v>2.3223877202902252</c:v>
                </c:pt>
                <c:pt idx="10">
                  <c:v>2.4248027257182949</c:v>
                </c:pt>
                <c:pt idx="11">
                  <c:v>2.4849066497880004</c:v>
                </c:pt>
                <c:pt idx="12">
                  <c:v>2.5877640352277083</c:v>
                </c:pt>
                <c:pt idx="13">
                  <c:v>2.6602595372658615</c:v>
                </c:pt>
                <c:pt idx="14">
                  <c:v>2.760009940032921</c:v>
                </c:pt>
                <c:pt idx="15">
                  <c:v>2.8332133440562162</c:v>
                </c:pt>
                <c:pt idx="16">
                  <c:v>2.91235066461494</c:v>
                </c:pt>
                <c:pt idx="17">
                  <c:v>2.9967317738870745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2861184"/>
        <c:axId val="112862720"/>
      </c:scatterChart>
      <c:valAx>
        <c:axId val="112861184"/>
        <c:scaling>
          <c:orientation val="minMax"/>
          <c:max val="3.3000000000000008E-3"/>
        </c:scaling>
        <c:delete val="0"/>
        <c:axPos val="b"/>
        <c:numFmt formatCode="General" sourceLinked="1"/>
        <c:majorTickMark val="out"/>
        <c:minorTickMark val="none"/>
        <c:tickLblPos val="nextTo"/>
        <c:crossAx val="112862720"/>
        <c:crosses val="autoZero"/>
        <c:crossBetween val="midCat"/>
      </c:valAx>
      <c:valAx>
        <c:axId val="112862720"/>
        <c:scaling>
          <c:orientation val="minMax"/>
          <c:max val="3.1"/>
          <c:min val="0.9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12861184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pl-PL"/>
              <a:t>Wykres zależności</a:t>
            </a:r>
            <a:r>
              <a:rPr lang="pl-PL" baseline="0"/>
              <a:t> ln(R) od odwrotności temperatury</a:t>
            </a:r>
          </a:p>
          <a:p>
            <a:pPr>
              <a:defRPr/>
            </a:pPr>
            <a:r>
              <a:rPr lang="pl-PL" sz="1100" b="0"/>
              <a:t>(dla obu termistorów, dla ogrzewania)</a:t>
            </a:r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R1</c:v>
          </c:tx>
          <c:spPr>
            <a:ln w="28575">
              <a:noFill/>
            </a:ln>
          </c:spPr>
          <c:marker>
            <c:symbol val="circle"/>
            <c:size val="6"/>
          </c:marker>
          <c:trendline>
            <c:trendlineType val="linear"/>
            <c:dispRSqr val="0"/>
            <c:dispEq val="1"/>
            <c:trendlineLbl>
              <c:layout>
                <c:manualLayout>
                  <c:x val="2.7557024593150192E-2"/>
                  <c:y val="0.18725296859727283"/>
                </c:manualLayout>
              </c:layout>
              <c:numFmt formatCode="General" sourceLinked="0"/>
            </c:trendlineLbl>
          </c:trendline>
          <c:xVal>
            <c:numRef>
              <c:f>Arkusz1!$G$3:$G$20</c:f>
              <c:numCache>
                <c:formatCode>General</c:formatCode>
                <c:ptCount val="18"/>
                <c:pt idx="0">
                  <c:v>3.2451728054518907E-3</c:v>
                </c:pt>
                <c:pt idx="1">
                  <c:v>3.224246332419797E-3</c:v>
                </c:pt>
                <c:pt idx="2">
                  <c:v>3.2035880185808108E-3</c:v>
                </c:pt>
                <c:pt idx="3">
                  <c:v>3.1831927423205475E-3</c:v>
                </c:pt>
                <c:pt idx="4">
                  <c:v>3.1630555116242292E-3</c:v>
                </c:pt>
                <c:pt idx="5">
                  <c:v>3.1431714600031434E-3</c:v>
                </c:pt>
                <c:pt idx="6">
                  <c:v>3.1235358425737939E-3</c:v>
                </c:pt>
                <c:pt idx="7">
                  <c:v>3.1041440322830982E-3</c:v>
                </c:pt>
                <c:pt idx="8">
                  <c:v>3.0849915162733305E-3</c:v>
                </c:pt>
                <c:pt idx="9">
                  <c:v>3.0660738923808067E-3</c:v>
                </c:pt>
                <c:pt idx="10">
                  <c:v>3.0473868657626088E-3</c:v>
                </c:pt>
                <c:pt idx="11">
                  <c:v>3.0289262456459189E-3</c:v>
                </c:pt>
                <c:pt idx="12">
                  <c:v>3.0106879421947915E-3</c:v>
                </c:pt>
                <c:pt idx="13">
                  <c:v>2.9944602485402006E-3</c:v>
                </c:pt>
                <c:pt idx="14">
                  <c:v>2.974862412613417E-3</c:v>
                </c:pt>
                <c:pt idx="15">
                  <c:v>2.9572674848440043E-3</c:v>
                </c:pt>
                <c:pt idx="16">
                  <c:v>2.9442072721919624E-3</c:v>
                </c:pt>
                <c:pt idx="17">
                  <c:v>2.9167274318214966E-3</c:v>
                </c:pt>
              </c:numCache>
            </c:numRef>
          </c:xVal>
          <c:yVal>
            <c:numRef>
              <c:f>Arkusz1!$H$3:$H$20</c:f>
              <c:numCache>
                <c:formatCode>General</c:formatCode>
                <c:ptCount val="18"/>
                <c:pt idx="0">
                  <c:v>2.5915163848462583</c:v>
                </c:pt>
                <c:pt idx="1">
                  <c:v>2.4989739069994359</c:v>
                </c:pt>
                <c:pt idx="2">
                  <c:v>2.4141264677269532</c:v>
                </c:pt>
                <c:pt idx="3">
                  <c:v>2.3145136638593193</c:v>
                </c:pt>
                <c:pt idx="4">
                  <c:v>2.2353763433005955</c:v>
                </c:pt>
                <c:pt idx="5">
                  <c:v>2.1435893615035875</c:v>
                </c:pt>
                <c:pt idx="6">
                  <c:v>2.0630580624293118</c:v>
                </c:pt>
                <c:pt idx="7">
                  <c:v>1.9919755158985601</c:v>
                </c:pt>
                <c:pt idx="8">
                  <c:v>1.8916048041977711</c:v>
                </c:pt>
                <c:pt idx="9">
                  <c:v>1.81319474994812</c:v>
                </c:pt>
                <c:pt idx="10">
                  <c:v>1.7439688053917064</c:v>
                </c:pt>
                <c:pt idx="11">
                  <c:v>1.6582280766035324</c:v>
                </c:pt>
                <c:pt idx="12">
                  <c:v>1.5851452198650557</c:v>
                </c:pt>
                <c:pt idx="13">
                  <c:v>1.5260563034950492</c:v>
                </c:pt>
                <c:pt idx="14">
                  <c:v>1.4350845252893227</c:v>
                </c:pt>
                <c:pt idx="15">
                  <c:v>1.3635373739972745</c:v>
                </c:pt>
                <c:pt idx="16">
                  <c:v>1.3001916620664788</c:v>
                </c:pt>
                <c:pt idx="17">
                  <c:v>1.1314021114911006</c:v>
                </c:pt>
              </c:numCache>
            </c:numRef>
          </c:yVal>
          <c:smooth val="0"/>
        </c:ser>
        <c:ser>
          <c:idx val="1"/>
          <c:order val="1"/>
          <c:tx>
            <c:v>R2</c:v>
          </c:tx>
          <c:spPr>
            <a:ln w="28575">
              <a:noFill/>
            </a:ln>
          </c:spPr>
          <c:marker>
            <c:symbol val="circle"/>
            <c:size val="6"/>
          </c:marker>
          <c:trendline>
            <c:trendlineType val="linear"/>
            <c:dispRSqr val="0"/>
            <c:dispEq val="1"/>
            <c:trendlineLbl>
              <c:layout>
                <c:manualLayout>
                  <c:x val="-0.18927019269340528"/>
                  <c:y val="0.10870744319227336"/>
                </c:manualLayout>
              </c:layout>
              <c:numFmt formatCode="General" sourceLinked="0"/>
            </c:trendlineLbl>
          </c:trendline>
          <c:xVal>
            <c:numRef>
              <c:f>Arkusz1!$G$3:$G$20</c:f>
              <c:numCache>
                <c:formatCode>General</c:formatCode>
                <c:ptCount val="18"/>
                <c:pt idx="0">
                  <c:v>3.2451728054518907E-3</c:v>
                </c:pt>
                <c:pt idx="1">
                  <c:v>3.224246332419797E-3</c:v>
                </c:pt>
                <c:pt idx="2">
                  <c:v>3.2035880185808108E-3</c:v>
                </c:pt>
                <c:pt idx="3">
                  <c:v>3.1831927423205475E-3</c:v>
                </c:pt>
                <c:pt idx="4">
                  <c:v>3.1630555116242292E-3</c:v>
                </c:pt>
                <c:pt idx="5">
                  <c:v>3.1431714600031434E-3</c:v>
                </c:pt>
                <c:pt idx="6">
                  <c:v>3.1235358425737939E-3</c:v>
                </c:pt>
                <c:pt idx="7">
                  <c:v>3.1041440322830982E-3</c:v>
                </c:pt>
                <c:pt idx="8">
                  <c:v>3.0849915162733305E-3</c:v>
                </c:pt>
                <c:pt idx="9">
                  <c:v>3.0660738923808067E-3</c:v>
                </c:pt>
                <c:pt idx="10">
                  <c:v>3.0473868657626088E-3</c:v>
                </c:pt>
                <c:pt idx="11">
                  <c:v>3.0289262456459189E-3</c:v>
                </c:pt>
                <c:pt idx="12">
                  <c:v>3.0106879421947915E-3</c:v>
                </c:pt>
                <c:pt idx="13">
                  <c:v>2.9944602485402006E-3</c:v>
                </c:pt>
                <c:pt idx="14">
                  <c:v>2.974862412613417E-3</c:v>
                </c:pt>
                <c:pt idx="15">
                  <c:v>2.9572674848440043E-3</c:v>
                </c:pt>
                <c:pt idx="16">
                  <c:v>2.9442072721919624E-3</c:v>
                </c:pt>
                <c:pt idx="17">
                  <c:v>2.9167274318214966E-3</c:v>
                </c:pt>
              </c:numCache>
            </c:numRef>
          </c:xVal>
          <c:yVal>
            <c:numRef>
              <c:f>Arkusz1!$I$3:$I$20</c:f>
              <c:numCache>
                <c:formatCode>General</c:formatCode>
                <c:ptCount val="18"/>
                <c:pt idx="0">
                  <c:v>2.9957322735539909</c:v>
                </c:pt>
                <c:pt idx="1">
                  <c:v>2.9014215940827497</c:v>
                </c:pt>
                <c:pt idx="2">
                  <c:v>2.8213788864092133</c:v>
                </c:pt>
                <c:pt idx="3">
                  <c:v>2.7212954278522306</c:v>
                </c:pt>
                <c:pt idx="4">
                  <c:v>2.6390573296152584</c:v>
                </c:pt>
                <c:pt idx="5">
                  <c:v>2.5494451709255714</c:v>
                </c:pt>
                <c:pt idx="6">
                  <c:v>2.4680995314716192</c:v>
                </c:pt>
                <c:pt idx="7">
                  <c:v>2.388762789235098</c:v>
                </c:pt>
                <c:pt idx="8">
                  <c:v>2.2925347571405443</c:v>
                </c:pt>
                <c:pt idx="9">
                  <c:v>2.2192034840549946</c:v>
                </c:pt>
                <c:pt idx="10">
                  <c:v>2.1400661634962708</c:v>
                </c:pt>
                <c:pt idx="11">
                  <c:v>2.0541237336955462</c:v>
                </c:pt>
                <c:pt idx="12">
                  <c:v>1.9878743481543455</c:v>
                </c:pt>
                <c:pt idx="13">
                  <c:v>1.9169226121820611</c:v>
                </c:pt>
                <c:pt idx="14">
                  <c:v>1.8405496333974869</c:v>
                </c:pt>
                <c:pt idx="15">
                  <c:v>1.7578579175523736</c:v>
                </c:pt>
                <c:pt idx="16">
                  <c:v>1.6863989535702288</c:v>
                </c:pt>
                <c:pt idx="17">
                  <c:v>1.5040773967762742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2899584"/>
        <c:axId val="112901120"/>
      </c:scatterChart>
      <c:valAx>
        <c:axId val="11289958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12901120"/>
        <c:crosses val="autoZero"/>
        <c:crossBetween val="midCat"/>
      </c:valAx>
      <c:valAx>
        <c:axId val="112901120"/>
        <c:scaling>
          <c:orientation val="minMax"/>
          <c:max val="3.1"/>
          <c:min val="0.9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12899584"/>
        <c:crosses val="autoZero"/>
        <c:crossBetween val="midCat"/>
      </c:valAx>
    </c:plotArea>
    <c:legend>
      <c:legendPos val="r"/>
      <c:overlay val="0"/>
      <c:txPr>
        <a:bodyPr/>
        <a:lstStyle/>
        <a:p>
          <a:pPr>
            <a:defRPr sz="1000"/>
          </a:pPr>
          <a:endParaRPr lang="pl-PL"/>
        </a:p>
      </c:txPr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Sil-art Rycho444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Kowalski Ryszard</dc:creator>
  <cp:lastModifiedBy>Kowalski Ryszard</cp:lastModifiedBy>
  <cp:revision>4</cp:revision>
  <cp:lastPrinted>2012-06-14T00:06:00Z</cp:lastPrinted>
  <dcterms:created xsi:type="dcterms:W3CDTF">2012-06-13T22:14:00Z</dcterms:created>
  <dcterms:modified xsi:type="dcterms:W3CDTF">2012-06-14T00:07:00Z</dcterms:modified>
</cp:coreProperties>
</file>