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B420" w14:textId="0945FEFA" w:rsidR="00036045" w:rsidRPr="00054DE6" w:rsidRDefault="00036045" w:rsidP="00036045">
      <w:pPr>
        <w:jc w:val="center"/>
        <w:rPr>
          <w:sz w:val="36"/>
          <w:szCs w:val="36"/>
        </w:rPr>
      </w:pPr>
      <w:r w:rsidRPr="00054DE6">
        <w:rPr>
          <w:sz w:val="36"/>
          <w:szCs w:val="36"/>
        </w:rPr>
        <w:t>Wstęp teoretyczny</w:t>
      </w:r>
    </w:p>
    <w:p w14:paraId="203FCEFA" w14:textId="1B11CDC8" w:rsidR="00952AA3" w:rsidRPr="00775D40" w:rsidRDefault="006872AC" w:rsidP="006872AC">
      <w:pPr>
        <w:ind w:firstLine="708"/>
        <w:rPr>
          <w:sz w:val="24"/>
          <w:szCs w:val="24"/>
        </w:rPr>
      </w:pPr>
      <w:r w:rsidRPr="006872AC">
        <w:rPr>
          <w:sz w:val="24"/>
          <w:szCs w:val="24"/>
        </w:rPr>
        <w:t xml:space="preserve">Zjawisko lepkości, nazywane również oporem wewnętrznym, występuje w cieczach i gazach i jest związane z ruchem cząsteczek tych substancji. Gdy płyn porusza się względem nieruchomych powierzchni obiektu lub gdy obiekt porusza się </w:t>
      </w:r>
      <w:r>
        <w:rPr>
          <w:sz w:val="24"/>
          <w:szCs w:val="24"/>
        </w:rPr>
        <w:t>względem</w:t>
      </w:r>
      <w:r w:rsidRPr="006872AC">
        <w:rPr>
          <w:sz w:val="24"/>
          <w:szCs w:val="24"/>
        </w:rPr>
        <w:t xml:space="preserve"> nieruchomego płynu, zjawisko lepkości powoduje opór wobec ruchu. Oznacza to, że najbardziej zewnętrzne warstwy płynu poruszającego się wzdłuż powierzchni obiektu przemieszczają się szybciej niż te bliżej powierzchni obiektu.</w:t>
      </w:r>
      <w:r>
        <w:rPr>
          <w:sz w:val="24"/>
          <w:szCs w:val="24"/>
        </w:rPr>
        <w:t xml:space="preserve"> </w:t>
      </w:r>
      <w:r w:rsidRPr="006872AC">
        <w:rPr>
          <w:sz w:val="24"/>
          <w:szCs w:val="24"/>
        </w:rPr>
        <w:t>Aby utrzymać ruch, siła musi pokonać ten opór lepkości. W naszym eksperymencie badaliśmy zjawisko przepływu płynu wewnątrz niewielkiej rurki kapilarnej, gdzie najszybszy strumień płynu przemieszczał się wzdłuż osi rurki, podczas gdy strumienie bliżej ścianki rurki przemieszczały się wolniej.</w:t>
      </w:r>
    </w:p>
    <w:p w14:paraId="587DE8EC" w14:textId="16E223B4" w:rsidR="00036045" w:rsidRPr="00775D40" w:rsidRDefault="00036045" w:rsidP="00036045">
      <w:pPr>
        <w:rPr>
          <w:sz w:val="24"/>
          <w:szCs w:val="24"/>
        </w:rPr>
      </w:pPr>
      <w:r w:rsidRPr="00775D40">
        <w:rPr>
          <w:sz w:val="24"/>
          <w:szCs w:val="24"/>
        </w:rPr>
        <w:t>Cel ćwiczenia:</w:t>
      </w:r>
    </w:p>
    <w:p w14:paraId="65B79F7B" w14:textId="0216C9A1" w:rsidR="00036045" w:rsidRPr="00775D40" w:rsidRDefault="00036045" w:rsidP="00F50A54">
      <w:pPr>
        <w:ind w:left="360"/>
        <w:rPr>
          <w:sz w:val="24"/>
          <w:szCs w:val="24"/>
        </w:rPr>
      </w:pPr>
      <w:r w:rsidRPr="00775D40">
        <w:rPr>
          <w:sz w:val="24"/>
          <w:szCs w:val="24"/>
        </w:rPr>
        <w:t>Celem ćwiczenia było wyznaczenie współczynnika lepkości powietrza metodą kapilarną</w:t>
      </w:r>
      <w:r w:rsidR="00B80F77" w:rsidRPr="00775D40">
        <w:rPr>
          <w:sz w:val="24"/>
          <w:szCs w:val="24"/>
        </w:rPr>
        <w:t xml:space="preserve"> η [Pa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B80F77" w:rsidRPr="00775D40">
        <w:rPr>
          <w:sz w:val="24"/>
          <w:szCs w:val="24"/>
        </w:rPr>
        <w:t>s]</w:t>
      </w:r>
      <w:r w:rsidRPr="00775D40">
        <w:rPr>
          <w:sz w:val="24"/>
          <w:szCs w:val="24"/>
        </w:rPr>
        <w:t xml:space="preserve">. Podczas ćwiczenia wyznaczono również: </w:t>
      </w:r>
    </w:p>
    <w:p w14:paraId="5B6D0F69" w14:textId="4898A529" w:rsidR="00036045" w:rsidRPr="00775D40" w:rsidRDefault="00036045" w:rsidP="0003604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75D40">
        <w:rPr>
          <w:sz w:val="24"/>
          <w:szCs w:val="24"/>
        </w:rPr>
        <w:t>Gęstość powietrza</w:t>
      </w:r>
      <w:r w:rsidR="00B80F77" w:rsidRPr="00775D40">
        <w:rPr>
          <w:sz w:val="24"/>
          <w:szCs w:val="24"/>
        </w:rPr>
        <w:t xml:space="preserve"> </w:t>
      </w:r>
      <w:proofErr w:type="spellStart"/>
      <w:r w:rsidR="00B80F77" w:rsidRPr="00775D40">
        <w:rPr>
          <w:sz w:val="24"/>
          <w:szCs w:val="24"/>
        </w:rPr>
        <w:t>ρ</w:t>
      </w:r>
      <w:r w:rsidR="00B80F77" w:rsidRPr="00775D40">
        <w:rPr>
          <w:sz w:val="24"/>
          <w:szCs w:val="24"/>
          <w:vertAlign w:val="subscript"/>
        </w:rPr>
        <w:t>p</w:t>
      </w:r>
      <w:proofErr w:type="spellEnd"/>
      <w:r w:rsidR="00B80F77" w:rsidRPr="00775D40">
        <w:rPr>
          <w:sz w:val="24"/>
          <w:szCs w:val="24"/>
        </w:rPr>
        <w:t xml:space="preserve"> [kg/m</w:t>
      </w:r>
      <w:r w:rsidR="00B80F77" w:rsidRPr="00775D40">
        <w:rPr>
          <w:sz w:val="24"/>
          <w:szCs w:val="24"/>
          <w:vertAlign w:val="superscript"/>
        </w:rPr>
        <w:t>3</w:t>
      </w:r>
      <w:r w:rsidR="00B80F77" w:rsidRPr="00775D40">
        <w:rPr>
          <w:sz w:val="24"/>
          <w:szCs w:val="24"/>
        </w:rPr>
        <w:t>]</w:t>
      </w:r>
    </w:p>
    <w:p w14:paraId="3DD57A63" w14:textId="4189F8A0" w:rsidR="00036045" w:rsidRPr="00775D40" w:rsidRDefault="00036045" w:rsidP="0003604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75D40">
        <w:rPr>
          <w:sz w:val="24"/>
          <w:szCs w:val="24"/>
        </w:rPr>
        <w:t>Średnią prędkość cząsteczek powietrza</w:t>
      </w:r>
      <w:r w:rsidR="00B80F77" w:rsidRPr="00775D40">
        <w:rPr>
          <w:sz w:val="24"/>
          <w:szCs w:val="24"/>
        </w:rPr>
        <w:t xml:space="preserve"> v [m/s]</w:t>
      </w:r>
    </w:p>
    <w:p w14:paraId="23B6C15D" w14:textId="1FE05789" w:rsidR="00036045" w:rsidRPr="00775D40" w:rsidRDefault="00036045" w:rsidP="0003604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75D40">
        <w:rPr>
          <w:sz w:val="24"/>
          <w:szCs w:val="24"/>
        </w:rPr>
        <w:t>Długość drogi swobodnej pomiędzy zderzeniami</w:t>
      </w:r>
      <w:r w:rsidR="00B80F77" w:rsidRPr="00775D40">
        <w:rPr>
          <w:sz w:val="24"/>
          <w:szCs w:val="24"/>
        </w:rPr>
        <w:t xml:space="preserve"> λ [m]</w:t>
      </w:r>
    </w:p>
    <w:p w14:paraId="3537DB0E" w14:textId="755DB163" w:rsidR="00036045" w:rsidRPr="00775D40" w:rsidRDefault="00036045" w:rsidP="0003604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75D40">
        <w:rPr>
          <w:sz w:val="24"/>
          <w:szCs w:val="24"/>
        </w:rPr>
        <w:t>Średnicę efektywną cząsteczek powietrza</w:t>
      </w:r>
      <w:r w:rsidR="00B80F77" w:rsidRPr="00775D40">
        <w:rPr>
          <w:sz w:val="24"/>
          <w:szCs w:val="24"/>
        </w:rPr>
        <w:t xml:space="preserve"> [m?]</w:t>
      </w:r>
    </w:p>
    <w:p w14:paraId="07F9B338" w14:textId="7D96FE2F" w:rsidR="00036045" w:rsidRPr="00775D40" w:rsidRDefault="00036045" w:rsidP="0003604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75D40">
        <w:rPr>
          <w:sz w:val="24"/>
          <w:szCs w:val="24"/>
        </w:rPr>
        <w:t>Liczbę Reynoldsa dla przepływu powietrza przez rurkę kapilarną</w:t>
      </w:r>
      <w:r w:rsidR="00B80F77" w:rsidRPr="00775D40">
        <w:rPr>
          <w:sz w:val="24"/>
          <w:szCs w:val="24"/>
        </w:rPr>
        <w:t xml:space="preserve"> Re [bezwymiarowa]</w:t>
      </w:r>
    </w:p>
    <w:p w14:paraId="7F7160DA" w14:textId="769D81F6" w:rsidR="00B80F77" w:rsidRPr="00775D40" w:rsidRDefault="00B80F77" w:rsidP="00B80F77">
      <w:pPr>
        <w:rPr>
          <w:sz w:val="24"/>
          <w:szCs w:val="24"/>
        </w:rPr>
      </w:pPr>
      <w:r w:rsidRPr="00775D40">
        <w:rPr>
          <w:sz w:val="24"/>
          <w:szCs w:val="24"/>
        </w:rPr>
        <w:t>Układ pomiarowy:</w:t>
      </w:r>
    </w:p>
    <w:p w14:paraId="0D681408" w14:textId="40D92E2A" w:rsidR="00B80F77" w:rsidRPr="00775D40" w:rsidRDefault="00B80F77" w:rsidP="00B80F77">
      <w:pPr>
        <w:rPr>
          <w:sz w:val="24"/>
          <w:szCs w:val="24"/>
        </w:rPr>
      </w:pPr>
      <w:r w:rsidRPr="00775D40">
        <w:rPr>
          <w:sz w:val="24"/>
          <w:szCs w:val="24"/>
        </w:rPr>
        <w:tab/>
        <w:t>Układ pomiarowy na którym wykonywano doświadczenie składał się z:</w:t>
      </w:r>
    </w:p>
    <w:p w14:paraId="5DBE8B94" w14:textId="3035F88C" w:rsidR="00B80F77" w:rsidRPr="00775D40" w:rsidRDefault="00C22D4A" w:rsidP="00B80F7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75D40">
        <w:rPr>
          <w:sz w:val="24"/>
          <w:szCs w:val="24"/>
        </w:rPr>
        <w:t xml:space="preserve">Butli z wodą </w:t>
      </w:r>
    </w:p>
    <w:p w14:paraId="330E86FB" w14:textId="4A57CE51" w:rsidR="00C22D4A" w:rsidRPr="00775D40" w:rsidRDefault="00C22D4A" w:rsidP="00B80F7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75D40">
        <w:rPr>
          <w:sz w:val="24"/>
          <w:szCs w:val="24"/>
        </w:rPr>
        <w:t>Menzurki</w:t>
      </w:r>
    </w:p>
    <w:p w14:paraId="05E51C50" w14:textId="1554EC43" w:rsidR="00C22D4A" w:rsidRPr="00775D40" w:rsidRDefault="00C22D4A" w:rsidP="00B80F7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75D40">
        <w:rPr>
          <w:sz w:val="24"/>
          <w:szCs w:val="24"/>
        </w:rPr>
        <w:t>Rurki kapilarnej</w:t>
      </w:r>
      <w:r w:rsidR="00FD1C0E" w:rsidRPr="00775D40">
        <w:rPr>
          <w:sz w:val="24"/>
          <w:szCs w:val="24"/>
        </w:rPr>
        <w:t xml:space="preserve"> (</w:t>
      </w:r>
      <w:r w:rsidR="00054DE6" w:rsidRPr="00775D40">
        <w:rPr>
          <w:rFonts w:ascii="Cambria Math" w:hAnsi="Cambria Math" w:cs="Cambria Math"/>
          <w:color w:val="000000" w:themeColor="text1"/>
          <w:sz w:val="24"/>
          <w:szCs w:val="24"/>
        </w:rPr>
        <w:t>r</w:t>
      </w:r>
      <w:r w:rsidR="00FD1C0E" w:rsidRPr="00775D40">
        <w:rPr>
          <w:sz w:val="24"/>
          <w:szCs w:val="24"/>
        </w:rPr>
        <w:t>=0,4mm, l=100mm)</w:t>
      </w:r>
    </w:p>
    <w:p w14:paraId="128B24B9" w14:textId="6568580C" w:rsidR="00C22D4A" w:rsidRPr="00775D40" w:rsidRDefault="00C22D4A" w:rsidP="00B80F7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75D40">
        <w:rPr>
          <w:sz w:val="24"/>
          <w:szCs w:val="24"/>
        </w:rPr>
        <w:t>Manometru</w:t>
      </w:r>
    </w:p>
    <w:p w14:paraId="25007C0D" w14:textId="77777777" w:rsidR="00775D40" w:rsidRPr="00775D40" w:rsidRDefault="00C22D4A" w:rsidP="00B80F7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75D40">
        <w:rPr>
          <w:sz w:val="24"/>
          <w:szCs w:val="24"/>
        </w:rPr>
        <w:t>Termometr</w:t>
      </w:r>
      <w:r w:rsidR="00775D40" w:rsidRPr="00775D40">
        <w:rPr>
          <w:sz w:val="24"/>
          <w:szCs w:val="24"/>
        </w:rPr>
        <w:t>u</w:t>
      </w:r>
      <w:r w:rsidRPr="00775D40">
        <w:rPr>
          <w:sz w:val="24"/>
          <w:szCs w:val="24"/>
        </w:rPr>
        <w:t xml:space="preserve"> </w:t>
      </w:r>
    </w:p>
    <w:p w14:paraId="6B02AF9B" w14:textId="5A778E21" w:rsidR="00C22D4A" w:rsidRPr="00775D40" w:rsidRDefault="00775D40" w:rsidP="00B80F7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75D40">
        <w:rPr>
          <w:sz w:val="24"/>
          <w:szCs w:val="24"/>
        </w:rPr>
        <w:t>B</w:t>
      </w:r>
      <w:r w:rsidR="00C22D4A" w:rsidRPr="00775D40">
        <w:rPr>
          <w:sz w:val="24"/>
          <w:szCs w:val="24"/>
        </w:rPr>
        <w:t>arometr</w:t>
      </w:r>
      <w:r w:rsidRPr="00775D40">
        <w:rPr>
          <w:sz w:val="24"/>
          <w:szCs w:val="24"/>
        </w:rPr>
        <w:t>u</w:t>
      </w:r>
    </w:p>
    <w:p w14:paraId="3551F62C" w14:textId="7111F03A" w:rsidR="00C22D4A" w:rsidRPr="00775D40" w:rsidRDefault="00C22D4A" w:rsidP="00C22D4A">
      <w:pPr>
        <w:rPr>
          <w:sz w:val="24"/>
          <w:szCs w:val="24"/>
        </w:rPr>
      </w:pPr>
      <w:r w:rsidRPr="00775D40">
        <w:rPr>
          <w:sz w:val="24"/>
          <w:szCs w:val="24"/>
        </w:rPr>
        <w:t>Przebieg doświadczenia:</w:t>
      </w:r>
    </w:p>
    <w:p w14:paraId="3FCEC8D0" w14:textId="32E58C0B" w:rsidR="00C22D4A" w:rsidRPr="00775D40" w:rsidRDefault="00C22D4A" w:rsidP="00C22D4A">
      <w:pPr>
        <w:rPr>
          <w:sz w:val="24"/>
          <w:szCs w:val="24"/>
        </w:rPr>
      </w:pPr>
      <w:r w:rsidRPr="00775D40">
        <w:rPr>
          <w:sz w:val="24"/>
          <w:szCs w:val="24"/>
        </w:rPr>
        <w:tab/>
        <w:t xml:space="preserve">Na początku wykonano pomiar temperatury i ciśnienia panującego w pracowni. Całe doświadczenie polegało na odkręceniu zaworu butli, kiedy równica ciśnień ustabilizowała się na manometrze, </w:t>
      </w:r>
      <w:r w:rsidR="00147AD7" w:rsidRPr="00775D40">
        <w:rPr>
          <w:sz w:val="24"/>
          <w:szCs w:val="24"/>
        </w:rPr>
        <w:t>rozpoczęto pomiar objętości wylatującej wody i równicy ciśnień oraz czasu. Wykonano 10 pomiarów.</w:t>
      </w:r>
    </w:p>
    <w:p w14:paraId="7A12A4B4" w14:textId="77777777" w:rsidR="00147AD7" w:rsidRDefault="00147AD7" w:rsidP="00C22D4A">
      <w:pPr>
        <w:rPr>
          <w:sz w:val="24"/>
          <w:szCs w:val="24"/>
        </w:rPr>
      </w:pPr>
    </w:p>
    <w:p w14:paraId="5D0B6C59" w14:textId="77777777" w:rsidR="00147AD7" w:rsidRDefault="00147AD7" w:rsidP="00C22D4A">
      <w:pPr>
        <w:rPr>
          <w:sz w:val="24"/>
          <w:szCs w:val="24"/>
        </w:rPr>
      </w:pPr>
    </w:p>
    <w:p w14:paraId="67E64018" w14:textId="77777777" w:rsidR="00147AD7" w:rsidRDefault="00147AD7" w:rsidP="00C22D4A">
      <w:pPr>
        <w:rPr>
          <w:sz w:val="24"/>
          <w:szCs w:val="24"/>
        </w:rPr>
      </w:pPr>
    </w:p>
    <w:p w14:paraId="342F312E" w14:textId="77777777" w:rsidR="00147AD7" w:rsidRDefault="00147AD7" w:rsidP="00C22D4A">
      <w:pPr>
        <w:rPr>
          <w:sz w:val="24"/>
          <w:szCs w:val="24"/>
        </w:rPr>
      </w:pPr>
    </w:p>
    <w:p w14:paraId="18E4ACB6" w14:textId="77777777" w:rsidR="00147AD7" w:rsidRDefault="00147AD7" w:rsidP="00C22D4A">
      <w:pPr>
        <w:rPr>
          <w:sz w:val="24"/>
          <w:szCs w:val="24"/>
        </w:rPr>
      </w:pPr>
    </w:p>
    <w:p w14:paraId="1C849E9B" w14:textId="52D5238D" w:rsidR="00147AD7" w:rsidRPr="00054DE6" w:rsidRDefault="00147AD7" w:rsidP="00147AD7">
      <w:pPr>
        <w:jc w:val="center"/>
        <w:rPr>
          <w:sz w:val="36"/>
          <w:szCs w:val="36"/>
        </w:rPr>
      </w:pPr>
      <w:r w:rsidRPr="00054DE6">
        <w:rPr>
          <w:sz w:val="36"/>
          <w:szCs w:val="36"/>
        </w:rPr>
        <w:lastRenderedPageBreak/>
        <w:t>Obliczenia</w:t>
      </w:r>
    </w:p>
    <w:p w14:paraId="2A1F29D7" w14:textId="24F1AA81" w:rsidR="00147AD7" w:rsidRDefault="00147AD7" w:rsidP="00054DE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Dla każdej i-tej trójki danych obliczono lepkość powietrza stosując wzór:</w:t>
      </w:r>
    </w:p>
    <w:p w14:paraId="06293CA4" w14:textId="770823FC" w:rsidR="00147AD7" w:rsidRPr="001621DC" w:rsidRDefault="00147AD7" w:rsidP="00147AD7">
      <w:pPr>
        <w:jc w:val="center"/>
        <w:rPr>
          <w:sz w:val="40"/>
          <w:szCs w:val="40"/>
          <w:lang w:val="en-GB"/>
        </w:rPr>
      </w:pPr>
      <w:r w:rsidRPr="00147AD7">
        <w:rPr>
          <w:sz w:val="40"/>
          <w:szCs w:val="40"/>
        </w:rPr>
        <w:t>η</w:t>
      </w:r>
      <w:r w:rsidRPr="001621DC">
        <w:rPr>
          <w:sz w:val="40"/>
          <w:szCs w:val="40"/>
          <w:vertAlign w:val="subscript"/>
          <w:lang w:val="en-GB"/>
        </w:rPr>
        <w:t>i</w:t>
      </w:r>
      <w:r w:rsidRPr="001621DC">
        <w:rPr>
          <w:sz w:val="40"/>
          <w:szCs w:val="40"/>
          <w:lang w:val="en-GB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GB"/>
              </w:rPr>
              <m:t xml:space="preserve">g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GB"/>
              </w:rPr>
              <m:t>8l</m:t>
            </m:r>
            <m:sSub>
              <m:sSub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den>
        </m:f>
      </m:oMath>
      <w:r w:rsidRPr="001621DC">
        <w:rPr>
          <w:sz w:val="40"/>
          <w:szCs w:val="40"/>
          <w:lang w:val="en-GB"/>
        </w:rPr>
        <w:t xml:space="preserve"> ∆h</w:t>
      </w:r>
      <w:r w:rsidRPr="001621DC">
        <w:rPr>
          <w:sz w:val="40"/>
          <w:szCs w:val="40"/>
          <w:vertAlign w:val="subscript"/>
          <w:lang w:val="en-GB"/>
        </w:rPr>
        <w:t>i</w:t>
      </w:r>
      <w:r w:rsidRPr="001621DC">
        <w:rPr>
          <w:sz w:val="40"/>
          <w:szCs w:val="40"/>
          <w:lang w:val="en-GB"/>
        </w:rPr>
        <w:t>t</w:t>
      </w:r>
      <w:r w:rsidRPr="001621DC">
        <w:rPr>
          <w:sz w:val="40"/>
          <w:szCs w:val="40"/>
          <w:vertAlign w:val="subscript"/>
          <w:lang w:val="en-GB"/>
        </w:rPr>
        <w:t>i</w:t>
      </w:r>
      <w:r w:rsidRPr="001621DC">
        <w:rPr>
          <w:sz w:val="40"/>
          <w:szCs w:val="40"/>
          <w:lang w:val="en-GB"/>
        </w:rPr>
        <w:t xml:space="preserve"> </w:t>
      </w:r>
    </w:p>
    <w:p w14:paraId="59D7CA95" w14:textId="209EB179" w:rsidR="00FD1C0E" w:rsidRPr="00775D40" w:rsidRDefault="00FD1C0E" w:rsidP="00F50A54">
      <w:pPr>
        <w:ind w:firstLine="360"/>
        <w:rPr>
          <w:sz w:val="24"/>
          <w:szCs w:val="24"/>
        </w:rPr>
      </w:pPr>
      <w:r w:rsidRPr="00775D40">
        <w:rPr>
          <w:sz w:val="24"/>
          <w:szCs w:val="24"/>
        </w:rPr>
        <w:t>Do obliczeń przyjęto:</w:t>
      </w:r>
    </w:p>
    <w:p w14:paraId="5FFACE0D" w14:textId="447E47EF" w:rsidR="00FD1C0E" w:rsidRPr="00775D40" w:rsidRDefault="00FD1C0E" w:rsidP="00FD1C0E">
      <w:pPr>
        <w:pStyle w:val="Akapitzlist"/>
        <w:numPr>
          <w:ilvl w:val="0"/>
          <w:numId w:val="4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π=3,14</m:t>
        </m:r>
      </m:oMath>
    </w:p>
    <w:p w14:paraId="4242E5C7" w14:textId="1C886512" w:rsidR="00FD1C0E" w:rsidRPr="00775D40" w:rsidRDefault="00054DE6" w:rsidP="00FD1C0E">
      <w:pPr>
        <w:pStyle w:val="Akapitzlist"/>
        <w:numPr>
          <w:ilvl w:val="0"/>
          <w:numId w:val="4"/>
        </w:numPr>
        <w:rPr>
          <w:iCs/>
          <w:sz w:val="24"/>
          <w:szCs w:val="24"/>
        </w:rPr>
      </w:pPr>
      <w:r w:rsidRPr="00775D40">
        <w:rPr>
          <w:rFonts w:eastAsiaTheme="minorEastAsia"/>
          <w:iCs/>
          <w:sz w:val="24"/>
          <w:szCs w:val="24"/>
        </w:rPr>
        <w:t xml:space="preserve">gęstość wody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=997kg/m</m:t>
        </m:r>
      </m:oMath>
      <w:r w:rsidR="00FD1C0E" w:rsidRPr="00775D40">
        <w:rPr>
          <w:rFonts w:eastAsiaTheme="minorEastAsia"/>
          <w:iCs/>
          <w:sz w:val="24"/>
          <w:szCs w:val="24"/>
          <w:vertAlign w:val="superscript"/>
        </w:rPr>
        <w:t>3</w:t>
      </w:r>
    </w:p>
    <w:p w14:paraId="582A9C39" w14:textId="2D609ADD" w:rsidR="00FD1C0E" w:rsidRPr="00775D40" w:rsidRDefault="00054DE6" w:rsidP="00FD1C0E">
      <w:pPr>
        <w:pStyle w:val="Akapitzlist"/>
        <w:numPr>
          <w:ilvl w:val="0"/>
          <w:numId w:val="4"/>
        </w:numPr>
        <w:rPr>
          <w:iCs/>
          <w:sz w:val="24"/>
          <w:szCs w:val="24"/>
        </w:rPr>
      </w:pPr>
      <w:r w:rsidRPr="00775D40">
        <w:rPr>
          <w:rFonts w:eastAsiaTheme="minorEastAsia"/>
          <w:iCs/>
          <w:sz w:val="24"/>
          <w:szCs w:val="24"/>
        </w:rPr>
        <w:t xml:space="preserve">Przyspieszenie ziemskie G </w:t>
      </w:r>
      <w:r w:rsidR="00FD1C0E" w:rsidRPr="00775D40">
        <w:rPr>
          <w:rFonts w:eastAsiaTheme="minorEastAsia"/>
          <w:iCs/>
          <w:sz w:val="24"/>
          <w:szCs w:val="24"/>
        </w:rPr>
        <w:t>=</w:t>
      </w:r>
      <w:r w:rsidRPr="00775D40">
        <w:rPr>
          <w:rFonts w:eastAsiaTheme="minorEastAsia"/>
          <w:iCs/>
          <w:sz w:val="24"/>
          <w:szCs w:val="24"/>
        </w:rPr>
        <w:t xml:space="preserve"> </w:t>
      </w:r>
      <w:r w:rsidR="00FD1C0E" w:rsidRPr="00775D40">
        <w:rPr>
          <w:rFonts w:eastAsiaTheme="minorEastAsia"/>
          <w:iCs/>
          <w:sz w:val="24"/>
          <w:szCs w:val="24"/>
        </w:rPr>
        <w:t>9,8 m/s</w:t>
      </w:r>
      <w:r w:rsidR="00FD1C0E" w:rsidRPr="00775D40">
        <w:rPr>
          <w:rFonts w:eastAsiaTheme="minorEastAsia"/>
          <w:iCs/>
          <w:sz w:val="24"/>
          <w:szCs w:val="24"/>
          <w:vertAlign w:val="superscript"/>
        </w:rPr>
        <w:t>2</w:t>
      </w:r>
    </w:p>
    <w:p w14:paraId="154EDA87" w14:textId="313B58D4" w:rsidR="00054DE6" w:rsidRPr="00775D40" w:rsidRDefault="00054DE6" w:rsidP="00FD1C0E">
      <w:pPr>
        <w:pStyle w:val="Akapitzlist"/>
        <w:numPr>
          <w:ilvl w:val="0"/>
          <w:numId w:val="4"/>
        </w:numPr>
        <w:rPr>
          <w:iCs/>
          <w:sz w:val="24"/>
          <w:szCs w:val="24"/>
        </w:rPr>
      </w:pPr>
      <w:r w:rsidRPr="00775D40">
        <w:rPr>
          <w:iCs/>
          <w:sz w:val="24"/>
          <w:szCs w:val="24"/>
        </w:rPr>
        <w:t>promień rurki kapilarnej r = 0,4mm</w:t>
      </w:r>
    </w:p>
    <w:p w14:paraId="76B5D806" w14:textId="3A1F18F4" w:rsidR="00054DE6" w:rsidRPr="00775D40" w:rsidRDefault="00054DE6" w:rsidP="00FD1C0E">
      <w:pPr>
        <w:pStyle w:val="Akapitzlist"/>
        <w:numPr>
          <w:ilvl w:val="0"/>
          <w:numId w:val="4"/>
        </w:numPr>
        <w:rPr>
          <w:iCs/>
          <w:sz w:val="24"/>
          <w:szCs w:val="24"/>
        </w:rPr>
      </w:pPr>
      <w:r w:rsidRPr="00775D40">
        <w:rPr>
          <w:iCs/>
          <w:sz w:val="24"/>
          <w:szCs w:val="24"/>
        </w:rPr>
        <w:t>długość rurki l = 100mm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606"/>
        <w:gridCol w:w="1813"/>
        <w:gridCol w:w="1813"/>
      </w:tblGrid>
      <w:tr w:rsidR="00147AD7" w14:paraId="29397174" w14:textId="77777777" w:rsidTr="00FD1C0E">
        <w:tc>
          <w:tcPr>
            <w:tcW w:w="562" w:type="dxa"/>
            <w:vAlign w:val="center"/>
          </w:tcPr>
          <w:p w14:paraId="147DE9C7" w14:textId="470DD0B5" w:rsidR="00147AD7" w:rsidRPr="00775D40" w:rsidRDefault="00147AD7" w:rsidP="00FD1C0E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i</w:t>
            </w:r>
          </w:p>
        </w:tc>
        <w:tc>
          <w:tcPr>
            <w:tcW w:w="2268" w:type="dxa"/>
            <w:vAlign w:val="center"/>
          </w:tcPr>
          <w:p w14:paraId="3D7E3D34" w14:textId="14CE80FB" w:rsidR="00147AD7" w:rsidRPr="00775D40" w:rsidRDefault="00054DE6" w:rsidP="00FD1C0E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 xml:space="preserve">Objętość wody </w:t>
            </w:r>
            <w:r w:rsidR="00FD1C0E" w:rsidRPr="00775D40">
              <w:rPr>
                <w:sz w:val="24"/>
                <w:szCs w:val="24"/>
              </w:rPr>
              <w:t>V</w:t>
            </w:r>
            <w:r w:rsidR="00FD1C0E" w:rsidRPr="00775D40">
              <w:rPr>
                <w:sz w:val="24"/>
                <w:szCs w:val="24"/>
                <w:vertAlign w:val="subscript"/>
              </w:rPr>
              <w:t>i</w:t>
            </w:r>
            <w:r w:rsidR="00FD1C0E" w:rsidRPr="00775D40">
              <w:rPr>
                <w:sz w:val="24"/>
                <w:szCs w:val="24"/>
              </w:rPr>
              <w:t xml:space="preserve">, </w:t>
            </w:r>
            <w:r w:rsidR="004C0B2C" w:rsidRPr="00775D40">
              <w:rPr>
                <w:sz w:val="24"/>
                <w:szCs w:val="24"/>
              </w:rPr>
              <w:t>[</w:t>
            </w:r>
            <w:r w:rsidR="00FD1C0E" w:rsidRPr="00775D40">
              <w:rPr>
                <w:sz w:val="24"/>
                <w:szCs w:val="24"/>
              </w:rPr>
              <w:t>cm</w:t>
            </w:r>
            <w:r w:rsidR="00FD1C0E" w:rsidRPr="00775D40">
              <w:rPr>
                <w:sz w:val="24"/>
                <w:szCs w:val="24"/>
                <w:vertAlign w:val="superscript"/>
              </w:rPr>
              <w:t>3</w:t>
            </w:r>
            <w:r w:rsidR="004C0B2C" w:rsidRPr="00775D40">
              <w:rPr>
                <w:sz w:val="24"/>
                <w:szCs w:val="24"/>
              </w:rPr>
              <w:t>]</w:t>
            </w:r>
          </w:p>
        </w:tc>
        <w:tc>
          <w:tcPr>
            <w:tcW w:w="2606" w:type="dxa"/>
            <w:vAlign w:val="center"/>
          </w:tcPr>
          <w:p w14:paraId="2EFEB96D" w14:textId="550626C0" w:rsidR="00147AD7" w:rsidRPr="00775D40" w:rsidRDefault="00FD1C0E" w:rsidP="00FD1C0E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 xml:space="preserve">Różnica poziomów </w:t>
            </w:r>
            <w:proofErr w:type="spellStart"/>
            <w:r w:rsidRPr="00775D40">
              <w:rPr>
                <w:sz w:val="24"/>
                <w:szCs w:val="24"/>
              </w:rPr>
              <w:t>Δh</w:t>
            </w:r>
            <w:r w:rsidRPr="00775D40">
              <w:rPr>
                <w:sz w:val="24"/>
                <w:szCs w:val="24"/>
                <w:vertAlign w:val="subscript"/>
              </w:rPr>
              <w:t>i</w:t>
            </w:r>
            <w:proofErr w:type="spellEnd"/>
            <w:r w:rsidRPr="00775D40">
              <w:rPr>
                <w:sz w:val="24"/>
                <w:szCs w:val="24"/>
              </w:rPr>
              <w:t xml:space="preserve">, </w:t>
            </w:r>
            <w:r w:rsidR="004C0B2C" w:rsidRPr="00775D40">
              <w:rPr>
                <w:sz w:val="24"/>
                <w:szCs w:val="24"/>
              </w:rPr>
              <w:t>[</w:t>
            </w:r>
            <w:r w:rsidRPr="00775D40">
              <w:rPr>
                <w:sz w:val="24"/>
                <w:szCs w:val="24"/>
              </w:rPr>
              <w:t>cm</w:t>
            </w:r>
            <w:r w:rsidR="004C0B2C" w:rsidRPr="00775D40">
              <w:rPr>
                <w:sz w:val="24"/>
                <w:szCs w:val="24"/>
              </w:rPr>
              <w:t>]</w:t>
            </w:r>
          </w:p>
        </w:tc>
        <w:tc>
          <w:tcPr>
            <w:tcW w:w="1813" w:type="dxa"/>
            <w:vAlign w:val="center"/>
          </w:tcPr>
          <w:p w14:paraId="7D1C53A6" w14:textId="08365A66" w:rsidR="00147AD7" w:rsidRPr="00775D40" w:rsidRDefault="00FD1C0E" w:rsidP="00FD1C0E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 xml:space="preserve">Czas wypływu </w:t>
            </w:r>
            <w:proofErr w:type="spellStart"/>
            <w:r w:rsidRPr="00775D40">
              <w:rPr>
                <w:sz w:val="24"/>
                <w:szCs w:val="24"/>
              </w:rPr>
              <w:t>t</w:t>
            </w:r>
            <w:r w:rsidRPr="00775D40">
              <w:rPr>
                <w:sz w:val="24"/>
                <w:szCs w:val="24"/>
                <w:vertAlign w:val="subscript"/>
              </w:rPr>
              <w:t>i</w:t>
            </w:r>
            <w:proofErr w:type="spellEnd"/>
            <w:r w:rsidRPr="00775D40">
              <w:rPr>
                <w:sz w:val="24"/>
                <w:szCs w:val="24"/>
              </w:rPr>
              <w:t xml:space="preserve">, </w:t>
            </w:r>
            <w:r w:rsidR="004C0B2C" w:rsidRPr="00775D40">
              <w:rPr>
                <w:sz w:val="24"/>
                <w:szCs w:val="24"/>
              </w:rPr>
              <w:t>[</w:t>
            </w:r>
            <w:r w:rsidRPr="00775D40">
              <w:rPr>
                <w:sz w:val="24"/>
                <w:szCs w:val="24"/>
              </w:rPr>
              <w:t>s</w:t>
            </w:r>
            <w:r w:rsidR="004C0B2C" w:rsidRPr="00775D40">
              <w:rPr>
                <w:sz w:val="24"/>
                <w:szCs w:val="24"/>
              </w:rPr>
              <w:t>]</w:t>
            </w:r>
          </w:p>
        </w:tc>
        <w:tc>
          <w:tcPr>
            <w:tcW w:w="1813" w:type="dxa"/>
            <w:vAlign w:val="center"/>
          </w:tcPr>
          <w:p w14:paraId="42C20B54" w14:textId="5E677AAA" w:rsidR="00147AD7" w:rsidRPr="00775D40" w:rsidRDefault="00054DE6" w:rsidP="00FD1C0E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 xml:space="preserve">Współczynnik lepkości </w:t>
            </w:r>
            <w:proofErr w:type="spellStart"/>
            <w:r w:rsidR="00FD1C0E" w:rsidRPr="00775D40">
              <w:rPr>
                <w:sz w:val="24"/>
                <w:szCs w:val="24"/>
              </w:rPr>
              <w:t>η</w:t>
            </w:r>
            <w:r w:rsidR="00FD1C0E" w:rsidRPr="00775D40">
              <w:rPr>
                <w:sz w:val="24"/>
                <w:szCs w:val="24"/>
                <w:vertAlign w:val="subscript"/>
              </w:rPr>
              <w:t>i</w:t>
            </w:r>
            <w:proofErr w:type="spellEnd"/>
            <w:r w:rsidR="004C0B2C" w:rsidRPr="00775D40">
              <w:rPr>
                <w:sz w:val="24"/>
                <w:szCs w:val="24"/>
              </w:rPr>
              <w:t xml:space="preserve"> [Pa*s (10</w:t>
            </w:r>
            <w:r w:rsidR="004C0B2C" w:rsidRPr="00775D40">
              <w:rPr>
                <w:sz w:val="24"/>
                <w:szCs w:val="24"/>
                <w:vertAlign w:val="superscript"/>
              </w:rPr>
              <w:t>-6</w:t>
            </w:r>
            <w:r w:rsidR="004C0B2C" w:rsidRPr="00775D40">
              <w:rPr>
                <w:sz w:val="24"/>
                <w:szCs w:val="24"/>
              </w:rPr>
              <w:t>)]</w:t>
            </w:r>
          </w:p>
        </w:tc>
      </w:tr>
      <w:tr w:rsidR="004C0B2C" w14:paraId="3177BC54" w14:textId="77777777" w:rsidTr="0050234E">
        <w:tc>
          <w:tcPr>
            <w:tcW w:w="562" w:type="dxa"/>
            <w:vAlign w:val="center"/>
          </w:tcPr>
          <w:p w14:paraId="1BC2441D" w14:textId="5DA95467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06BBBF44" w14:textId="5EA6DAC8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100</w:t>
            </w:r>
          </w:p>
        </w:tc>
        <w:tc>
          <w:tcPr>
            <w:tcW w:w="2606" w:type="dxa"/>
            <w:vAlign w:val="center"/>
          </w:tcPr>
          <w:p w14:paraId="6BA5460D" w14:textId="45486DFA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7,3</w:t>
            </w:r>
          </w:p>
        </w:tc>
        <w:tc>
          <w:tcPr>
            <w:tcW w:w="1813" w:type="dxa"/>
            <w:vAlign w:val="center"/>
          </w:tcPr>
          <w:p w14:paraId="3E7D6353" w14:textId="2B94215E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32,28</w:t>
            </w:r>
          </w:p>
        </w:tc>
        <w:tc>
          <w:tcPr>
            <w:tcW w:w="1813" w:type="dxa"/>
          </w:tcPr>
          <w:p w14:paraId="6B5831B4" w14:textId="265F2A18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23,134</w:t>
            </w:r>
          </w:p>
        </w:tc>
      </w:tr>
      <w:tr w:rsidR="004C0B2C" w14:paraId="518A9DBE" w14:textId="77777777" w:rsidTr="0050234E">
        <w:tc>
          <w:tcPr>
            <w:tcW w:w="562" w:type="dxa"/>
            <w:vAlign w:val="center"/>
          </w:tcPr>
          <w:p w14:paraId="5980B8C2" w14:textId="4417CD8F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3A3CC6F0" w14:textId="525DC86C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100</w:t>
            </w:r>
          </w:p>
        </w:tc>
        <w:tc>
          <w:tcPr>
            <w:tcW w:w="2606" w:type="dxa"/>
            <w:vAlign w:val="center"/>
          </w:tcPr>
          <w:p w14:paraId="48A8C492" w14:textId="36E4D3BB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7,1</w:t>
            </w:r>
          </w:p>
        </w:tc>
        <w:tc>
          <w:tcPr>
            <w:tcW w:w="1813" w:type="dxa"/>
            <w:vAlign w:val="center"/>
          </w:tcPr>
          <w:p w14:paraId="0D89F7A6" w14:textId="1ECB4D34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31,28</w:t>
            </w:r>
          </w:p>
        </w:tc>
        <w:tc>
          <w:tcPr>
            <w:tcW w:w="1813" w:type="dxa"/>
          </w:tcPr>
          <w:p w14:paraId="00EE5048" w14:textId="2BDEADD1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21,803</w:t>
            </w:r>
          </w:p>
        </w:tc>
      </w:tr>
      <w:tr w:rsidR="004C0B2C" w14:paraId="372695BB" w14:textId="77777777" w:rsidTr="0050234E">
        <w:tc>
          <w:tcPr>
            <w:tcW w:w="562" w:type="dxa"/>
            <w:vAlign w:val="center"/>
          </w:tcPr>
          <w:p w14:paraId="4DD255B8" w14:textId="6035AE21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14:paraId="192F5507" w14:textId="1C973ED3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100</w:t>
            </w:r>
          </w:p>
        </w:tc>
        <w:tc>
          <w:tcPr>
            <w:tcW w:w="2606" w:type="dxa"/>
            <w:vAlign w:val="center"/>
          </w:tcPr>
          <w:p w14:paraId="47DDB792" w14:textId="4AE9054F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6,9</w:t>
            </w:r>
          </w:p>
        </w:tc>
        <w:tc>
          <w:tcPr>
            <w:tcW w:w="1813" w:type="dxa"/>
            <w:vAlign w:val="center"/>
          </w:tcPr>
          <w:p w14:paraId="1FD84790" w14:textId="6B4A8DA4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32,06</w:t>
            </w:r>
          </w:p>
        </w:tc>
        <w:tc>
          <w:tcPr>
            <w:tcW w:w="1813" w:type="dxa"/>
          </w:tcPr>
          <w:p w14:paraId="473E2BE4" w14:textId="6FEDA9FD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21,71</w:t>
            </w:r>
            <w:r w:rsidR="006A1D4C" w:rsidRPr="00775D40">
              <w:rPr>
                <w:sz w:val="24"/>
                <w:szCs w:val="24"/>
              </w:rPr>
              <w:t>8</w:t>
            </w:r>
          </w:p>
        </w:tc>
      </w:tr>
      <w:tr w:rsidR="004C0B2C" w14:paraId="2EE42B00" w14:textId="77777777" w:rsidTr="0050234E">
        <w:tc>
          <w:tcPr>
            <w:tcW w:w="562" w:type="dxa"/>
            <w:vAlign w:val="center"/>
          </w:tcPr>
          <w:p w14:paraId="5E4B00D9" w14:textId="48967EBB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  <w:vAlign w:val="center"/>
          </w:tcPr>
          <w:p w14:paraId="7E6C5D78" w14:textId="6401D4D9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100</w:t>
            </w:r>
          </w:p>
        </w:tc>
        <w:tc>
          <w:tcPr>
            <w:tcW w:w="2606" w:type="dxa"/>
            <w:vAlign w:val="center"/>
          </w:tcPr>
          <w:p w14:paraId="1E4AC03A" w14:textId="3FF94435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6,9</w:t>
            </w:r>
          </w:p>
        </w:tc>
        <w:tc>
          <w:tcPr>
            <w:tcW w:w="1813" w:type="dxa"/>
            <w:vAlign w:val="center"/>
          </w:tcPr>
          <w:p w14:paraId="34BD3FD2" w14:textId="457A481E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32,81</w:t>
            </w:r>
          </w:p>
        </w:tc>
        <w:tc>
          <w:tcPr>
            <w:tcW w:w="1813" w:type="dxa"/>
          </w:tcPr>
          <w:p w14:paraId="5B463175" w14:textId="789F8962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22,22</w:t>
            </w:r>
            <w:r w:rsidR="006A1D4C" w:rsidRPr="00775D40">
              <w:rPr>
                <w:sz w:val="24"/>
                <w:szCs w:val="24"/>
              </w:rPr>
              <w:t>6</w:t>
            </w:r>
          </w:p>
        </w:tc>
      </w:tr>
      <w:tr w:rsidR="004C0B2C" w14:paraId="3B089B51" w14:textId="77777777" w:rsidTr="0050234E">
        <w:tc>
          <w:tcPr>
            <w:tcW w:w="562" w:type="dxa"/>
            <w:vAlign w:val="center"/>
          </w:tcPr>
          <w:p w14:paraId="02525C25" w14:textId="5F1BCD0E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  <w:vAlign w:val="center"/>
          </w:tcPr>
          <w:p w14:paraId="2CA5B350" w14:textId="41631B84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125</w:t>
            </w:r>
          </w:p>
        </w:tc>
        <w:tc>
          <w:tcPr>
            <w:tcW w:w="2606" w:type="dxa"/>
            <w:vAlign w:val="center"/>
          </w:tcPr>
          <w:p w14:paraId="6BDCBC8F" w14:textId="39E3089C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7,1</w:t>
            </w:r>
          </w:p>
        </w:tc>
        <w:tc>
          <w:tcPr>
            <w:tcW w:w="1813" w:type="dxa"/>
            <w:vAlign w:val="center"/>
          </w:tcPr>
          <w:p w14:paraId="0E3AA925" w14:textId="4FE8FAE4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42,35</w:t>
            </w:r>
          </w:p>
        </w:tc>
        <w:tc>
          <w:tcPr>
            <w:tcW w:w="1813" w:type="dxa"/>
          </w:tcPr>
          <w:p w14:paraId="7B77B932" w14:textId="40D3203E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23,61</w:t>
            </w:r>
            <w:r w:rsidR="006A1D4C" w:rsidRPr="00775D40">
              <w:rPr>
                <w:sz w:val="24"/>
                <w:szCs w:val="24"/>
              </w:rPr>
              <w:t>6</w:t>
            </w:r>
          </w:p>
        </w:tc>
      </w:tr>
      <w:tr w:rsidR="004C0B2C" w14:paraId="434CEA8C" w14:textId="77777777" w:rsidTr="0050234E">
        <w:tc>
          <w:tcPr>
            <w:tcW w:w="562" w:type="dxa"/>
            <w:vAlign w:val="center"/>
          </w:tcPr>
          <w:p w14:paraId="543B387C" w14:textId="5088B44F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6</w:t>
            </w:r>
          </w:p>
        </w:tc>
        <w:tc>
          <w:tcPr>
            <w:tcW w:w="2268" w:type="dxa"/>
            <w:vAlign w:val="center"/>
          </w:tcPr>
          <w:p w14:paraId="7EF2C083" w14:textId="7A025E2D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150</w:t>
            </w:r>
          </w:p>
        </w:tc>
        <w:tc>
          <w:tcPr>
            <w:tcW w:w="2606" w:type="dxa"/>
            <w:vAlign w:val="center"/>
          </w:tcPr>
          <w:p w14:paraId="41D06F21" w14:textId="658F261D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7,2</w:t>
            </w:r>
          </w:p>
        </w:tc>
        <w:tc>
          <w:tcPr>
            <w:tcW w:w="1813" w:type="dxa"/>
            <w:vAlign w:val="center"/>
          </w:tcPr>
          <w:p w14:paraId="74442378" w14:textId="26B93F0C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46,77</w:t>
            </w:r>
          </w:p>
        </w:tc>
        <w:tc>
          <w:tcPr>
            <w:tcW w:w="1813" w:type="dxa"/>
          </w:tcPr>
          <w:p w14:paraId="7511B4AB" w14:textId="5D4FB312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22,0</w:t>
            </w:r>
            <w:r w:rsidR="006A1D4C" w:rsidRPr="00775D40">
              <w:rPr>
                <w:sz w:val="24"/>
                <w:szCs w:val="24"/>
              </w:rPr>
              <w:t>1</w:t>
            </w:r>
          </w:p>
        </w:tc>
      </w:tr>
      <w:tr w:rsidR="004C0B2C" w14:paraId="20179288" w14:textId="77777777" w:rsidTr="0050234E">
        <w:tc>
          <w:tcPr>
            <w:tcW w:w="562" w:type="dxa"/>
            <w:vAlign w:val="center"/>
          </w:tcPr>
          <w:p w14:paraId="78CEE262" w14:textId="277A1584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  <w:vAlign w:val="center"/>
          </w:tcPr>
          <w:p w14:paraId="33CFCE87" w14:textId="2A039205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150</w:t>
            </w:r>
          </w:p>
        </w:tc>
        <w:tc>
          <w:tcPr>
            <w:tcW w:w="2606" w:type="dxa"/>
            <w:vAlign w:val="center"/>
          </w:tcPr>
          <w:p w14:paraId="4632CD83" w14:textId="2BB486BA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7</w:t>
            </w:r>
          </w:p>
        </w:tc>
        <w:tc>
          <w:tcPr>
            <w:tcW w:w="1813" w:type="dxa"/>
            <w:vAlign w:val="center"/>
          </w:tcPr>
          <w:p w14:paraId="2602E479" w14:textId="46BBCD4F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48,59</w:t>
            </w:r>
          </w:p>
        </w:tc>
        <w:tc>
          <w:tcPr>
            <w:tcW w:w="1813" w:type="dxa"/>
          </w:tcPr>
          <w:p w14:paraId="5803AD2E" w14:textId="69A7DADA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22,26</w:t>
            </w:r>
            <w:r w:rsidR="006A1D4C" w:rsidRPr="00775D40">
              <w:rPr>
                <w:sz w:val="24"/>
                <w:szCs w:val="24"/>
              </w:rPr>
              <w:t>2</w:t>
            </w:r>
          </w:p>
        </w:tc>
      </w:tr>
      <w:tr w:rsidR="004C0B2C" w14:paraId="55EA9D96" w14:textId="77777777" w:rsidTr="0050234E">
        <w:tc>
          <w:tcPr>
            <w:tcW w:w="562" w:type="dxa"/>
            <w:vAlign w:val="center"/>
          </w:tcPr>
          <w:p w14:paraId="3B5ED041" w14:textId="11982220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  <w:vAlign w:val="center"/>
          </w:tcPr>
          <w:p w14:paraId="3F681D56" w14:textId="475F6E8F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150</w:t>
            </w:r>
          </w:p>
        </w:tc>
        <w:tc>
          <w:tcPr>
            <w:tcW w:w="2606" w:type="dxa"/>
            <w:vAlign w:val="center"/>
          </w:tcPr>
          <w:p w14:paraId="183A5046" w14:textId="2DC01921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7</w:t>
            </w:r>
          </w:p>
        </w:tc>
        <w:tc>
          <w:tcPr>
            <w:tcW w:w="1813" w:type="dxa"/>
            <w:vAlign w:val="center"/>
          </w:tcPr>
          <w:p w14:paraId="102653B7" w14:textId="2D176520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47,84</w:t>
            </w:r>
          </w:p>
        </w:tc>
        <w:tc>
          <w:tcPr>
            <w:tcW w:w="1813" w:type="dxa"/>
          </w:tcPr>
          <w:p w14:paraId="2966557E" w14:textId="463681BB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21,91</w:t>
            </w:r>
            <w:r w:rsidR="006A1D4C" w:rsidRPr="00775D40">
              <w:rPr>
                <w:sz w:val="24"/>
                <w:szCs w:val="24"/>
              </w:rPr>
              <w:t>8</w:t>
            </w:r>
          </w:p>
        </w:tc>
      </w:tr>
      <w:tr w:rsidR="004C0B2C" w14:paraId="689AA595" w14:textId="77777777" w:rsidTr="0050234E">
        <w:tc>
          <w:tcPr>
            <w:tcW w:w="562" w:type="dxa"/>
            <w:vAlign w:val="center"/>
          </w:tcPr>
          <w:p w14:paraId="24AC6307" w14:textId="1461EFCF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9</w:t>
            </w:r>
          </w:p>
        </w:tc>
        <w:tc>
          <w:tcPr>
            <w:tcW w:w="2268" w:type="dxa"/>
            <w:vAlign w:val="center"/>
          </w:tcPr>
          <w:p w14:paraId="045FCDBA" w14:textId="51E76F8D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175</w:t>
            </w:r>
          </w:p>
        </w:tc>
        <w:tc>
          <w:tcPr>
            <w:tcW w:w="2606" w:type="dxa"/>
            <w:vAlign w:val="center"/>
          </w:tcPr>
          <w:p w14:paraId="6A64054D" w14:textId="2D139602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6,9</w:t>
            </w:r>
          </w:p>
        </w:tc>
        <w:tc>
          <w:tcPr>
            <w:tcW w:w="1813" w:type="dxa"/>
            <w:vAlign w:val="center"/>
          </w:tcPr>
          <w:p w14:paraId="1A2C45AC" w14:textId="6E541047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58,19</w:t>
            </w:r>
          </w:p>
        </w:tc>
        <w:tc>
          <w:tcPr>
            <w:tcW w:w="1813" w:type="dxa"/>
          </w:tcPr>
          <w:p w14:paraId="2F79A423" w14:textId="26A18F8D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22,52</w:t>
            </w:r>
            <w:r w:rsidR="006A1D4C" w:rsidRPr="00775D40">
              <w:rPr>
                <w:sz w:val="24"/>
                <w:szCs w:val="24"/>
              </w:rPr>
              <w:t>5</w:t>
            </w:r>
          </w:p>
        </w:tc>
      </w:tr>
      <w:tr w:rsidR="004C0B2C" w14:paraId="265D73C1" w14:textId="77777777" w:rsidTr="0050234E">
        <w:tc>
          <w:tcPr>
            <w:tcW w:w="562" w:type="dxa"/>
            <w:vAlign w:val="center"/>
          </w:tcPr>
          <w:p w14:paraId="0FCF414A" w14:textId="1B2EEBBC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10</w:t>
            </w:r>
          </w:p>
        </w:tc>
        <w:tc>
          <w:tcPr>
            <w:tcW w:w="2268" w:type="dxa"/>
            <w:vAlign w:val="center"/>
          </w:tcPr>
          <w:p w14:paraId="1D086689" w14:textId="26B58113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450</w:t>
            </w:r>
          </w:p>
        </w:tc>
        <w:tc>
          <w:tcPr>
            <w:tcW w:w="2606" w:type="dxa"/>
            <w:vAlign w:val="center"/>
          </w:tcPr>
          <w:p w14:paraId="66526784" w14:textId="2A01659C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7</w:t>
            </w:r>
          </w:p>
        </w:tc>
        <w:tc>
          <w:tcPr>
            <w:tcW w:w="1813" w:type="dxa"/>
            <w:vAlign w:val="center"/>
          </w:tcPr>
          <w:p w14:paraId="025A1351" w14:textId="4F0AFA8A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145</w:t>
            </w:r>
          </w:p>
        </w:tc>
        <w:tc>
          <w:tcPr>
            <w:tcW w:w="1813" w:type="dxa"/>
          </w:tcPr>
          <w:p w14:paraId="54A3AE2A" w14:textId="4DAE3224" w:rsidR="004C0B2C" w:rsidRPr="00775D40" w:rsidRDefault="004C0B2C" w:rsidP="004C0B2C">
            <w:pPr>
              <w:jc w:val="center"/>
              <w:rPr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22,14</w:t>
            </w:r>
            <w:r w:rsidR="006A1D4C" w:rsidRPr="00775D40">
              <w:rPr>
                <w:sz w:val="24"/>
                <w:szCs w:val="24"/>
              </w:rPr>
              <w:t>4</w:t>
            </w:r>
          </w:p>
        </w:tc>
      </w:tr>
    </w:tbl>
    <w:p w14:paraId="1A916257" w14:textId="77777777" w:rsidR="00147AD7" w:rsidRPr="00147AD7" w:rsidRDefault="00147AD7" w:rsidP="00147AD7">
      <w:pPr>
        <w:rPr>
          <w:sz w:val="24"/>
          <w:szCs w:val="24"/>
        </w:rPr>
      </w:pPr>
    </w:p>
    <w:p w14:paraId="066995B6" w14:textId="77777777" w:rsidR="00036045" w:rsidRPr="00775D40" w:rsidRDefault="00036045" w:rsidP="00036045">
      <w:pPr>
        <w:rPr>
          <w:sz w:val="24"/>
          <w:szCs w:val="24"/>
        </w:rPr>
      </w:pPr>
    </w:p>
    <w:p w14:paraId="2D120C52" w14:textId="43C63131" w:rsidR="004C0B2C" w:rsidRPr="006C283B" w:rsidRDefault="004C0B2C" w:rsidP="006C283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6C283B">
        <w:rPr>
          <w:sz w:val="24"/>
          <w:szCs w:val="24"/>
        </w:rPr>
        <w:t>Niepewności pomiarowe</w:t>
      </w:r>
    </w:p>
    <w:p w14:paraId="564567F9" w14:textId="6DC944A5" w:rsidR="00775D40" w:rsidRPr="00775D40" w:rsidRDefault="00775D40" w:rsidP="00F50A54">
      <w:pPr>
        <w:ind w:left="360"/>
        <w:rPr>
          <w:sz w:val="24"/>
          <w:szCs w:val="24"/>
        </w:rPr>
      </w:pPr>
      <w:r w:rsidRPr="00775D40">
        <w:rPr>
          <w:sz w:val="24"/>
          <w:szCs w:val="24"/>
        </w:rPr>
        <w:t>Poniżej określono niepewności pomiarowe:</w:t>
      </w:r>
    </w:p>
    <w:p w14:paraId="0631E648" w14:textId="1F2492C7" w:rsidR="004C0B2C" w:rsidRPr="00775D40" w:rsidRDefault="004C0B2C" w:rsidP="00F50A54">
      <w:pPr>
        <w:pStyle w:val="Akapitzlist"/>
        <w:numPr>
          <w:ilvl w:val="0"/>
          <w:numId w:val="5"/>
        </w:numPr>
        <w:ind w:left="1080"/>
        <w:rPr>
          <w:sz w:val="24"/>
          <w:szCs w:val="24"/>
        </w:rPr>
      </w:pPr>
      <w:r w:rsidRPr="00775D40">
        <w:rPr>
          <w:sz w:val="24"/>
          <w:szCs w:val="24"/>
        </w:rPr>
        <w:t>Manometr</w:t>
      </w:r>
      <w:r w:rsidR="00775D40">
        <w:rPr>
          <w:sz w:val="24"/>
          <w:szCs w:val="24"/>
        </w:rPr>
        <w:t xml:space="preserve"> -</w:t>
      </w:r>
      <w:r w:rsidRPr="00775D4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u</m:t>
        </m:r>
      </m:oMath>
      <w:r w:rsidR="00775D40">
        <w:rPr>
          <w:sz w:val="24"/>
          <w:szCs w:val="24"/>
          <w:vertAlign w:val="subscript"/>
        </w:rPr>
        <w:t>b</w:t>
      </w:r>
      <w:r w:rsidR="00775D40" w:rsidRPr="00775D40">
        <w:rPr>
          <w:sz w:val="24"/>
          <w:szCs w:val="24"/>
        </w:rPr>
        <w:t xml:space="preserve"> </w:t>
      </w:r>
      <w:r w:rsidRPr="00775D40">
        <w:rPr>
          <w:sz w:val="24"/>
          <w:szCs w:val="24"/>
        </w:rPr>
        <w:t>(</w:t>
      </w:r>
      <w:proofErr w:type="spellStart"/>
      <w:r w:rsidR="000D2CD3" w:rsidRPr="00775D40">
        <w:rPr>
          <w:sz w:val="24"/>
          <w:szCs w:val="24"/>
        </w:rPr>
        <w:t>Δh</w:t>
      </w:r>
      <w:proofErr w:type="spellEnd"/>
      <w:r w:rsidRPr="00775D40">
        <w:rPr>
          <w:sz w:val="24"/>
          <w:szCs w:val="24"/>
        </w:rPr>
        <w:t>) = 1 mm</w:t>
      </w:r>
    </w:p>
    <w:p w14:paraId="11C040F0" w14:textId="2F4AB728" w:rsidR="000D2CD3" w:rsidRPr="00775D40" w:rsidRDefault="000D2CD3" w:rsidP="00F50A54">
      <w:pPr>
        <w:pStyle w:val="Akapitzlist"/>
        <w:numPr>
          <w:ilvl w:val="0"/>
          <w:numId w:val="5"/>
        </w:numPr>
        <w:ind w:left="1080"/>
        <w:rPr>
          <w:sz w:val="24"/>
          <w:szCs w:val="24"/>
        </w:rPr>
      </w:pPr>
      <w:r w:rsidRPr="00775D40">
        <w:rPr>
          <w:sz w:val="24"/>
          <w:szCs w:val="24"/>
        </w:rPr>
        <w:t>Menzurka</w:t>
      </w:r>
      <w:r w:rsidR="00775D40">
        <w:rPr>
          <w:sz w:val="24"/>
          <w:szCs w:val="24"/>
        </w:rPr>
        <w:t xml:space="preserve"> -</w:t>
      </w:r>
      <w:r w:rsidRPr="00775D4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u</m:t>
        </m:r>
      </m:oMath>
      <w:r w:rsidR="00775D40">
        <w:rPr>
          <w:sz w:val="24"/>
          <w:szCs w:val="24"/>
          <w:vertAlign w:val="subscript"/>
        </w:rPr>
        <w:t>b</w:t>
      </w:r>
      <w:r w:rsidR="00775D40" w:rsidRPr="00775D40">
        <w:rPr>
          <w:sz w:val="24"/>
          <w:szCs w:val="24"/>
        </w:rPr>
        <w:t xml:space="preserve"> </w:t>
      </w:r>
      <w:r w:rsidRPr="00775D40">
        <w:rPr>
          <w:sz w:val="24"/>
          <w:szCs w:val="24"/>
        </w:rPr>
        <w:t>(V) = 5ml</w:t>
      </w:r>
    </w:p>
    <w:p w14:paraId="2D7C2AAA" w14:textId="7FD7F66D" w:rsidR="000D2CD3" w:rsidRPr="00775D40" w:rsidRDefault="000D2CD3" w:rsidP="00F50A54">
      <w:pPr>
        <w:pStyle w:val="Akapitzlist"/>
        <w:numPr>
          <w:ilvl w:val="0"/>
          <w:numId w:val="5"/>
        </w:numPr>
        <w:ind w:left="1080"/>
        <w:rPr>
          <w:sz w:val="24"/>
          <w:szCs w:val="24"/>
        </w:rPr>
      </w:pPr>
      <w:r w:rsidRPr="00775D40">
        <w:rPr>
          <w:sz w:val="24"/>
          <w:szCs w:val="24"/>
        </w:rPr>
        <w:t>Stoper</w:t>
      </w:r>
      <w:r w:rsidR="00775D40">
        <w:rPr>
          <w:sz w:val="24"/>
          <w:szCs w:val="24"/>
        </w:rPr>
        <w:t xml:space="preserve"> -</w:t>
      </w:r>
      <w:r w:rsidRPr="00775D4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u</m:t>
        </m:r>
      </m:oMath>
      <w:r w:rsidR="00775D40">
        <w:rPr>
          <w:sz w:val="24"/>
          <w:szCs w:val="24"/>
          <w:vertAlign w:val="subscript"/>
        </w:rPr>
        <w:t>b</w:t>
      </w:r>
      <w:r w:rsidRPr="00775D40">
        <w:rPr>
          <w:sz w:val="24"/>
          <w:szCs w:val="24"/>
        </w:rPr>
        <w:t>(t) = 0,</w:t>
      </w:r>
      <w:r w:rsidR="00B54072" w:rsidRPr="00775D40">
        <w:rPr>
          <w:sz w:val="24"/>
          <w:szCs w:val="24"/>
        </w:rPr>
        <w:t>01</w:t>
      </w:r>
      <w:r w:rsidRPr="00775D40">
        <w:rPr>
          <w:sz w:val="24"/>
          <w:szCs w:val="24"/>
        </w:rPr>
        <w:t>s</w:t>
      </w:r>
    </w:p>
    <w:p w14:paraId="33F083BB" w14:textId="77777777" w:rsidR="0097595C" w:rsidRDefault="0097595C" w:rsidP="004C0B2C">
      <w:pPr>
        <w:rPr>
          <w:sz w:val="24"/>
          <w:szCs w:val="24"/>
        </w:rPr>
      </w:pPr>
    </w:p>
    <w:p w14:paraId="27949432" w14:textId="77777777" w:rsidR="00775D40" w:rsidRDefault="00775D40" w:rsidP="004C0B2C">
      <w:pPr>
        <w:rPr>
          <w:sz w:val="24"/>
          <w:szCs w:val="24"/>
        </w:rPr>
      </w:pPr>
    </w:p>
    <w:p w14:paraId="223FFFA8" w14:textId="77777777" w:rsidR="00775D40" w:rsidRDefault="00775D40" w:rsidP="004C0B2C">
      <w:pPr>
        <w:rPr>
          <w:sz w:val="24"/>
          <w:szCs w:val="24"/>
        </w:rPr>
      </w:pPr>
    </w:p>
    <w:p w14:paraId="7E932224" w14:textId="77777777" w:rsidR="00775D40" w:rsidRPr="00775D40" w:rsidRDefault="00775D40" w:rsidP="004C0B2C">
      <w:pPr>
        <w:rPr>
          <w:sz w:val="24"/>
          <w:szCs w:val="24"/>
        </w:rPr>
      </w:pPr>
    </w:p>
    <w:p w14:paraId="4E1146F4" w14:textId="3B3A174A" w:rsidR="0097595C" w:rsidRPr="006C283B" w:rsidRDefault="00C4055A" w:rsidP="006C283B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</w:t>
      </w:r>
      <w:r w:rsidR="0097595C" w:rsidRPr="006C283B">
        <w:rPr>
          <w:sz w:val="24"/>
          <w:szCs w:val="24"/>
        </w:rPr>
        <w:t>yznaczeni</w:t>
      </w:r>
      <w:r>
        <w:rPr>
          <w:sz w:val="24"/>
          <w:szCs w:val="24"/>
        </w:rPr>
        <w:t>e</w:t>
      </w:r>
      <w:r w:rsidR="0097595C" w:rsidRPr="006C283B">
        <w:rPr>
          <w:sz w:val="24"/>
          <w:szCs w:val="24"/>
        </w:rPr>
        <w:t xml:space="preserve"> niepewności pomiarowych</w:t>
      </w:r>
      <w:r>
        <w:rPr>
          <w:sz w:val="24"/>
          <w:szCs w:val="24"/>
        </w:rPr>
        <w:t xml:space="preserve"> </w:t>
      </w:r>
      <w:r w:rsidRPr="006C283B">
        <w:rPr>
          <w:sz w:val="24"/>
          <w:szCs w:val="24"/>
        </w:rPr>
        <w:t xml:space="preserve">współczynnika lepkości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97595C" w:rsidRPr="006C283B">
        <w:rPr>
          <w:sz w:val="24"/>
          <w:szCs w:val="24"/>
        </w:rPr>
        <w:t>, korzystając z prawa przenoszenia niepewności pomiarowych dla każdej trójki danych</w:t>
      </w:r>
      <w:r>
        <w:rPr>
          <w:sz w:val="24"/>
          <w:szCs w:val="24"/>
        </w:rPr>
        <w:t xml:space="preserve">. </w:t>
      </w:r>
      <w:r w:rsidR="0097595C" w:rsidRPr="006C283B">
        <w:rPr>
          <w:sz w:val="24"/>
          <w:szCs w:val="24"/>
        </w:rPr>
        <w:t>Do wyznaczenia niepewności użyto wzoru:</w:t>
      </w:r>
    </w:p>
    <w:p w14:paraId="09DC0568" w14:textId="5709E062" w:rsidR="0097595C" w:rsidRPr="00775D40" w:rsidRDefault="0097595C" w:rsidP="004C0B2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(V)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Δh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3F09728F" w14:textId="251A41F4" w:rsidR="00054DE6" w:rsidRDefault="00054DE6" w:rsidP="004C0B2C">
      <w:pPr>
        <w:rPr>
          <w:rFonts w:eastAsiaTheme="minorEastAsia"/>
          <w:sz w:val="24"/>
          <w:szCs w:val="24"/>
        </w:rPr>
      </w:pPr>
      <w:r w:rsidRPr="00775D40">
        <w:rPr>
          <w:rFonts w:eastAsiaTheme="minorEastAsia"/>
          <w:sz w:val="24"/>
          <w:szCs w:val="24"/>
        </w:rPr>
        <w:t>Tabela dla wyznaczonych niepewności pomiarowych: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"/>
        <w:gridCol w:w="5592"/>
        <w:gridCol w:w="3010"/>
      </w:tblGrid>
      <w:tr w:rsidR="006C283B" w14:paraId="60DDB579" w14:textId="77777777" w:rsidTr="0068338B">
        <w:tc>
          <w:tcPr>
            <w:tcW w:w="460" w:type="dxa"/>
            <w:vAlign w:val="center"/>
          </w:tcPr>
          <w:p w14:paraId="5D41502E" w14:textId="28DB5D05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</w:t>
            </w:r>
          </w:p>
        </w:tc>
        <w:tc>
          <w:tcPr>
            <w:tcW w:w="5592" w:type="dxa"/>
            <w:vAlign w:val="center"/>
          </w:tcPr>
          <w:p w14:paraId="2DADD36C" w14:textId="1E034765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 xml:space="preserve">Współczynnik lepkości </w:t>
            </w:r>
            <w:proofErr w:type="spellStart"/>
            <w:r w:rsidRPr="00775D40">
              <w:rPr>
                <w:sz w:val="24"/>
                <w:szCs w:val="24"/>
              </w:rPr>
              <w:t>η</w:t>
            </w:r>
            <w:r w:rsidRPr="00775D40">
              <w:rPr>
                <w:sz w:val="24"/>
                <w:szCs w:val="24"/>
                <w:vertAlign w:val="subscript"/>
              </w:rPr>
              <w:t>i</w:t>
            </w:r>
            <w:proofErr w:type="spellEnd"/>
            <w:r w:rsidRPr="00775D40">
              <w:rPr>
                <w:sz w:val="24"/>
                <w:szCs w:val="24"/>
              </w:rPr>
              <w:t xml:space="preserve"> [Pa*s (10</w:t>
            </w:r>
            <w:r w:rsidRPr="00775D40">
              <w:rPr>
                <w:sz w:val="24"/>
                <w:szCs w:val="24"/>
                <w:vertAlign w:val="superscript"/>
              </w:rPr>
              <w:t>-6</w:t>
            </w:r>
            <w:r w:rsidRPr="00775D40">
              <w:rPr>
                <w:sz w:val="24"/>
                <w:szCs w:val="24"/>
              </w:rPr>
              <w:t>)]</w:t>
            </w:r>
          </w:p>
        </w:tc>
        <w:tc>
          <w:tcPr>
            <w:tcW w:w="3010" w:type="dxa"/>
            <w:vAlign w:val="center"/>
          </w:tcPr>
          <w:p w14:paraId="0094A07E" w14:textId="3D0008D4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Niepewność pomiarowa u(</w:t>
            </w:r>
            <w:proofErr w:type="spellStart"/>
            <w:r w:rsidRPr="00775D40">
              <w:rPr>
                <w:sz w:val="24"/>
                <w:szCs w:val="24"/>
              </w:rPr>
              <w:t>η</w:t>
            </w:r>
            <w:r w:rsidRPr="00775D40">
              <w:rPr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>) [</w:t>
            </w:r>
            <w:r w:rsidRPr="00775D40">
              <w:rPr>
                <w:sz w:val="24"/>
                <w:szCs w:val="24"/>
              </w:rPr>
              <w:t>10</w:t>
            </w:r>
            <w:r w:rsidRPr="00775D40">
              <w:rPr>
                <w:sz w:val="24"/>
                <w:szCs w:val="24"/>
                <w:vertAlign w:val="superscript"/>
              </w:rPr>
              <w:t>-6</w:t>
            </w:r>
            <w:r>
              <w:rPr>
                <w:rFonts w:eastAsiaTheme="minorEastAsia"/>
                <w:sz w:val="24"/>
                <w:szCs w:val="24"/>
              </w:rPr>
              <w:t>]</w:t>
            </w:r>
          </w:p>
        </w:tc>
      </w:tr>
      <w:tr w:rsidR="006C283B" w14:paraId="2D39D754" w14:textId="77777777" w:rsidTr="0068338B">
        <w:tc>
          <w:tcPr>
            <w:tcW w:w="460" w:type="dxa"/>
            <w:vAlign w:val="center"/>
          </w:tcPr>
          <w:p w14:paraId="3487C989" w14:textId="7EF706A6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1</w:t>
            </w:r>
          </w:p>
        </w:tc>
        <w:tc>
          <w:tcPr>
            <w:tcW w:w="5592" w:type="dxa"/>
            <w:vAlign w:val="center"/>
          </w:tcPr>
          <w:p w14:paraId="584B6542" w14:textId="6184090F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23,134</w:t>
            </w:r>
          </w:p>
        </w:tc>
        <w:tc>
          <w:tcPr>
            <w:tcW w:w="3010" w:type="dxa"/>
            <w:vAlign w:val="center"/>
          </w:tcPr>
          <w:p w14:paraId="5F7882AC" w14:textId="558259FA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2,1</w:t>
            </w:r>
          </w:p>
        </w:tc>
      </w:tr>
      <w:tr w:rsidR="006C283B" w14:paraId="06254AB4" w14:textId="77777777" w:rsidTr="0068338B">
        <w:tc>
          <w:tcPr>
            <w:tcW w:w="460" w:type="dxa"/>
            <w:vAlign w:val="center"/>
          </w:tcPr>
          <w:p w14:paraId="1F067900" w14:textId="65C701FE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</w:t>
            </w:r>
          </w:p>
        </w:tc>
        <w:tc>
          <w:tcPr>
            <w:tcW w:w="5592" w:type="dxa"/>
            <w:vAlign w:val="center"/>
          </w:tcPr>
          <w:p w14:paraId="565CB36A" w14:textId="215C7D3C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21,803</w:t>
            </w:r>
          </w:p>
        </w:tc>
        <w:tc>
          <w:tcPr>
            <w:tcW w:w="3010" w:type="dxa"/>
            <w:vAlign w:val="center"/>
          </w:tcPr>
          <w:p w14:paraId="3D5BCF1C" w14:textId="3B1AAD67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2,2</w:t>
            </w:r>
          </w:p>
        </w:tc>
      </w:tr>
      <w:tr w:rsidR="006C283B" w14:paraId="54FA32B6" w14:textId="77777777" w:rsidTr="0068338B">
        <w:tc>
          <w:tcPr>
            <w:tcW w:w="460" w:type="dxa"/>
            <w:vAlign w:val="center"/>
          </w:tcPr>
          <w:p w14:paraId="5FAF9396" w14:textId="1EA45880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3</w:t>
            </w:r>
          </w:p>
        </w:tc>
        <w:tc>
          <w:tcPr>
            <w:tcW w:w="5592" w:type="dxa"/>
            <w:vAlign w:val="center"/>
          </w:tcPr>
          <w:p w14:paraId="6DBDC42C" w14:textId="743D3924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21,718</w:t>
            </w:r>
          </w:p>
        </w:tc>
        <w:tc>
          <w:tcPr>
            <w:tcW w:w="3010" w:type="dxa"/>
            <w:vAlign w:val="center"/>
          </w:tcPr>
          <w:p w14:paraId="241BAE4B" w14:textId="2BD8F132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C283B">
              <w:rPr>
                <w:rFonts w:eastAsiaTheme="minorEastAsia"/>
                <w:sz w:val="24"/>
                <w:szCs w:val="24"/>
              </w:rPr>
              <w:t>2,</w:t>
            </w: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6C283B" w14:paraId="5648F5C5" w14:textId="77777777" w:rsidTr="0068338B">
        <w:tc>
          <w:tcPr>
            <w:tcW w:w="460" w:type="dxa"/>
            <w:vAlign w:val="center"/>
          </w:tcPr>
          <w:p w14:paraId="1D784430" w14:textId="21E3D735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4</w:t>
            </w:r>
          </w:p>
        </w:tc>
        <w:tc>
          <w:tcPr>
            <w:tcW w:w="5592" w:type="dxa"/>
            <w:vAlign w:val="center"/>
          </w:tcPr>
          <w:p w14:paraId="29DCB7A3" w14:textId="6BC60BD1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22,226</w:t>
            </w:r>
          </w:p>
        </w:tc>
        <w:tc>
          <w:tcPr>
            <w:tcW w:w="3010" w:type="dxa"/>
            <w:vAlign w:val="center"/>
          </w:tcPr>
          <w:p w14:paraId="137DA5A9" w14:textId="775B643F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C283B">
              <w:rPr>
                <w:rFonts w:eastAsiaTheme="minorEastAsia"/>
                <w:sz w:val="24"/>
                <w:szCs w:val="24"/>
              </w:rPr>
              <w:t>2,</w:t>
            </w: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6C283B" w14:paraId="0769D66E" w14:textId="77777777" w:rsidTr="0068338B">
        <w:tc>
          <w:tcPr>
            <w:tcW w:w="460" w:type="dxa"/>
            <w:vAlign w:val="center"/>
          </w:tcPr>
          <w:p w14:paraId="48097B4E" w14:textId="3CC3C247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5</w:t>
            </w:r>
          </w:p>
        </w:tc>
        <w:tc>
          <w:tcPr>
            <w:tcW w:w="5592" w:type="dxa"/>
            <w:vAlign w:val="center"/>
          </w:tcPr>
          <w:p w14:paraId="2ECC3907" w14:textId="27C046F1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23,616</w:t>
            </w:r>
          </w:p>
        </w:tc>
        <w:tc>
          <w:tcPr>
            <w:tcW w:w="3010" w:type="dxa"/>
            <w:vAlign w:val="center"/>
          </w:tcPr>
          <w:p w14:paraId="6BB48547" w14:textId="13730B05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C283B">
              <w:rPr>
                <w:rFonts w:eastAsiaTheme="minorEastAsia"/>
                <w:sz w:val="24"/>
                <w:szCs w:val="24"/>
              </w:rPr>
              <w:t>2,2</w:t>
            </w:r>
          </w:p>
        </w:tc>
      </w:tr>
      <w:tr w:rsidR="006C283B" w14:paraId="49BD1489" w14:textId="77777777" w:rsidTr="0068338B">
        <w:tc>
          <w:tcPr>
            <w:tcW w:w="460" w:type="dxa"/>
            <w:vAlign w:val="center"/>
          </w:tcPr>
          <w:p w14:paraId="0253E127" w14:textId="3D00F635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6</w:t>
            </w:r>
          </w:p>
        </w:tc>
        <w:tc>
          <w:tcPr>
            <w:tcW w:w="5592" w:type="dxa"/>
            <w:vAlign w:val="center"/>
          </w:tcPr>
          <w:p w14:paraId="66F14891" w14:textId="166E4254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22,01</w:t>
            </w:r>
          </w:p>
        </w:tc>
        <w:tc>
          <w:tcPr>
            <w:tcW w:w="3010" w:type="dxa"/>
            <w:vAlign w:val="center"/>
          </w:tcPr>
          <w:p w14:paraId="5179D3BF" w14:textId="564BE6C1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C283B">
              <w:rPr>
                <w:rFonts w:eastAsiaTheme="minorEastAsia"/>
                <w:sz w:val="24"/>
                <w:szCs w:val="24"/>
              </w:rPr>
              <w:t>1,6</w:t>
            </w:r>
          </w:p>
        </w:tc>
      </w:tr>
      <w:tr w:rsidR="006C283B" w14:paraId="75F2965B" w14:textId="77777777" w:rsidTr="0068338B">
        <w:tc>
          <w:tcPr>
            <w:tcW w:w="460" w:type="dxa"/>
            <w:vAlign w:val="center"/>
          </w:tcPr>
          <w:p w14:paraId="75C9B6EA" w14:textId="68F235FA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7</w:t>
            </w:r>
          </w:p>
        </w:tc>
        <w:tc>
          <w:tcPr>
            <w:tcW w:w="5592" w:type="dxa"/>
            <w:vAlign w:val="center"/>
          </w:tcPr>
          <w:p w14:paraId="567B2578" w14:textId="1EF33B87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22,262</w:t>
            </w:r>
          </w:p>
        </w:tc>
        <w:tc>
          <w:tcPr>
            <w:tcW w:w="3010" w:type="dxa"/>
            <w:vAlign w:val="center"/>
          </w:tcPr>
          <w:p w14:paraId="4D594D2D" w14:textId="04E2E174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C283B">
              <w:rPr>
                <w:rFonts w:eastAsiaTheme="minorEastAsia"/>
                <w:sz w:val="24"/>
                <w:szCs w:val="24"/>
              </w:rPr>
              <w:t>2,</w:t>
            </w: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6C283B" w14:paraId="0C8AE56F" w14:textId="77777777" w:rsidTr="0068338B">
        <w:tc>
          <w:tcPr>
            <w:tcW w:w="460" w:type="dxa"/>
            <w:vAlign w:val="center"/>
          </w:tcPr>
          <w:p w14:paraId="105ADF28" w14:textId="2F0DB926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8</w:t>
            </w:r>
          </w:p>
        </w:tc>
        <w:tc>
          <w:tcPr>
            <w:tcW w:w="5592" w:type="dxa"/>
            <w:vAlign w:val="center"/>
          </w:tcPr>
          <w:p w14:paraId="092FB922" w14:textId="743F678E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21,918</w:t>
            </w:r>
          </w:p>
        </w:tc>
        <w:tc>
          <w:tcPr>
            <w:tcW w:w="3010" w:type="dxa"/>
            <w:vAlign w:val="center"/>
          </w:tcPr>
          <w:p w14:paraId="06DDF84A" w14:textId="21336BCA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C283B">
              <w:rPr>
                <w:rFonts w:eastAsiaTheme="minorEastAsia"/>
                <w:sz w:val="24"/>
                <w:szCs w:val="24"/>
              </w:rPr>
              <w:t>2,6</w:t>
            </w:r>
          </w:p>
        </w:tc>
      </w:tr>
      <w:tr w:rsidR="006C283B" w14:paraId="680C9DEF" w14:textId="77777777" w:rsidTr="0068338B">
        <w:tc>
          <w:tcPr>
            <w:tcW w:w="460" w:type="dxa"/>
            <w:vAlign w:val="center"/>
          </w:tcPr>
          <w:p w14:paraId="47908FCB" w14:textId="3C84ADEA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9</w:t>
            </w:r>
          </w:p>
        </w:tc>
        <w:tc>
          <w:tcPr>
            <w:tcW w:w="5592" w:type="dxa"/>
            <w:vAlign w:val="center"/>
          </w:tcPr>
          <w:p w14:paraId="0FE928A1" w14:textId="3F74B7A9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22,525</w:t>
            </w:r>
          </w:p>
        </w:tc>
        <w:tc>
          <w:tcPr>
            <w:tcW w:w="3010" w:type="dxa"/>
            <w:vAlign w:val="center"/>
          </w:tcPr>
          <w:p w14:paraId="7EC85FB5" w14:textId="385F346E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C283B">
              <w:rPr>
                <w:rFonts w:eastAsiaTheme="minorEastAsia"/>
                <w:sz w:val="24"/>
                <w:szCs w:val="24"/>
              </w:rPr>
              <w:t>2,5</w:t>
            </w:r>
          </w:p>
        </w:tc>
      </w:tr>
      <w:tr w:rsidR="006C283B" w14:paraId="7E29E8F8" w14:textId="77777777" w:rsidTr="0068338B">
        <w:tc>
          <w:tcPr>
            <w:tcW w:w="460" w:type="dxa"/>
            <w:vAlign w:val="center"/>
          </w:tcPr>
          <w:p w14:paraId="69E63C2C" w14:textId="4910ABF2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10</w:t>
            </w:r>
          </w:p>
        </w:tc>
        <w:tc>
          <w:tcPr>
            <w:tcW w:w="5592" w:type="dxa"/>
            <w:vAlign w:val="center"/>
          </w:tcPr>
          <w:p w14:paraId="409F4B3C" w14:textId="7BB698A5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75D40">
              <w:rPr>
                <w:sz w:val="24"/>
                <w:szCs w:val="24"/>
              </w:rPr>
              <w:t>22,144</w:t>
            </w:r>
          </w:p>
        </w:tc>
        <w:tc>
          <w:tcPr>
            <w:tcW w:w="3010" w:type="dxa"/>
            <w:vAlign w:val="center"/>
          </w:tcPr>
          <w:p w14:paraId="3A16222D" w14:textId="250E7C3F" w:rsidR="006C283B" w:rsidRDefault="006C283B" w:rsidP="006C283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C283B">
              <w:rPr>
                <w:rFonts w:eastAsiaTheme="minorEastAsia"/>
                <w:sz w:val="24"/>
                <w:szCs w:val="24"/>
              </w:rPr>
              <w:t>1,6</w:t>
            </w:r>
          </w:p>
        </w:tc>
      </w:tr>
    </w:tbl>
    <w:p w14:paraId="1972FB4F" w14:textId="77777777" w:rsidR="006C283B" w:rsidRDefault="006C283B" w:rsidP="004C0B2C">
      <w:pPr>
        <w:rPr>
          <w:rFonts w:eastAsiaTheme="minorEastAsia"/>
          <w:sz w:val="24"/>
          <w:szCs w:val="24"/>
        </w:rPr>
      </w:pPr>
    </w:p>
    <w:p w14:paraId="762E073F" w14:textId="0E0225A4" w:rsidR="0068338B" w:rsidRDefault="00C4055A" w:rsidP="00C4055A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Wyznaczenie średniej ważonej współczynnika lepkości powietrza oraz średniej ważonej niepewności pomiarowej. Skorzystano z poniższych wzorów:</w:t>
      </w:r>
    </w:p>
    <w:p w14:paraId="02E2BE82" w14:textId="3B687F0A" w:rsidR="00C4055A" w:rsidRDefault="00C4055A" w:rsidP="00C4055A">
      <w:pPr>
        <w:pStyle w:val="Akapitzlist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Na średnią ważoną lepkości powietrza:</w:t>
      </w:r>
    </w:p>
    <w:p w14:paraId="2B91E5E9" w14:textId="77777777" w:rsidR="00C4055A" w:rsidRDefault="00C4055A" w:rsidP="00C4055A">
      <w:pPr>
        <w:pStyle w:val="Akapitzlist"/>
        <w:rPr>
          <w:rFonts w:eastAsiaTheme="minorEastAsia"/>
          <w:sz w:val="24"/>
          <w:szCs w:val="24"/>
        </w:rPr>
      </w:pPr>
    </w:p>
    <w:p w14:paraId="0DF03A53" w14:textId="279D90BB" w:rsidR="00C4055A" w:rsidRPr="00C4055A" w:rsidRDefault="00000000" w:rsidP="00C4055A">
      <w:pPr>
        <w:pStyle w:val="Akapitzlist"/>
        <w:rPr>
          <w:rFonts w:eastAsiaTheme="minorEastAsia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63806B7" w14:textId="1CBDF344" w:rsidR="00C4055A" w:rsidRDefault="00C4055A" w:rsidP="00C4055A">
      <w:pPr>
        <w:pStyle w:val="Akapitzlist"/>
        <w:ind w:firstLine="69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74C1559F" w14:textId="117144D6" w:rsidR="00C4055A" w:rsidRPr="00C4055A" w:rsidRDefault="00000000" w:rsidP="00C4055A">
      <w:pPr>
        <w:pStyle w:val="Akapitzlist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1AF86F8A" w14:textId="6D8E6D3E" w:rsidR="00C4055A" w:rsidRDefault="00605EDE" w:rsidP="00C4055A">
      <w:pPr>
        <w:pStyle w:val="Akapitzlist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Na średnią ważoną niepewności:</w:t>
      </w:r>
    </w:p>
    <w:p w14:paraId="3E90137E" w14:textId="03FE69F5" w:rsidR="00605EDE" w:rsidRDefault="00605EDE" w:rsidP="00605EDE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</m:oMath>
      </m:oMathPara>
    </w:p>
    <w:p w14:paraId="40023D82" w14:textId="77777777" w:rsidR="00C4055A" w:rsidRDefault="00C4055A" w:rsidP="00C4055A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82"/>
        <w:gridCol w:w="4160"/>
      </w:tblGrid>
      <w:tr w:rsidR="00605EDE" w14:paraId="5BAFA138" w14:textId="77777777" w:rsidTr="00942646">
        <w:tc>
          <w:tcPr>
            <w:tcW w:w="4531" w:type="dxa"/>
            <w:vAlign w:val="center"/>
          </w:tcPr>
          <w:p w14:paraId="0D03900B" w14:textId="1826529C" w:rsidR="00605EDE" w:rsidRDefault="00605EDE" w:rsidP="00942646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Średnia ważona współczynnika lepkości</w:t>
            </w:r>
            <w:r w:rsidR="00942646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</m:bar>
            </m:oMath>
            <w:r w:rsidR="00942646" w:rsidRPr="00775D40">
              <w:rPr>
                <w:sz w:val="24"/>
                <w:szCs w:val="24"/>
                <w:vertAlign w:val="subscript"/>
              </w:rPr>
              <w:t>i</w:t>
            </w:r>
            <w:r w:rsidR="00942646" w:rsidRPr="00775D40">
              <w:rPr>
                <w:sz w:val="24"/>
                <w:szCs w:val="24"/>
              </w:rPr>
              <w:t xml:space="preserve"> [Pa*s (10</w:t>
            </w:r>
            <w:r w:rsidR="00942646" w:rsidRPr="00775D40">
              <w:rPr>
                <w:sz w:val="24"/>
                <w:szCs w:val="24"/>
                <w:vertAlign w:val="superscript"/>
              </w:rPr>
              <w:t>-6</w:t>
            </w:r>
            <w:r w:rsidR="00942646" w:rsidRPr="00775D40">
              <w:rPr>
                <w:sz w:val="24"/>
                <w:szCs w:val="24"/>
              </w:rPr>
              <w:t>)]</w:t>
            </w:r>
          </w:p>
        </w:tc>
        <w:tc>
          <w:tcPr>
            <w:tcW w:w="4531" w:type="dxa"/>
            <w:vAlign w:val="center"/>
          </w:tcPr>
          <w:p w14:paraId="319E3FA9" w14:textId="77777777" w:rsidR="00605EDE" w:rsidRDefault="00605EDE" w:rsidP="00942646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Średnia ważona niepewności</w:t>
            </w:r>
          </w:p>
          <w:p w14:paraId="5CB9B708" w14:textId="6CC712B5" w:rsidR="00942646" w:rsidRDefault="00942646" w:rsidP="00942646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u(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</m:bar>
            </m:oMath>
            <w:r w:rsidRPr="00775D40">
              <w:rPr>
                <w:sz w:val="24"/>
                <w:szCs w:val="24"/>
                <w:vertAlign w:val="subscript"/>
              </w:rPr>
              <w:t>i</w:t>
            </w:r>
            <w:r>
              <w:rPr>
                <w:rFonts w:eastAsiaTheme="minorEastAsia"/>
                <w:sz w:val="24"/>
                <w:szCs w:val="24"/>
              </w:rPr>
              <w:t>) [</w:t>
            </w:r>
            <w:r w:rsidRPr="00775D40">
              <w:rPr>
                <w:sz w:val="24"/>
                <w:szCs w:val="24"/>
              </w:rPr>
              <w:t>10</w:t>
            </w:r>
            <w:r w:rsidRPr="00775D40">
              <w:rPr>
                <w:sz w:val="24"/>
                <w:szCs w:val="24"/>
                <w:vertAlign w:val="superscript"/>
              </w:rPr>
              <w:t>-6</w:t>
            </w:r>
            <w:r>
              <w:rPr>
                <w:rFonts w:eastAsiaTheme="minorEastAsia"/>
                <w:sz w:val="24"/>
                <w:szCs w:val="24"/>
              </w:rPr>
              <w:t>]</w:t>
            </w:r>
          </w:p>
        </w:tc>
      </w:tr>
      <w:tr w:rsidR="00605EDE" w14:paraId="7A6F9F58" w14:textId="77777777" w:rsidTr="00942646">
        <w:tc>
          <w:tcPr>
            <w:tcW w:w="4531" w:type="dxa"/>
            <w:vAlign w:val="center"/>
          </w:tcPr>
          <w:p w14:paraId="7BC8D016" w14:textId="42382FAA" w:rsidR="00605EDE" w:rsidRDefault="00942646" w:rsidP="00942646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42646">
              <w:rPr>
                <w:rFonts w:eastAsiaTheme="minorEastAsia"/>
                <w:sz w:val="24"/>
                <w:szCs w:val="24"/>
              </w:rPr>
              <w:t>22,322</w:t>
            </w:r>
          </w:p>
        </w:tc>
        <w:tc>
          <w:tcPr>
            <w:tcW w:w="4531" w:type="dxa"/>
            <w:vAlign w:val="center"/>
          </w:tcPr>
          <w:p w14:paraId="61E3C7AA" w14:textId="3510D609" w:rsidR="00605EDE" w:rsidRDefault="00942646" w:rsidP="00942646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42646">
              <w:rPr>
                <w:rFonts w:eastAsiaTheme="minorEastAsia"/>
                <w:sz w:val="24"/>
                <w:szCs w:val="24"/>
              </w:rPr>
              <w:t>0,67</w:t>
            </w: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</w:tr>
    </w:tbl>
    <w:p w14:paraId="597A245B" w14:textId="1256064D" w:rsidR="00C4055A" w:rsidRDefault="00C4055A" w:rsidP="00C4055A">
      <w:pPr>
        <w:pStyle w:val="Akapitzlist"/>
        <w:rPr>
          <w:rFonts w:eastAsiaTheme="minorEastAsia"/>
          <w:sz w:val="24"/>
          <w:szCs w:val="24"/>
        </w:rPr>
      </w:pPr>
    </w:p>
    <w:p w14:paraId="1B84E7B4" w14:textId="77777777" w:rsidR="00605EDE" w:rsidRDefault="00605EDE" w:rsidP="00C4055A">
      <w:pPr>
        <w:pStyle w:val="Akapitzlist"/>
        <w:rPr>
          <w:rFonts w:eastAsiaTheme="minorEastAsia"/>
          <w:sz w:val="24"/>
          <w:szCs w:val="24"/>
        </w:rPr>
      </w:pPr>
    </w:p>
    <w:p w14:paraId="6FF56674" w14:textId="77777777" w:rsidR="00605EDE" w:rsidRDefault="00605EDE" w:rsidP="00C4055A">
      <w:pPr>
        <w:pStyle w:val="Akapitzlist"/>
        <w:rPr>
          <w:rFonts w:eastAsiaTheme="minorEastAsia"/>
          <w:sz w:val="24"/>
          <w:szCs w:val="24"/>
        </w:rPr>
      </w:pPr>
    </w:p>
    <w:p w14:paraId="2576F40C" w14:textId="77777777" w:rsidR="00605EDE" w:rsidRDefault="00605EDE" w:rsidP="00C4055A">
      <w:pPr>
        <w:pStyle w:val="Akapitzlist"/>
        <w:rPr>
          <w:rFonts w:eastAsiaTheme="minorEastAsia"/>
          <w:sz w:val="24"/>
          <w:szCs w:val="24"/>
        </w:rPr>
      </w:pPr>
    </w:p>
    <w:p w14:paraId="5F6CF38F" w14:textId="77777777" w:rsidR="00605EDE" w:rsidRDefault="00605EDE" w:rsidP="00C4055A">
      <w:pPr>
        <w:pStyle w:val="Akapitzlist"/>
        <w:rPr>
          <w:rFonts w:eastAsiaTheme="minorEastAsia"/>
          <w:sz w:val="24"/>
          <w:szCs w:val="24"/>
        </w:rPr>
      </w:pPr>
    </w:p>
    <w:p w14:paraId="0CE53C2B" w14:textId="4B37CFAE" w:rsidR="00507799" w:rsidRDefault="00507799" w:rsidP="00605EDE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Odczytano za pomocą termometru i barometru</w:t>
      </w:r>
      <w:r w:rsidR="0094264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wskazania temperatury i ciśnienia panującego w pracowni.</w:t>
      </w:r>
    </w:p>
    <w:p w14:paraId="300C51E6" w14:textId="77777777" w:rsidR="00507799" w:rsidRDefault="00507799" w:rsidP="00507799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91"/>
        <w:gridCol w:w="4151"/>
      </w:tblGrid>
      <w:tr w:rsidR="00507799" w14:paraId="32EAA02F" w14:textId="77777777" w:rsidTr="00507799">
        <w:tc>
          <w:tcPr>
            <w:tcW w:w="4531" w:type="dxa"/>
          </w:tcPr>
          <w:p w14:paraId="0CDEAB50" w14:textId="2CB22A24" w:rsidR="00507799" w:rsidRDefault="00507799" w:rsidP="00507799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Temperatura [</w:t>
            </w:r>
            <w:r>
              <w:rPr>
                <w:rFonts w:eastAsiaTheme="minorEastAsia" w:cstheme="minorHAnsi"/>
                <w:sz w:val="24"/>
                <w:szCs w:val="24"/>
              </w:rPr>
              <w:t>°</w:t>
            </w:r>
            <w:r>
              <w:rPr>
                <w:rFonts w:eastAsiaTheme="minorEastAsia"/>
                <w:sz w:val="24"/>
                <w:szCs w:val="24"/>
              </w:rPr>
              <w:t>C]</w:t>
            </w:r>
          </w:p>
        </w:tc>
        <w:tc>
          <w:tcPr>
            <w:tcW w:w="4531" w:type="dxa"/>
          </w:tcPr>
          <w:p w14:paraId="555EDA54" w14:textId="6556EA15" w:rsidR="00507799" w:rsidRDefault="00507799" w:rsidP="00507799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Ciśnienie [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hPa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>]</w:t>
            </w:r>
          </w:p>
        </w:tc>
      </w:tr>
      <w:tr w:rsidR="00507799" w14:paraId="58F5697F" w14:textId="77777777" w:rsidTr="00507799">
        <w:tc>
          <w:tcPr>
            <w:tcW w:w="4531" w:type="dxa"/>
          </w:tcPr>
          <w:p w14:paraId="6E0FF27A" w14:textId="302286A3" w:rsidR="00507799" w:rsidRDefault="00507799" w:rsidP="00507799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25</w:t>
            </w:r>
          </w:p>
        </w:tc>
        <w:tc>
          <w:tcPr>
            <w:tcW w:w="4531" w:type="dxa"/>
          </w:tcPr>
          <w:p w14:paraId="74D6367E" w14:textId="2D2858DD" w:rsidR="00507799" w:rsidRDefault="00507799" w:rsidP="00507799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990</w:t>
            </w:r>
          </w:p>
        </w:tc>
      </w:tr>
    </w:tbl>
    <w:p w14:paraId="4C3DF79D" w14:textId="77777777" w:rsidR="00507799" w:rsidRDefault="00507799" w:rsidP="00635533">
      <w:pPr>
        <w:ind w:left="360"/>
        <w:rPr>
          <w:rFonts w:eastAsiaTheme="minorEastAsia"/>
          <w:sz w:val="24"/>
          <w:szCs w:val="24"/>
        </w:rPr>
      </w:pPr>
    </w:p>
    <w:p w14:paraId="37CCB987" w14:textId="5632D2F6" w:rsidR="00605EDE" w:rsidRPr="00635533" w:rsidRDefault="00635533" w:rsidP="00A55C42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635533">
        <w:rPr>
          <w:rFonts w:eastAsiaTheme="minorEastAsia"/>
          <w:sz w:val="24"/>
          <w:szCs w:val="24"/>
        </w:rPr>
        <w:t>Wyznaczenie gęstości powietrza.</w:t>
      </w:r>
      <w:r>
        <w:rPr>
          <w:rFonts w:eastAsiaTheme="minorEastAsia"/>
          <w:sz w:val="24"/>
          <w:szCs w:val="24"/>
        </w:rPr>
        <w:t xml:space="preserve"> </w:t>
      </w:r>
      <w:r w:rsidR="00507799" w:rsidRPr="00635533">
        <w:rPr>
          <w:rFonts w:eastAsiaTheme="minorEastAsia"/>
          <w:sz w:val="24"/>
          <w:szCs w:val="24"/>
        </w:rPr>
        <w:t>Do obliczeń s</w:t>
      </w:r>
      <w:r w:rsidR="00942646" w:rsidRPr="00635533">
        <w:rPr>
          <w:rFonts w:eastAsiaTheme="minorEastAsia"/>
          <w:sz w:val="24"/>
          <w:szCs w:val="24"/>
        </w:rPr>
        <w:t>korzystano z poniższego wzoru:</w:t>
      </w:r>
    </w:p>
    <w:p w14:paraId="649D8093" w14:textId="1023BB23" w:rsidR="00942646" w:rsidRPr="00507799" w:rsidRDefault="00000000" w:rsidP="00942646">
      <w:pPr>
        <w:pStyle w:val="Akapitzlist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RT</m:t>
              </m:r>
            </m:den>
          </m:f>
        </m:oMath>
      </m:oMathPara>
    </w:p>
    <w:p w14:paraId="5F2CC299" w14:textId="0BAA091F" w:rsidR="00942646" w:rsidRDefault="00942646" w:rsidP="00942646">
      <w:pPr>
        <w:pStyle w:val="Akapitzli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69D7A269" w14:textId="34BDA997" w:rsidR="00942646" w:rsidRDefault="00942646" w:rsidP="00942646">
      <w:pPr>
        <w:pStyle w:val="Akapitzlist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Masa molowa powietrza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</m:oMath>
      <w:r w:rsidRPr="00942646">
        <w:rPr>
          <w:rFonts w:eastAsiaTheme="minorEastAsia"/>
          <w:sz w:val="24"/>
          <w:szCs w:val="24"/>
        </w:rPr>
        <w:t xml:space="preserve"> 28,87 </w:t>
      </w:r>
      <m:oMath>
        <m:r>
          <w:rPr>
            <w:rFonts w:ascii="Cambria Math" w:hAnsi="Cambria Math"/>
            <w:sz w:val="24"/>
            <w:szCs w:val="24"/>
          </w:rPr>
          <m:t xml:space="preserve">∙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Pr="00942646">
        <w:rPr>
          <w:rFonts w:eastAsiaTheme="minorEastAsia"/>
          <w:sz w:val="24"/>
          <w:szCs w:val="24"/>
        </w:rPr>
        <w:t>kg/mol</w:t>
      </w:r>
    </w:p>
    <w:p w14:paraId="2C09A64F" w14:textId="7160BE1C" w:rsidR="00C4055A" w:rsidRPr="00507799" w:rsidRDefault="00942646" w:rsidP="00507799">
      <w:pPr>
        <w:pStyle w:val="Akapitzlist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Uniwersalna stała gazowa R = 8,31 J/(mol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>
        <w:rPr>
          <w:rFonts w:eastAsiaTheme="minorEastAsia"/>
          <w:sz w:val="24"/>
          <w:szCs w:val="24"/>
        </w:rPr>
        <w:t>K)</w:t>
      </w:r>
    </w:p>
    <w:tbl>
      <w:tblPr>
        <w:tblStyle w:val="Tabela-Siatka"/>
        <w:tblW w:w="8363" w:type="dxa"/>
        <w:tblInd w:w="704" w:type="dxa"/>
        <w:tblLook w:val="04A0" w:firstRow="1" w:lastRow="0" w:firstColumn="1" w:lastColumn="0" w:noHBand="0" w:noVBand="1"/>
      </w:tblPr>
      <w:tblGrid>
        <w:gridCol w:w="4253"/>
        <w:gridCol w:w="4110"/>
      </w:tblGrid>
      <w:tr w:rsidR="00507799" w14:paraId="63A0E689" w14:textId="77777777" w:rsidTr="00507799">
        <w:trPr>
          <w:trHeight w:val="414"/>
        </w:trPr>
        <w:tc>
          <w:tcPr>
            <w:tcW w:w="4253" w:type="dxa"/>
            <w:vAlign w:val="center"/>
          </w:tcPr>
          <w:p w14:paraId="484A18E7" w14:textId="062A1407" w:rsidR="00507799" w:rsidRPr="00507799" w:rsidRDefault="00507799" w:rsidP="00507799">
            <w:pPr>
              <w:jc w:val="center"/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Gęstość powietrza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 xml:space="preserve"> kg/m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110" w:type="dxa"/>
            <w:vAlign w:val="center"/>
          </w:tcPr>
          <w:p w14:paraId="5DAA26D7" w14:textId="1E7B4CC2" w:rsidR="00507799" w:rsidRDefault="00507799" w:rsidP="0050779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1,154</w:t>
            </w:r>
          </w:p>
        </w:tc>
      </w:tr>
    </w:tbl>
    <w:p w14:paraId="739195EC" w14:textId="77777777" w:rsidR="006C283B" w:rsidRDefault="006C283B" w:rsidP="004C0B2C">
      <w:pPr>
        <w:rPr>
          <w:rFonts w:eastAsiaTheme="minorEastAsia"/>
          <w:sz w:val="24"/>
          <w:szCs w:val="24"/>
        </w:rPr>
      </w:pPr>
    </w:p>
    <w:p w14:paraId="07520E6C" w14:textId="77777777" w:rsidR="00507799" w:rsidRDefault="00507799" w:rsidP="00507799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Niepewności pomiarowe:</w:t>
      </w:r>
    </w:p>
    <w:p w14:paraId="3BD0DFA4" w14:textId="77777777" w:rsidR="00507799" w:rsidRDefault="00507799" w:rsidP="00507799">
      <w:pPr>
        <w:pStyle w:val="Akapitzlist"/>
        <w:rPr>
          <w:rFonts w:eastAsiaTheme="minorEastAsia"/>
          <w:sz w:val="24"/>
          <w:szCs w:val="24"/>
        </w:rPr>
      </w:pPr>
    </w:p>
    <w:p w14:paraId="0B1C4351" w14:textId="1B05DB6E" w:rsidR="006C283B" w:rsidRDefault="00507799" w:rsidP="00507799">
      <w:pPr>
        <w:rPr>
          <w:rFonts w:eastAsiaTheme="minorEastAsia"/>
          <w:sz w:val="24"/>
          <w:szCs w:val="24"/>
        </w:rPr>
      </w:pPr>
      <w:r w:rsidRPr="00507799">
        <w:rPr>
          <w:rFonts w:eastAsiaTheme="minorEastAsia"/>
          <w:sz w:val="24"/>
          <w:szCs w:val="24"/>
        </w:rPr>
        <w:t xml:space="preserve">Poniżej określono niepewności pomiarowe </w:t>
      </w:r>
      <w:proofErr w:type="spellStart"/>
      <w:r w:rsidRPr="00507799">
        <w:rPr>
          <w:rFonts w:eastAsiaTheme="minorEastAsia"/>
          <w:sz w:val="24"/>
          <w:szCs w:val="24"/>
        </w:rPr>
        <w:t>u</w:t>
      </w:r>
      <w:r w:rsidRPr="00507799">
        <w:rPr>
          <w:rFonts w:eastAsiaTheme="minorEastAsia"/>
          <w:sz w:val="24"/>
          <w:szCs w:val="24"/>
          <w:vertAlign w:val="subscript"/>
        </w:rPr>
        <w:t>b</w:t>
      </w:r>
      <w:proofErr w:type="spellEnd"/>
      <w:r w:rsidRPr="00507799">
        <w:rPr>
          <w:rFonts w:eastAsiaTheme="minorEastAsia"/>
          <w:sz w:val="24"/>
          <w:szCs w:val="24"/>
        </w:rPr>
        <w:t xml:space="preserve">(T) i </w:t>
      </w:r>
      <w:proofErr w:type="spellStart"/>
      <w:r w:rsidRPr="00507799">
        <w:rPr>
          <w:rFonts w:eastAsiaTheme="minorEastAsia"/>
          <w:sz w:val="24"/>
          <w:szCs w:val="24"/>
        </w:rPr>
        <w:t>u</w:t>
      </w:r>
      <w:r w:rsidRPr="00507799">
        <w:rPr>
          <w:rFonts w:eastAsiaTheme="minorEastAsia"/>
          <w:sz w:val="24"/>
          <w:szCs w:val="24"/>
          <w:vertAlign w:val="subscript"/>
        </w:rPr>
        <w:t>b</w:t>
      </w:r>
      <w:proofErr w:type="spellEnd"/>
      <w:r w:rsidRPr="00507799">
        <w:rPr>
          <w:rFonts w:eastAsiaTheme="minorEastAsia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Pr="00507799">
        <w:rPr>
          <w:rFonts w:eastAsiaTheme="minorEastAsia"/>
          <w:sz w:val="24"/>
          <w:szCs w:val="24"/>
        </w:rPr>
        <w:t>)</w:t>
      </w:r>
    </w:p>
    <w:p w14:paraId="120F23B7" w14:textId="3396F01D" w:rsidR="00507799" w:rsidRDefault="00507799" w:rsidP="00507799">
      <w:pPr>
        <w:pStyle w:val="Akapitzlist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Termometr - </w:t>
      </w:r>
      <w:proofErr w:type="spellStart"/>
      <w:r w:rsidRPr="00507799">
        <w:rPr>
          <w:rFonts w:eastAsiaTheme="minorEastAsia"/>
          <w:sz w:val="24"/>
          <w:szCs w:val="24"/>
        </w:rPr>
        <w:t>u</w:t>
      </w:r>
      <w:r w:rsidRPr="00507799">
        <w:rPr>
          <w:rFonts w:eastAsiaTheme="minorEastAsia"/>
          <w:sz w:val="24"/>
          <w:szCs w:val="24"/>
          <w:vertAlign w:val="subscript"/>
        </w:rPr>
        <w:t>b</w:t>
      </w:r>
      <w:proofErr w:type="spellEnd"/>
      <w:r w:rsidRPr="00507799">
        <w:rPr>
          <w:rFonts w:eastAsiaTheme="minorEastAsia"/>
          <w:sz w:val="24"/>
          <w:szCs w:val="24"/>
        </w:rPr>
        <w:t>(T)</w:t>
      </w:r>
      <w:r>
        <w:rPr>
          <w:rFonts w:eastAsiaTheme="minorEastAsia"/>
          <w:sz w:val="24"/>
          <w:szCs w:val="24"/>
        </w:rPr>
        <w:t xml:space="preserve"> = 1</w:t>
      </w:r>
      <w:r>
        <w:rPr>
          <w:rFonts w:eastAsiaTheme="minorEastAsia" w:cstheme="minorHAnsi"/>
          <w:sz w:val="24"/>
          <w:szCs w:val="24"/>
        </w:rPr>
        <w:t>°</w:t>
      </w:r>
      <w:r>
        <w:rPr>
          <w:rFonts w:eastAsiaTheme="minorEastAsia"/>
          <w:sz w:val="24"/>
          <w:szCs w:val="24"/>
        </w:rPr>
        <w:t>C</w:t>
      </w:r>
    </w:p>
    <w:p w14:paraId="7CAFC31B" w14:textId="2E7F202A" w:rsidR="00507799" w:rsidRDefault="00507799" w:rsidP="00507799">
      <w:pPr>
        <w:pStyle w:val="Akapitzlist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Barometr - </w:t>
      </w:r>
      <w:proofErr w:type="spellStart"/>
      <w:r w:rsidRPr="00507799">
        <w:rPr>
          <w:rFonts w:eastAsiaTheme="minorEastAsia"/>
          <w:sz w:val="24"/>
          <w:szCs w:val="24"/>
        </w:rPr>
        <w:t>u</w:t>
      </w:r>
      <w:r w:rsidRPr="00507799">
        <w:rPr>
          <w:rFonts w:eastAsiaTheme="minorEastAsia"/>
          <w:sz w:val="24"/>
          <w:szCs w:val="24"/>
          <w:vertAlign w:val="subscript"/>
        </w:rPr>
        <w:t>b</w:t>
      </w:r>
      <w:proofErr w:type="spellEnd"/>
      <w:r w:rsidRPr="00507799">
        <w:rPr>
          <w:rFonts w:eastAsiaTheme="minorEastAsia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507799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= 1hPa</w:t>
      </w:r>
    </w:p>
    <w:p w14:paraId="7439533B" w14:textId="77777777" w:rsidR="00FF0839" w:rsidRDefault="00FF0839" w:rsidP="00FF0839">
      <w:pPr>
        <w:pStyle w:val="Akapitzlist"/>
        <w:rPr>
          <w:rFonts w:eastAsiaTheme="minorEastAsia"/>
          <w:sz w:val="24"/>
          <w:szCs w:val="24"/>
        </w:rPr>
      </w:pPr>
    </w:p>
    <w:p w14:paraId="3F1FD346" w14:textId="46417EEA" w:rsidR="00FF0839" w:rsidRPr="00FF0839" w:rsidRDefault="00FF0839" w:rsidP="00FF0839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Wyznaczenie niepewności pomiarowych gęstości powietrza u(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), korzystając z prawa przenoszenia niepewności pomiarowych. Do </w:t>
      </w:r>
      <w:r w:rsidRPr="006C283B">
        <w:rPr>
          <w:sz w:val="24"/>
          <w:szCs w:val="24"/>
        </w:rPr>
        <w:t>wyznaczenia niepewności użyto wzoru:</w:t>
      </w:r>
    </w:p>
    <w:p w14:paraId="76683836" w14:textId="7B9E0E52" w:rsidR="00FF0839" w:rsidRPr="00657175" w:rsidRDefault="00657175" w:rsidP="00FF0839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∂T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043C4905" w14:textId="77777777" w:rsidR="00657175" w:rsidRPr="00657175" w:rsidRDefault="00657175" w:rsidP="00FF0839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19"/>
        <w:gridCol w:w="4123"/>
      </w:tblGrid>
      <w:tr w:rsidR="00657175" w14:paraId="21B5F55E" w14:textId="77777777" w:rsidTr="00657175">
        <w:trPr>
          <w:trHeight w:val="357"/>
        </w:trPr>
        <w:tc>
          <w:tcPr>
            <w:tcW w:w="4531" w:type="dxa"/>
          </w:tcPr>
          <w:p w14:paraId="382ABB75" w14:textId="123CA00B" w:rsidR="00657175" w:rsidRDefault="00657175" w:rsidP="00657175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Niepewność pomiarowa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24"/>
                <w:szCs w:val="24"/>
              </w:rPr>
              <w:t>[kg/m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4531" w:type="dxa"/>
          </w:tcPr>
          <w:p w14:paraId="5A664D72" w14:textId="586BA062" w:rsidR="00657175" w:rsidRDefault="00657175" w:rsidP="00657175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</w:t>
            </w:r>
            <w:r w:rsidR="00635533">
              <w:rPr>
                <w:rFonts w:eastAsiaTheme="minorEastAsia"/>
                <w:sz w:val="24"/>
                <w:szCs w:val="24"/>
              </w:rPr>
              <w:t>07</w:t>
            </w:r>
          </w:p>
        </w:tc>
      </w:tr>
    </w:tbl>
    <w:p w14:paraId="0266816D" w14:textId="77777777" w:rsidR="00657175" w:rsidRPr="00FF0839" w:rsidRDefault="00657175" w:rsidP="00FF0839">
      <w:pPr>
        <w:pStyle w:val="Akapitzlist"/>
        <w:rPr>
          <w:rFonts w:eastAsiaTheme="minorEastAsia"/>
          <w:sz w:val="24"/>
          <w:szCs w:val="24"/>
        </w:rPr>
      </w:pPr>
    </w:p>
    <w:p w14:paraId="31FEB6F9" w14:textId="77777777" w:rsidR="00507799" w:rsidRPr="00507799" w:rsidRDefault="00507799" w:rsidP="00507799">
      <w:pPr>
        <w:pStyle w:val="Akapitzlist"/>
        <w:rPr>
          <w:rFonts w:eastAsiaTheme="minorEastAsia"/>
          <w:sz w:val="24"/>
          <w:szCs w:val="24"/>
        </w:rPr>
      </w:pPr>
    </w:p>
    <w:p w14:paraId="37DFDA3C" w14:textId="34003861" w:rsidR="006C283B" w:rsidRDefault="008A4E88" w:rsidP="008A4E88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Wyznaczanie średniej arytmetycznej prędkości cząsteczek powietrza.</w:t>
      </w:r>
      <w:r w:rsidR="00635533">
        <w:rPr>
          <w:rFonts w:eastAsiaTheme="minorEastAsia"/>
          <w:sz w:val="24"/>
          <w:szCs w:val="24"/>
        </w:rPr>
        <w:t xml:space="preserve"> Do obliczeń użyto wzoru:</w:t>
      </w:r>
    </w:p>
    <w:p w14:paraId="4A751D39" w14:textId="70074CE2" w:rsidR="00635533" w:rsidRPr="00635533" w:rsidRDefault="00635533" w:rsidP="00635533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8RT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πμ</m:t>
                  </m:r>
                </m:den>
              </m:f>
            </m:e>
          </m:rad>
        </m:oMath>
      </m:oMathPara>
    </w:p>
    <w:p w14:paraId="71B56610" w14:textId="77777777" w:rsidR="00635533" w:rsidRPr="00635533" w:rsidRDefault="00635533" w:rsidP="00635533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07"/>
        <w:gridCol w:w="4135"/>
      </w:tblGrid>
      <w:tr w:rsidR="00635533" w14:paraId="622FC860" w14:textId="77777777" w:rsidTr="00C303B0">
        <w:tc>
          <w:tcPr>
            <w:tcW w:w="4531" w:type="dxa"/>
            <w:vAlign w:val="center"/>
          </w:tcPr>
          <w:p w14:paraId="0ABFA3E0" w14:textId="0637900A" w:rsidR="00635533" w:rsidRDefault="00635533" w:rsidP="00C303B0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Średnia prędkość arytmetyczna cząsteczek powietrza</w:t>
            </w:r>
            <w:r w:rsidR="00C303B0">
              <w:rPr>
                <w:rFonts w:eastAsiaTheme="minorEastAsia"/>
                <w:sz w:val="24"/>
                <w:szCs w:val="24"/>
              </w:rPr>
              <w:t xml:space="preserve"> v[m/s]</w:t>
            </w:r>
          </w:p>
        </w:tc>
        <w:tc>
          <w:tcPr>
            <w:tcW w:w="4531" w:type="dxa"/>
            <w:vAlign w:val="center"/>
          </w:tcPr>
          <w:p w14:paraId="74FE7DDF" w14:textId="65237ABF" w:rsidR="00635533" w:rsidRDefault="009478FA" w:rsidP="00C303B0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467,48</w:t>
            </w:r>
          </w:p>
        </w:tc>
      </w:tr>
    </w:tbl>
    <w:p w14:paraId="290100A7" w14:textId="77777777" w:rsidR="00635533" w:rsidRDefault="00635533" w:rsidP="00635533">
      <w:pPr>
        <w:pStyle w:val="Akapitzlist"/>
        <w:rPr>
          <w:rFonts w:eastAsiaTheme="minorEastAsia"/>
          <w:sz w:val="24"/>
          <w:szCs w:val="24"/>
        </w:rPr>
      </w:pPr>
    </w:p>
    <w:p w14:paraId="1414455D" w14:textId="0D49ACB7" w:rsidR="009478FA" w:rsidRPr="009478FA" w:rsidRDefault="009478FA" w:rsidP="009478FA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Wyznaczenie niepewności pomiarowych prędkości arytmetycznej cząsteczek powietrza u(v), korzystając z prawa przenoszenia niepewności pomiarowych. Do </w:t>
      </w:r>
      <w:r w:rsidRPr="006C283B">
        <w:rPr>
          <w:sz w:val="24"/>
          <w:szCs w:val="24"/>
        </w:rPr>
        <w:t>wyznaczenia niepewności użyto wzoru:</w:t>
      </w:r>
    </w:p>
    <w:p w14:paraId="103F7A02" w14:textId="65B3F537" w:rsidR="009478FA" w:rsidRPr="00006B67" w:rsidRDefault="009478FA" w:rsidP="009478FA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∂T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DC69610" w14:textId="77777777" w:rsidR="00006B67" w:rsidRPr="009478FA" w:rsidRDefault="00006B67" w:rsidP="009478FA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05"/>
        <w:gridCol w:w="4137"/>
      </w:tblGrid>
      <w:tr w:rsidR="009478FA" w14:paraId="051F5CB3" w14:textId="77777777" w:rsidTr="009478FA">
        <w:tc>
          <w:tcPr>
            <w:tcW w:w="4531" w:type="dxa"/>
          </w:tcPr>
          <w:p w14:paraId="7DA972EE" w14:textId="2A742926" w:rsidR="009478FA" w:rsidRDefault="009478FA" w:rsidP="00006B67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Niepewność pomiarowa u(v) [m/s]</w:t>
            </w:r>
          </w:p>
        </w:tc>
        <w:tc>
          <w:tcPr>
            <w:tcW w:w="4531" w:type="dxa"/>
          </w:tcPr>
          <w:p w14:paraId="68AB0D05" w14:textId="0247B066" w:rsidR="009478FA" w:rsidRDefault="009478FA" w:rsidP="00006B67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</w:t>
            </w:r>
            <w:r w:rsidR="009714EE">
              <w:rPr>
                <w:rFonts w:eastAsiaTheme="minorEastAsia"/>
                <w:sz w:val="24"/>
                <w:szCs w:val="24"/>
              </w:rPr>
              <w:t>626</w:t>
            </w:r>
          </w:p>
        </w:tc>
      </w:tr>
    </w:tbl>
    <w:p w14:paraId="311AB3F4" w14:textId="77777777" w:rsidR="009478FA" w:rsidRDefault="009478FA" w:rsidP="009478FA">
      <w:pPr>
        <w:pStyle w:val="Akapitzlist"/>
        <w:rPr>
          <w:rFonts w:eastAsiaTheme="minorEastAsia"/>
          <w:sz w:val="24"/>
          <w:szCs w:val="24"/>
        </w:rPr>
      </w:pPr>
    </w:p>
    <w:p w14:paraId="1DD20885" w14:textId="77777777" w:rsidR="00006B67" w:rsidRPr="00006B67" w:rsidRDefault="00006B67" w:rsidP="00C705AE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006B67">
        <w:rPr>
          <w:rFonts w:eastAsiaTheme="minorEastAsia"/>
          <w:sz w:val="24"/>
          <w:szCs w:val="24"/>
        </w:rPr>
        <w:t>Wyznaczanie średniej długości drogi swobodnej cząsteczek powietrza. Do obliczeń użyto wzoru:</w:t>
      </w:r>
    </w:p>
    <w:p w14:paraId="5A408683" w14:textId="59B4EAFB" w:rsidR="00006B67" w:rsidRPr="00006B67" w:rsidRDefault="00006B67" w:rsidP="00006B67">
      <w:pPr>
        <w:pStyle w:val="Akapitzlist"/>
        <w:rPr>
          <w:rFonts w:eastAsiaTheme="minorEastAsia"/>
          <w:color w:val="202122"/>
          <w:sz w:val="28"/>
          <w:szCs w:val="28"/>
          <w:shd w:val="clear" w:color="auto" w:fill="F8F9FA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02122"/>
              <w:sz w:val="28"/>
              <w:szCs w:val="28"/>
              <w:shd w:val="clear" w:color="auto" w:fill="F8F9FA"/>
            </w:rPr>
            <m:t>λ=</m:t>
          </m:r>
          <m:f>
            <m:fPr>
              <m:ctrlPr>
                <w:rPr>
                  <w:rFonts w:ascii="Cambria Math" w:hAnsi="Cambria Math"/>
                  <w:color w:val="202122"/>
                  <w:sz w:val="28"/>
                  <w:szCs w:val="28"/>
                  <w:shd w:val="clear" w:color="auto" w:fill="F8F9FA"/>
                </w:rPr>
              </m:ctrlPr>
            </m:fPr>
            <m:num>
              <m:r>
                <w:rPr>
                  <w:rFonts w:ascii="Cambria Math" w:hAnsi="Cambria Math"/>
                  <w:color w:val="202122"/>
                  <w:sz w:val="28"/>
                  <w:szCs w:val="28"/>
                  <w:shd w:val="clear" w:color="auto" w:fill="F8F9FA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η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den>
          </m:f>
        </m:oMath>
      </m:oMathPara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04"/>
        <w:gridCol w:w="4138"/>
      </w:tblGrid>
      <w:tr w:rsidR="00006B67" w14:paraId="10249D54" w14:textId="77777777" w:rsidTr="00006B67">
        <w:trPr>
          <w:trHeight w:val="360"/>
        </w:trPr>
        <w:tc>
          <w:tcPr>
            <w:tcW w:w="4531" w:type="dxa"/>
            <w:vAlign w:val="center"/>
          </w:tcPr>
          <w:p w14:paraId="14850699" w14:textId="2075FC80" w:rsidR="00006B67" w:rsidRPr="00006B67" w:rsidRDefault="00006B67" w:rsidP="007F2BA5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006B67">
              <w:rPr>
                <w:rFonts w:eastAsiaTheme="minorEastAsia"/>
                <w:sz w:val="24"/>
                <w:szCs w:val="24"/>
              </w:rPr>
              <w:t>Średnia długość drogi swobodnej cząsteczki powietrza [m]</w:t>
            </w:r>
          </w:p>
        </w:tc>
        <w:tc>
          <w:tcPr>
            <w:tcW w:w="4531" w:type="dxa"/>
            <w:vAlign w:val="center"/>
          </w:tcPr>
          <w:p w14:paraId="4E5AE589" w14:textId="286B7295" w:rsidR="00006B67" w:rsidRPr="00006B67" w:rsidRDefault="00006B67" w:rsidP="007F2BA5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  <w:vertAlign w:val="superscript"/>
              </w:rPr>
            </w:pPr>
            <w:r w:rsidRPr="00006B67">
              <w:rPr>
                <w:rFonts w:eastAsiaTheme="minorEastAsia"/>
                <w:sz w:val="24"/>
                <w:szCs w:val="24"/>
              </w:rPr>
              <w:t xml:space="preserve">1,24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</m:oMath>
            <w:r w:rsidRPr="00006B67">
              <w:rPr>
                <w:rFonts w:eastAsiaTheme="minorEastAsia"/>
                <w:sz w:val="24"/>
                <w:szCs w:val="24"/>
              </w:rPr>
              <w:t>10</w:t>
            </w:r>
            <w:r w:rsidRPr="00006B67">
              <w:rPr>
                <w:rFonts w:eastAsiaTheme="minorEastAsia"/>
                <w:sz w:val="24"/>
                <w:szCs w:val="24"/>
                <w:vertAlign w:val="superscript"/>
              </w:rPr>
              <w:t>-7</w:t>
            </w:r>
          </w:p>
        </w:tc>
      </w:tr>
    </w:tbl>
    <w:p w14:paraId="0833A5CF" w14:textId="77777777" w:rsidR="00006B67" w:rsidRDefault="00006B67" w:rsidP="00006B67">
      <w:pPr>
        <w:pStyle w:val="Akapitzlist"/>
        <w:rPr>
          <w:rFonts w:eastAsiaTheme="minorEastAsia"/>
          <w:sz w:val="28"/>
          <w:szCs w:val="28"/>
        </w:rPr>
      </w:pPr>
    </w:p>
    <w:p w14:paraId="4EB74876" w14:textId="1BDBDD09" w:rsidR="00006B67" w:rsidRPr="00006B67" w:rsidRDefault="00006B67" w:rsidP="00C705AE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Wyznaczenie niepewności pomiarowych średniej długości swobodnej cząsteczek powietrza u(</w:t>
      </w:r>
      <m:oMath>
        <m:r>
          <m:rPr>
            <m:sty m:val="p"/>
          </m:rPr>
          <w:rPr>
            <w:rFonts w:ascii="Cambria Math" w:hAnsi="Cambria Math"/>
            <w:color w:val="202122"/>
            <w:sz w:val="24"/>
            <w:szCs w:val="24"/>
            <w:shd w:val="clear" w:color="auto" w:fill="F8F9FA"/>
          </w:rPr>
          <m:t>λ</m:t>
        </m:r>
      </m:oMath>
      <w:r>
        <w:rPr>
          <w:rFonts w:eastAsiaTheme="minorEastAsia"/>
          <w:sz w:val="24"/>
          <w:szCs w:val="24"/>
        </w:rPr>
        <w:t xml:space="preserve">), korzystając z prawa przenoszenia niepewności pomiarowych. Do </w:t>
      </w:r>
      <w:r w:rsidRPr="006C283B">
        <w:rPr>
          <w:sz w:val="24"/>
          <w:szCs w:val="24"/>
        </w:rPr>
        <w:t>wyznaczenia niepewności użyto wzoru:</w:t>
      </w:r>
    </w:p>
    <w:p w14:paraId="54B478BB" w14:textId="6B449F58" w:rsidR="0096022B" w:rsidRPr="00A022EF" w:rsidRDefault="00006B67" w:rsidP="00006B67">
      <w:pPr>
        <w:pStyle w:val="Akapitzlis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8"/>
                  <w:szCs w:val="28"/>
                  <w:shd w:val="clear" w:color="auto" w:fill="F8F9FA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02122"/>
                                  <w:sz w:val="28"/>
                                  <w:szCs w:val="28"/>
                                  <w:shd w:val="clear" w:color="auto" w:fill="F8F9FA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η</m:t>
                                  </m:r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i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∙u(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02122"/>
                                  <w:sz w:val="28"/>
                                  <w:szCs w:val="28"/>
                                  <w:shd w:val="clear" w:color="auto" w:fill="F8F9FA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∙u(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02122"/>
                                  <w:sz w:val="28"/>
                                  <w:szCs w:val="28"/>
                                  <w:shd w:val="clear" w:color="auto" w:fill="F8F9FA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∙u(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E76B401" w14:textId="77777777" w:rsidR="00A022EF" w:rsidRPr="00C705AE" w:rsidRDefault="00A022EF" w:rsidP="00006B67">
      <w:pPr>
        <w:pStyle w:val="Akapitzlist"/>
        <w:rPr>
          <w:rFonts w:eastAsiaTheme="minorEastAsia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99"/>
        <w:gridCol w:w="4143"/>
      </w:tblGrid>
      <w:tr w:rsidR="00C705AE" w14:paraId="4A4A375C" w14:textId="77777777" w:rsidTr="007F2BA5">
        <w:tc>
          <w:tcPr>
            <w:tcW w:w="4531" w:type="dxa"/>
            <w:vAlign w:val="center"/>
          </w:tcPr>
          <w:p w14:paraId="51C37212" w14:textId="111EA6CA" w:rsidR="00C705AE" w:rsidRPr="007F2BA5" w:rsidRDefault="00C705AE" w:rsidP="007F2BA5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7F2BA5">
              <w:rPr>
                <w:rFonts w:eastAsiaTheme="minorEastAsia"/>
                <w:sz w:val="24"/>
                <w:szCs w:val="24"/>
              </w:rPr>
              <w:t>Niepewność pomiarowa średniej długości swobodnej cząsteczek powietrza</w:t>
            </w:r>
            <w:r w:rsidR="007F2BA5" w:rsidRPr="007F2BA5">
              <w:rPr>
                <w:rFonts w:eastAsiaTheme="minorEastAsia"/>
                <w:sz w:val="24"/>
                <w:szCs w:val="24"/>
              </w:rPr>
              <w:t xml:space="preserve"> [m]</w:t>
            </w:r>
          </w:p>
        </w:tc>
        <w:tc>
          <w:tcPr>
            <w:tcW w:w="4531" w:type="dxa"/>
            <w:vAlign w:val="center"/>
          </w:tcPr>
          <w:p w14:paraId="51FBF747" w14:textId="2CB87B11" w:rsidR="00C705AE" w:rsidRPr="00A022EF" w:rsidRDefault="007F2BA5" w:rsidP="007F2BA5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  <w:vertAlign w:val="superscript"/>
              </w:rPr>
            </w:pPr>
            <w:r w:rsidRPr="007F2BA5">
              <w:rPr>
                <w:rFonts w:eastAsiaTheme="minorEastAsia"/>
                <w:sz w:val="24"/>
                <w:szCs w:val="24"/>
              </w:rPr>
              <w:t>0,0996</w:t>
            </w:r>
            <w:r w:rsidR="00A022EF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</w:tr>
    </w:tbl>
    <w:p w14:paraId="21F1AB64" w14:textId="77777777" w:rsidR="00A022EF" w:rsidRDefault="00A022EF" w:rsidP="00A022EF">
      <w:pPr>
        <w:rPr>
          <w:rFonts w:eastAsiaTheme="minorEastAsia"/>
          <w:sz w:val="24"/>
          <w:szCs w:val="24"/>
        </w:rPr>
      </w:pPr>
    </w:p>
    <w:p w14:paraId="3C213B46" w14:textId="6FAB83F1" w:rsidR="007F2BA5" w:rsidRPr="00655CE4" w:rsidRDefault="00A022EF" w:rsidP="00655CE4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655CE4">
        <w:rPr>
          <w:rFonts w:eastAsiaTheme="minorEastAsia"/>
          <w:sz w:val="24"/>
          <w:szCs w:val="24"/>
        </w:rPr>
        <w:t>W</w:t>
      </w:r>
      <w:r w:rsidR="007F2BA5" w:rsidRPr="00655CE4">
        <w:rPr>
          <w:rFonts w:eastAsiaTheme="minorEastAsia"/>
          <w:sz w:val="24"/>
          <w:szCs w:val="24"/>
        </w:rPr>
        <w:t>yznaczenie efektywnej średnicy cząsteczek powietrza. Do obliczeń użyto wzoru:</w:t>
      </w:r>
    </w:p>
    <w:p w14:paraId="71B63B1B" w14:textId="77777777" w:rsidR="007F2BA5" w:rsidRPr="00006B67" w:rsidRDefault="007F2BA5" w:rsidP="007F2BA5">
      <w:pPr>
        <w:pStyle w:val="Akapitzlist"/>
        <w:rPr>
          <w:rFonts w:eastAsiaTheme="minorEastAsia"/>
          <w:sz w:val="24"/>
          <w:szCs w:val="24"/>
        </w:rPr>
      </w:pPr>
    </w:p>
    <w:p w14:paraId="4120BABE" w14:textId="76E716C5" w:rsidR="00C705AE" w:rsidRPr="00A022EF" w:rsidRDefault="007F2BA5" w:rsidP="007F2BA5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8F9FA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rad>
        </m:oMath>
      </m:oMathPara>
    </w:p>
    <w:p w14:paraId="2EC7FC11" w14:textId="2AE61EE5" w:rsidR="00A022EF" w:rsidRDefault="00A022EF" w:rsidP="007F2BA5">
      <w:pPr>
        <w:pStyle w:val="Akapitzli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6C7DDE95" w14:textId="69B83F47" w:rsidR="00A022EF" w:rsidRPr="007F2BA5" w:rsidRDefault="00A022EF" w:rsidP="00A022EF">
      <w:pPr>
        <w:pStyle w:val="Akapitzlist"/>
        <w:numPr>
          <w:ilvl w:val="0"/>
          <w:numId w:val="1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Stała Boltzman</w:t>
      </w:r>
      <w:r w:rsidR="00655CE4"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>a k = 1,38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∙</m:t>
        </m:r>
      </m:oMath>
      <w:r>
        <w:rPr>
          <w:rFonts w:eastAsiaTheme="minorEastAsia"/>
          <w:sz w:val="24"/>
          <w:szCs w:val="24"/>
        </w:rPr>
        <w:t xml:space="preserve"> 10</w:t>
      </w:r>
      <w:r>
        <w:rPr>
          <w:rFonts w:eastAsiaTheme="minorEastAsia"/>
          <w:sz w:val="24"/>
          <w:szCs w:val="24"/>
          <w:vertAlign w:val="superscript"/>
        </w:rPr>
        <w:t>-23</w:t>
      </w:r>
      <w:r>
        <w:rPr>
          <w:rFonts w:eastAsiaTheme="minorEastAsia"/>
          <w:sz w:val="24"/>
          <w:szCs w:val="24"/>
        </w:rPr>
        <w:t>J/K</w:t>
      </w:r>
    </w:p>
    <w:p w14:paraId="52FAB499" w14:textId="77777777" w:rsidR="007F2BA5" w:rsidRPr="007F2BA5" w:rsidRDefault="007F2BA5" w:rsidP="007F2BA5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95"/>
        <w:gridCol w:w="4147"/>
      </w:tblGrid>
      <w:tr w:rsidR="007F2BA5" w14:paraId="17BDED53" w14:textId="77777777" w:rsidTr="00A022EF">
        <w:tc>
          <w:tcPr>
            <w:tcW w:w="4195" w:type="dxa"/>
            <w:vAlign w:val="center"/>
          </w:tcPr>
          <w:p w14:paraId="203C664F" w14:textId="7EF59D95" w:rsidR="007F2BA5" w:rsidRDefault="007F2BA5" w:rsidP="00A022EF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Średnica efektywna </w:t>
            </w:r>
            <w:r w:rsidR="00A022EF">
              <w:rPr>
                <w:rFonts w:eastAsiaTheme="minorEastAsia"/>
                <w:sz w:val="24"/>
                <w:szCs w:val="24"/>
              </w:rPr>
              <w:t>cząsteczek powietrza</w:t>
            </w:r>
          </w:p>
        </w:tc>
        <w:tc>
          <w:tcPr>
            <w:tcW w:w="4147" w:type="dxa"/>
            <w:vAlign w:val="center"/>
          </w:tcPr>
          <w:p w14:paraId="482D951A" w14:textId="7C749244" w:rsidR="007F2BA5" w:rsidRPr="00A022EF" w:rsidRDefault="00A022EF" w:rsidP="00A022EF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  <w:vertAlign w:val="superscript"/>
              </w:rPr>
            </w:pPr>
            <w:r w:rsidRPr="00A022EF">
              <w:rPr>
                <w:rFonts w:eastAsiaTheme="minorEastAsia"/>
                <w:sz w:val="24"/>
                <w:szCs w:val="24"/>
              </w:rPr>
              <w:t xml:space="preserve">2,745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</m:oMath>
            <w:r w:rsidRPr="00A022EF">
              <w:rPr>
                <w:rFonts w:eastAsiaTheme="minorEastAsia"/>
                <w:sz w:val="24"/>
                <w:szCs w:val="24"/>
              </w:rPr>
              <w:t xml:space="preserve"> 10</w:t>
            </w:r>
            <w:r w:rsidRPr="00A022EF">
              <w:rPr>
                <w:rFonts w:eastAsiaTheme="minorEastAsia"/>
                <w:sz w:val="24"/>
                <w:szCs w:val="24"/>
                <w:vertAlign w:val="superscript"/>
              </w:rPr>
              <w:t>-10</w:t>
            </w:r>
          </w:p>
        </w:tc>
      </w:tr>
    </w:tbl>
    <w:p w14:paraId="007E5308" w14:textId="77777777" w:rsidR="00A022EF" w:rsidRDefault="00A022EF" w:rsidP="00A022EF">
      <w:pPr>
        <w:ind w:left="360"/>
        <w:rPr>
          <w:rFonts w:eastAsiaTheme="minorEastAsia"/>
          <w:sz w:val="24"/>
          <w:szCs w:val="24"/>
        </w:rPr>
      </w:pPr>
    </w:p>
    <w:p w14:paraId="034F9378" w14:textId="77777777" w:rsidR="00A022EF" w:rsidRDefault="00A022EF" w:rsidP="00A022EF">
      <w:pPr>
        <w:ind w:left="360"/>
        <w:rPr>
          <w:rFonts w:eastAsiaTheme="minorEastAsia"/>
          <w:sz w:val="24"/>
          <w:szCs w:val="24"/>
        </w:rPr>
      </w:pPr>
    </w:p>
    <w:p w14:paraId="1A553E15" w14:textId="22EAD8BC" w:rsidR="00A022EF" w:rsidRPr="00655CE4" w:rsidRDefault="00A022EF" w:rsidP="00655CE4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655CE4">
        <w:rPr>
          <w:rFonts w:eastAsiaTheme="minorEastAsia"/>
          <w:sz w:val="24"/>
          <w:szCs w:val="24"/>
        </w:rPr>
        <w:lastRenderedPageBreak/>
        <w:t>Wyznaczenie niepewności pomiarowych efektywnej średnicy cząsteczek powietrza u(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Pr="00655CE4">
        <w:rPr>
          <w:rFonts w:eastAsiaTheme="minorEastAsia"/>
          <w:sz w:val="24"/>
          <w:szCs w:val="24"/>
        </w:rPr>
        <w:t xml:space="preserve">), korzystając z prawa przenoszenia niepewności pomiarowych. Do </w:t>
      </w:r>
      <w:r w:rsidRPr="00655CE4">
        <w:rPr>
          <w:sz w:val="24"/>
          <w:szCs w:val="24"/>
        </w:rPr>
        <w:t>wyznaczenia niepewności użyto wzoru:</w:t>
      </w:r>
    </w:p>
    <w:p w14:paraId="321B93AA" w14:textId="7EBC8706" w:rsidR="00A022EF" w:rsidRPr="00655CE4" w:rsidRDefault="00A022EF" w:rsidP="00A022EF">
      <w:pPr>
        <w:pStyle w:val="Akapitzlist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="00655CE4" w:rsidRPr="00655CE4">
        <w:rPr>
          <w:rFonts w:eastAsiaTheme="minorEastAsia"/>
          <w:sz w:val="32"/>
          <w:szCs w:val="32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202122"/>
                                <w:sz w:val="32"/>
                                <w:szCs w:val="32"/>
                                <w:shd w:val="clear" w:color="auto" w:fill="F8F9FA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∂T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∙u(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T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202122"/>
                                <w:sz w:val="32"/>
                                <w:szCs w:val="32"/>
                                <w:shd w:val="clear" w:color="auto" w:fill="F8F9FA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202122"/>
                                <w:sz w:val="32"/>
                                <w:szCs w:val="32"/>
                                <w:shd w:val="clear" w:color="auto" w:fill="F8F9FA"/>
                              </w:rPr>
                              <m:t>λ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∙u(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02122"/>
                        <w:sz w:val="32"/>
                        <w:szCs w:val="32"/>
                        <w:shd w:val="clear" w:color="auto" w:fill="F8F9FA"/>
                      </w:rPr>
                      <m:t>λ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202122"/>
                                <w:sz w:val="32"/>
                                <w:szCs w:val="32"/>
                                <w:shd w:val="clear" w:color="auto" w:fill="F8F9FA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∙u(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14:paraId="336BBF34" w14:textId="77777777" w:rsidR="00006B67" w:rsidRPr="009478FA" w:rsidRDefault="00006B67" w:rsidP="00006B67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08"/>
        <w:gridCol w:w="4134"/>
      </w:tblGrid>
      <w:tr w:rsidR="00655CE4" w14:paraId="62BC47F5" w14:textId="77777777" w:rsidTr="000D05E7">
        <w:tc>
          <w:tcPr>
            <w:tcW w:w="4531" w:type="dxa"/>
            <w:vAlign w:val="center"/>
          </w:tcPr>
          <w:p w14:paraId="28589C46" w14:textId="18C9BD75" w:rsidR="00655CE4" w:rsidRPr="000D05E7" w:rsidRDefault="00655CE4" w:rsidP="000D05E7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0D05E7">
              <w:rPr>
                <w:rFonts w:eastAsiaTheme="minorEastAsia"/>
                <w:sz w:val="24"/>
                <w:szCs w:val="24"/>
              </w:rPr>
              <w:t>Niepewność pomiarowa efektywnej średnicy cząsteczek</w:t>
            </w:r>
          </w:p>
        </w:tc>
        <w:tc>
          <w:tcPr>
            <w:tcW w:w="4531" w:type="dxa"/>
            <w:vAlign w:val="center"/>
          </w:tcPr>
          <w:p w14:paraId="6A6FEBF7" w14:textId="179F311F" w:rsidR="00655CE4" w:rsidRPr="000D05E7" w:rsidRDefault="000D05E7" w:rsidP="000D05E7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  <w:vertAlign w:val="superscript"/>
              </w:rPr>
            </w:pPr>
            <w:r w:rsidRPr="000D05E7">
              <w:rPr>
                <w:rFonts w:eastAsiaTheme="minorEastAsia"/>
                <w:sz w:val="24"/>
                <w:szCs w:val="24"/>
              </w:rPr>
              <w:t>1.63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∙10</m:t>
              </m:r>
            </m:oMath>
            <w:r w:rsidRPr="000D05E7">
              <w:rPr>
                <w:rFonts w:eastAsiaTheme="minorEastAsia"/>
                <w:sz w:val="24"/>
                <w:szCs w:val="24"/>
                <w:vertAlign w:val="superscript"/>
              </w:rPr>
              <w:t>-6</w:t>
            </w:r>
          </w:p>
        </w:tc>
      </w:tr>
    </w:tbl>
    <w:p w14:paraId="7F9A1EE2" w14:textId="06D73074" w:rsidR="00006B67" w:rsidRDefault="000D05E7" w:rsidP="000D05E7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Wyznaczanie liczby Reynoldsa dla każdej i-tej trójki danych.</w:t>
      </w:r>
    </w:p>
    <w:p w14:paraId="7A5E0704" w14:textId="77777777" w:rsidR="000D05E7" w:rsidRDefault="000D05E7" w:rsidP="000D05E7">
      <w:pPr>
        <w:pStyle w:val="Akapitzlist"/>
        <w:rPr>
          <w:rFonts w:eastAsiaTheme="minorEastAsia"/>
          <w:sz w:val="24"/>
          <w:szCs w:val="24"/>
        </w:rPr>
      </w:pPr>
    </w:p>
    <w:p w14:paraId="7DCBBA63" w14:textId="1E154D49" w:rsidR="000D05E7" w:rsidRDefault="000D05E7" w:rsidP="000D05E7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η</m:t>
              </m:r>
            </m:den>
          </m:f>
        </m:oMath>
      </m:oMathPara>
    </w:p>
    <w:p w14:paraId="08D94FC5" w14:textId="37A023E1" w:rsidR="000D05E7" w:rsidRDefault="000D05E7" w:rsidP="000D05E7">
      <w:pPr>
        <w:pStyle w:val="Akapitzli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678DE54B" w14:textId="77777777" w:rsidR="000D05E7" w:rsidRDefault="000D05E7" w:rsidP="000D05E7">
      <w:pPr>
        <w:pStyle w:val="Akapitzlist"/>
        <w:rPr>
          <w:rFonts w:eastAsiaTheme="minorEastAsia"/>
          <w:sz w:val="24"/>
          <w:szCs w:val="24"/>
        </w:rPr>
      </w:pPr>
    </w:p>
    <w:p w14:paraId="144416E7" w14:textId="5241D20C" w:rsidR="009478FA" w:rsidRPr="00A22C45" w:rsidRDefault="00175D99" w:rsidP="00A22C45">
      <w:pPr>
        <w:pStyle w:val="Akapitzlist"/>
        <w:numPr>
          <w:ilvl w:val="0"/>
          <w:numId w:val="1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Prędkość przepływu powietrza przez rurkę kapilarną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567"/>
        <w:gridCol w:w="5130"/>
        <w:gridCol w:w="2661"/>
      </w:tblGrid>
      <w:tr w:rsidR="00A22C45" w14:paraId="78F2AF28" w14:textId="77777777" w:rsidTr="00A22C45">
        <w:tc>
          <w:tcPr>
            <w:tcW w:w="567" w:type="dxa"/>
            <w:vAlign w:val="center"/>
          </w:tcPr>
          <w:p w14:paraId="3F3DF32D" w14:textId="1AECEA67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</w:t>
            </w:r>
          </w:p>
        </w:tc>
        <w:tc>
          <w:tcPr>
            <w:tcW w:w="5130" w:type="dxa"/>
            <w:vAlign w:val="center"/>
          </w:tcPr>
          <w:p w14:paraId="46A6C988" w14:textId="69010307" w:rsidR="00A22C45" w:rsidRP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Prędkość przepływu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v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p</w:t>
            </w:r>
            <w:proofErr w:type="spellEnd"/>
            <w:r>
              <w:rPr>
                <w:rFonts w:eastAsiaTheme="minorEastAsia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[m/s]</w:t>
            </w:r>
          </w:p>
        </w:tc>
        <w:tc>
          <w:tcPr>
            <w:tcW w:w="2661" w:type="dxa"/>
            <w:vAlign w:val="center"/>
          </w:tcPr>
          <w:p w14:paraId="078E4B7D" w14:textId="4C8D6D61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Liczba Reynoldsa</w:t>
            </w:r>
          </w:p>
        </w:tc>
      </w:tr>
      <w:tr w:rsidR="00A22C45" w14:paraId="573F5156" w14:textId="77777777" w:rsidTr="00A22C45">
        <w:tc>
          <w:tcPr>
            <w:tcW w:w="567" w:type="dxa"/>
            <w:vAlign w:val="center"/>
          </w:tcPr>
          <w:p w14:paraId="11368CF1" w14:textId="34930A77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130" w:type="dxa"/>
            <w:vAlign w:val="center"/>
          </w:tcPr>
          <w:p w14:paraId="74C9B351" w14:textId="261E8743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6,16</w:t>
            </w:r>
          </w:p>
        </w:tc>
        <w:tc>
          <w:tcPr>
            <w:tcW w:w="2661" w:type="dxa"/>
            <w:vAlign w:val="center"/>
          </w:tcPr>
          <w:p w14:paraId="78F12C59" w14:textId="64352675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122,97</w:t>
            </w:r>
          </w:p>
        </w:tc>
      </w:tr>
      <w:tr w:rsidR="00A22C45" w14:paraId="5C1AA9EB" w14:textId="77777777" w:rsidTr="00A22C45">
        <w:tc>
          <w:tcPr>
            <w:tcW w:w="567" w:type="dxa"/>
            <w:vAlign w:val="center"/>
          </w:tcPr>
          <w:p w14:paraId="33202596" w14:textId="08053AAB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130" w:type="dxa"/>
            <w:vAlign w:val="center"/>
          </w:tcPr>
          <w:p w14:paraId="734EC10F" w14:textId="03B10D30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6,36</w:t>
            </w:r>
          </w:p>
        </w:tc>
        <w:tc>
          <w:tcPr>
            <w:tcW w:w="2661" w:type="dxa"/>
            <w:vAlign w:val="center"/>
          </w:tcPr>
          <w:p w14:paraId="2F5146EC" w14:textId="685415EF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134,65</w:t>
            </w:r>
          </w:p>
        </w:tc>
      </w:tr>
      <w:tr w:rsidR="00A22C45" w14:paraId="4F046C1C" w14:textId="77777777" w:rsidTr="00A22C45">
        <w:tc>
          <w:tcPr>
            <w:tcW w:w="567" w:type="dxa"/>
            <w:vAlign w:val="center"/>
          </w:tcPr>
          <w:p w14:paraId="05F58294" w14:textId="4BA877E1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5130" w:type="dxa"/>
            <w:vAlign w:val="center"/>
          </w:tcPr>
          <w:p w14:paraId="369F11F3" w14:textId="66DC1E04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6,21</w:t>
            </w:r>
          </w:p>
        </w:tc>
        <w:tc>
          <w:tcPr>
            <w:tcW w:w="2661" w:type="dxa"/>
            <w:vAlign w:val="center"/>
          </w:tcPr>
          <w:p w14:paraId="0F807B3C" w14:textId="2C6C8FB7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131,89</w:t>
            </w:r>
          </w:p>
        </w:tc>
      </w:tr>
      <w:tr w:rsidR="00A22C45" w14:paraId="38AADE05" w14:textId="77777777" w:rsidTr="00A22C45">
        <w:tc>
          <w:tcPr>
            <w:tcW w:w="567" w:type="dxa"/>
            <w:vAlign w:val="center"/>
          </w:tcPr>
          <w:p w14:paraId="77B45AAA" w14:textId="190BD0B3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130" w:type="dxa"/>
            <w:vAlign w:val="center"/>
          </w:tcPr>
          <w:p w14:paraId="5D072C8F" w14:textId="3AF3188F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6,06</w:t>
            </w:r>
          </w:p>
        </w:tc>
        <w:tc>
          <w:tcPr>
            <w:tcW w:w="2661" w:type="dxa"/>
            <w:vAlign w:val="center"/>
          </w:tcPr>
          <w:p w14:paraId="77454D14" w14:textId="0974F2AD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125,93</w:t>
            </w:r>
          </w:p>
        </w:tc>
      </w:tr>
      <w:tr w:rsidR="00A22C45" w14:paraId="1BB117D2" w14:textId="77777777" w:rsidTr="00A22C45">
        <w:tc>
          <w:tcPr>
            <w:tcW w:w="567" w:type="dxa"/>
            <w:vAlign w:val="center"/>
          </w:tcPr>
          <w:p w14:paraId="0E143312" w14:textId="75523452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5130" w:type="dxa"/>
            <w:vAlign w:val="center"/>
          </w:tcPr>
          <w:p w14:paraId="37F7F76E" w14:textId="3B62E207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5,87</w:t>
            </w:r>
          </w:p>
        </w:tc>
        <w:tc>
          <w:tcPr>
            <w:tcW w:w="2661" w:type="dxa"/>
            <w:vAlign w:val="center"/>
          </w:tcPr>
          <w:p w14:paraId="3EDC1226" w14:textId="43668CFD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114,78</w:t>
            </w:r>
          </w:p>
        </w:tc>
      </w:tr>
      <w:tr w:rsidR="00A22C45" w14:paraId="3AFA82D9" w14:textId="77777777" w:rsidTr="00A22C45">
        <w:tc>
          <w:tcPr>
            <w:tcW w:w="567" w:type="dxa"/>
            <w:vAlign w:val="center"/>
          </w:tcPr>
          <w:p w14:paraId="73EB88DC" w14:textId="6DAE3110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5130" w:type="dxa"/>
            <w:vAlign w:val="center"/>
          </w:tcPr>
          <w:p w14:paraId="2DEE5B41" w14:textId="7F87FEAC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6,38</w:t>
            </w:r>
          </w:p>
        </w:tc>
        <w:tc>
          <w:tcPr>
            <w:tcW w:w="2661" w:type="dxa"/>
            <w:vAlign w:val="center"/>
          </w:tcPr>
          <w:p w14:paraId="2C2FA5DB" w14:textId="6B11E4A6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133,63</w:t>
            </w:r>
          </w:p>
        </w:tc>
      </w:tr>
      <w:tr w:rsidR="00A22C45" w14:paraId="175C2739" w14:textId="77777777" w:rsidTr="00A22C45">
        <w:tc>
          <w:tcPr>
            <w:tcW w:w="567" w:type="dxa"/>
            <w:vAlign w:val="center"/>
          </w:tcPr>
          <w:p w14:paraId="377A92D4" w14:textId="4E9D15A4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5130" w:type="dxa"/>
            <w:vAlign w:val="center"/>
          </w:tcPr>
          <w:p w14:paraId="745F9A3E" w14:textId="06C5BCA6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6,14</w:t>
            </w:r>
          </w:p>
        </w:tc>
        <w:tc>
          <w:tcPr>
            <w:tcW w:w="2661" w:type="dxa"/>
            <w:vAlign w:val="center"/>
          </w:tcPr>
          <w:p w14:paraId="12AD2474" w14:textId="60B6CBDA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127,35</w:t>
            </w:r>
          </w:p>
        </w:tc>
      </w:tr>
      <w:tr w:rsidR="00A22C45" w14:paraId="47CE951C" w14:textId="77777777" w:rsidTr="00A22C45">
        <w:tc>
          <w:tcPr>
            <w:tcW w:w="567" w:type="dxa"/>
            <w:vAlign w:val="center"/>
          </w:tcPr>
          <w:p w14:paraId="1ADB9EE9" w14:textId="7B5424E4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5130" w:type="dxa"/>
            <w:vAlign w:val="center"/>
          </w:tcPr>
          <w:p w14:paraId="766BFE1F" w14:textId="688F536A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6,24</w:t>
            </w:r>
          </w:p>
        </w:tc>
        <w:tc>
          <w:tcPr>
            <w:tcW w:w="2661" w:type="dxa"/>
            <w:vAlign w:val="center"/>
          </w:tcPr>
          <w:p w14:paraId="2800F548" w14:textId="491853C9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131,37</w:t>
            </w:r>
          </w:p>
        </w:tc>
      </w:tr>
      <w:tr w:rsidR="00A22C45" w14:paraId="6E9941A7" w14:textId="77777777" w:rsidTr="00A22C45">
        <w:tc>
          <w:tcPr>
            <w:tcW w:w="567" w:type="dxa"/>
            <w:vAlign w:val="center"/>
          </w:tcPr>
          <w:p w14:paraId="5B3B37B9" w14:textId="661849BE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5130" w:type="dxa"/>
            <w:vAlign w:val="center"/>
          </w:tcPr>
          <w:p w14:paraId="09D5AB46" w14:textId="2DE96C58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5,98</w:t>
            </w:r>
          </w:p>
        </w:tc>
        <w:tc>
          <w:tcPr>
            <w:tcW w:w="2661" w:type="dxa"/>
            <w:vAlign w:val="center"/>
          </w:tcPr>
          <w:p w14:paraId="65184198" w14:textId="4C49B8F8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122,61</w:t>
            </w:r>
          </w:p>
        </w:tc>
      </w:tr>
      <w:tr w:rsidR="00A22C45" w14:paraId="5F7D376F" w14:textId="77777777" w:rsidTr="00A22C45">
        <w:tc>
          <w:tcPr>
            <w:tcW w:w="567" w:type="dxa"/>
            <w:vAlign w:val="center"/>
          </w:tcPr>
          <w:p w14:paraId="087890EB" w14:textId="2DB9D843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5130" w:type="dxa"/>
            <w:vAlign w:val="center"/>
          </w:tcPr>
          <w:p w14:paraId="145C348E" w14:textId="68AA12A1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6,17</w:t>
            </w:r>
          </w:p>
        </w:tc>
        <w:tc>
          <w:tcPr>
            <w:tcW w:w="2661" w:type="dxa"/>
            <w:vAlign w:val="center"/>
          </w:tcPr>
          <w:p w14:paraId="3058F35E" w14:textId="541535EC" w:rsidR="00A22C45" w:rsidRDefault="00A22C45" w:rsidP="00A22C4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22C45">
              <w:rPr>
                <w:rFonts w:eastAsiaTheme="minorEastAsia"/>
                <w:sz w:val="24"/>
                <w:szCs w:val="24"/>
              </w:rPr>
              <w:t>128,70</w:t>
            </w:r>
          </w:p>
        </w:tc>
      </w:tr>
    </w:tbl>
    <w:p w14:paraId="41F912FC" w14:textId="77777777" w:rsidR="00A22C45" w:rsidRDefault="00A22C45" w:rsidP="00A22C45">
      <w:pPr>
        <w:pStyle w:val="Akapitzlist"/>
        <w:rPr>
          <w:rFonts w:eastAsiaTheme="minorEastAsia"/>
          <w:sz w:val="24"/>
          <w:szCs w:val="24"/>
        </w:rPr>
      </w:pPr>
    </w:p>
    <w:p w14:paraId="52913BFB" w14:textId="00B9D204" w:rsidR="00A22C45" w:rsidRDefault="00A22C45" w:rsidP="00A22C45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Wartość krytyczna liczby Reynoldsa to 1160. Porównując każdą wyliczoną i-tą wartość liczby Reynoldsa okazuje się, że wszystkie są mniejsze od wartości krytycznej Re</w:t>
      </w:r>
      <w:r>
        <w:rPr>
          <w:rFonts w:eastAsiaTheme="minorEastAsia"/>
          <w:sz w:val="24"/>
          <w:szCs w:val="24"/>
          <w:vertAlign w:val="subscript"/>
        </w:rPr>
        <w:t>i</w:t>
      </w:r>
      <w:r>
        <w:rPr>
          <w:rFonts w:eastAsiaTheme="minorEastAsia"/>
          <w:sz w:val="24"/>
          <w:szCs w:val="24"/>
        </w:rPr>
        <w:t>&lt;</w:t>
      </w:r>
      <w:proofErr w:type="spellStart"/>
      <w:r>
        <w:rPr>
          <w:rFonts w:eastAsiaTheme="minorEastAsia"/>
          <w:sz w:val="24"/>
          <w:szCs w:val="24"/>
        </w:rPr>
        <w:t>Re</w:t>
      </w:r>
      <w:r>
        <w:rPr>
          <w:rFonts w:eastAsiaTheme="minorEastAsia"/>
          <w:sz w:val="24"/>
          <w:szCs w:val="24"/>
          <w:vertAlign w:val="subscript"/>
        </w:rPr>
        <w:t>kr</w:t>
      </w:r>
      <w:proofErr w:type="spellEnd"/>
      <w:r>
        <w:rPr>
          <w:rFonts w:eastAsiaTheme="minorEastAsia"/>
          <w:sz w:val="24"/>
          <w:szCs w:val="24"/>
        </w:rPr>
        <w:t>. Okazuje się, że wszystkie przepływy były laminarne.</w:t>
      </w:r>
    </w:p>
    <w:p w14:paraId="55C1B6B7" w14:textId="77777777" w:rsidR="00A22C45" w:rsidRDefault="00A22C45" w:rsidP="00A22C45">
      <w:pPr>
        <w:ind w:left="360"/>
        <w:rPr>
          <w:rFonts w:eastAsiaTheme="minorEastAsia"/>
          <w:sz w:val="24"/>
          <w:szCs w:val="24"/>
        </w:rPr>
      </w:pPr>
    </w:p>
    <w:p w14:paraId="6DD876B9" w14:textId="77777777" w:rsidR="00A22C45" w:rsidRDefault="00A22C45" w:rsidP="00A22C45">
      <w:pPr>
        <w:ind w:left="360"/>
        <w:rPr>
          <w:rFonts w:eastAsiaTheme="minorEastAsia"/>
          <w:sz w:val="24"/>
          <w:szCs w:val="24"/>
        </w:rPr>
      </w:pPr>
    </w:p>
    <w:p w14:paraId="19AA68C3" w14:textId="77777777" w:rsidR="00A22C45" w:rsidRDefault="00A22C45" w:rsidP="00A22C45">
      <w:pPr>
        <w:ind w:left="360"/>
        <w:rPr>
          <w:rFonts w:eastAsiaTheme="minorEastAsia"/>
          <w:sz w:val="24"/>
          <w:szCs w:val="24"/>
        </w:rPr>
      </w:pPr>
    </w:p>
    <w:p w14:paraId="42EED691" w14:textId="77777777" w:rsidR="00A22C45" w:rsidRDefault="00A22C45" w:rsidP="00A22C45">
      <w:pPr>
        <w:ind w:left="360"/>
        <w:rPr>
          <w:rFonts w:eastAsiaTheme="minorEastAsia"/>
          <w:sz w:val="24"/>
          <w:szCs w:val="24"/>
        </w:rPr>
      </w:pPr>
    </w:p>
    <w:p w14:paraId="25EFAF53" w14:textId="77777777" w:rsidR="00A22C45" w:rsidRDefault="00A22C45" w:rsidP="00A22C45">
      <w:pPr>
        <w:ind w:left="360"/>
        <w:rPr>
          <w:rFonts w:eastAsiaTheme="minorEastAsia"/>
          <w:sz w:val="24"/>
          <w:szCs w:val="24"/>
        </w:rPr>
      </w:pPr>
    </w:p>
    <w:p w14:paraId="7D912802" w14:textId="77777777" w:rsidR="00A22C45" w:rsidRDefault="00A22C45" w:rsidP="00A22C45">
      <w:pPr>
        <w:ind w:left="360"/>
        <w:rPr>
          <w:rFonts w:eastAsiaTheme="minorEastAsia"/>
          <w:sz w:val="24"/>
          <w:szCs w:val="24"/>
        </w:rPr>
      </w:pPr>
    </w:p>
    <w:p w14:paraId="03153178" w14:textId="77777777" w:rsidR="00A22C45" w:rsidRDefault="00A22C45" w:rsidP="00A22C45">
      <w:pPr>
        <w:ind w:left="360"/>
        <w:rPr>
          <w:rFonts w:eastAsiaTheme="minorEastAsia"/>
          <w:sz w:val="24"/>
          <w:szCs w:val="24"/>
        </w:rPr>
      </w:pPr>
    </w:p>
    <w:p w14:paraId="228F7542" w14:textId="77777777" w:rsidR="00A22C45" w:rsidRDefault="00A22C45" w:rsidP="00A22C45">
      <w:pPr>
        <w:ind w:left="360"/>
        <w:rPr>
          <w:rFonts w:eastAsiaTheme="minorEastAsia"/>
          <w:sz w:val="24"/>
          <w:szCs w:val="24"/>
        </w:rPr>
      </w:pPr>
    </w:p>
    <w:p w14:paraId="2838F858" w14:textId="729B991D" w:rsidR="00A22C45" w:rsidRDefault="00A22C45" w:rsidP="00A22C45">
      <w:pPr>
        <w:ind w:left="36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Wnioski</w:t>
      </w:r>
    </w:p>
    <w:p w14:paraId="21EEC22A" w14:textId="451C180B" w:rsidR="00AC20F4" w:rsidRPr="00A22C45" w:rsidRDefault="00F50A54" w:rsidP="00F50A54">
      <w:pPr>
        <w:ind w:left="360" w:firstLine="34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Na podstawie obliczonych wartości wywnioskowano, że wszystkie przepływy przez rurkę kapilarną w każdym powtórzonym eksperymencie okazały się być laminarne</w:t>
      </w:r>
      <w:r w:rsidR="00AC20F4">
        <w:rPr>
          <w:rFonts w:eastAsiaTheme="minorEastAsia"/>
          <w:sz w:val="24"/>
          <w:szCs w:val="24"/>
        </w:rPr>
        <w:t>. Obliczone wartości mogą odbiegać od wartości rzeczywistych, ze względu na niedokładnie wykonane pomiary np. za późna reakcja na zatrzymanie stopera lub niedokładne odczytanie wartości z podziałki manometru i/lub menzurki.</w:t>
      </w:r>
    </w:p>
    <w:p w14:paraId="5074F8E1" w14:textId="5FFE2C6F" w:rsidR="00054DE6" w:rsidRDefault="00054DE6" w:rsidP="004C0B2C"/>
    <w:p w14:paraId="487E6C63" w14:textId="631D7967" w:rsidR="00635533" w:rsidRDefault="00635533" w:rsidP="004C0B2C"/>
    <w:p w14:paraId="1B614D02" w14:textId="5277840A" w:rsidR="0097595C" w:rsidRDefault="0097595C" w:rsidP="004C0B2C">
      <w:r>
        <w:t xml:space="preserve"> </w:t>
      </w:r>
    </w:p>
    <w:p w14:paraId="34147724" w14:textId="77777777" w:rsidR="00B54072" w:rsidRDefault="00B54072" w:rsidP="004C0B2C"/>
    <w:p w14:paraId="09DD5299" w14:textId="77777777" w:rsidR="000D2CD3" w:rsidRDefault="000D2CD3" w:rsidP="004C0B2C"/>
    <w:sectPr w:rsidR="000D2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E6F"/>
    <w:multiLevelType w:val="hybridMultilevel"/>
    <w:tmpl w:val="9580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D5042"/>
    <w:multiLevelType w:val="hybridMultilevel"/>
    <w:tmpl w:val="7E84F93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C35E26"/>
    <w:multiLevelType w:val="hybridMultilevel"/>
    <w:tmpl w:val="F5823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53FD2"/>
    <w:multiLevelType w:val="hybridMultilevel"/>
    <w:tmpl w:val="DBEC98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B694A"/>
    <w:multiLevelType w:val="hybridMultilevel"/>
    <w:tmpl w:val="0AD62CF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F263A8"/>
    <w:multiLevelType w:val="hybridMultilevel"/>
    <w:tmpl w:val="003C5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20DDA"/>
    <w:multiLevelType w:val="hybridMultilevel"/>
    <w:tmpl w:val="42C02F7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F896FDE"/>
    <w:multiLevelType w:val="hybridMultilevel"/>
    <w:tmpl w:val="B42804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22A40"/>
    <w:multiLevelType w:val="hybridMultilevel"/>
    <w:tmpl w:val="194CEA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C26F9"/>
    <w:multiLevelType w:val="hybridMultilevel"/>
    <w:tmpl w:val="BBDC9F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61D6E"/>
    <w:multiLevelType w:val="hybridMultilevel"/>
    <w:tmpl w:val="94807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76C30"/>
    <w:multiLevelType w:val="hybridMultilevel"/>
    <w:tmpl w:val="D396B7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DA7F76"/>
    <w:multiLevelType w:val="hybridMultilevel"/>
    <w:tmpl w:val="4EBE2E1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5D7694"/>
    <w:multiLevelType w:val="hybridMultilevel"/>
    <w:tmpl w:val="9BB64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24CA7"/>
    <w:multiLevelType w:val="hybridMultilevel"/>
    <w:tmpl w:val="C36203B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8D4936"/>
    <w:multiLevelType w:val="hybridMultilevel"/>
    <w:tmpl w:val="BFF485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411F5"/>
    <w:multiLevelType w:val="hybridMultilevel"/>
    <w:tmpl w:val="47D8A40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AD0742"/>
    <w:multiLevelType w:val="hybridMultilevel"/>
    <w:tmpl w:val="9F4E21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20191"/>
    <w:multiLevelType w:val="hybridMultilevel"/>
    <w:tmpl w:val="87728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B3B9B"/>
    <w:multiLevelType w:val="hybridMultilevel"/>
    <w:tmpl w:val="D91801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C6A1D"/>
    <w:multiLevelType w:val="hybridMultilevel"/>
    <w:tmpl w:val="59B03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A4B67"/>
    <w:multiLevelType w:val="hybridMultilevel"/>
    <w:tmpl w:val="F2125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604B5"/>
    <w:multiLevelType w:val="hybridMultilevel"/>
    <w:tmpl w:val="65420F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1D690D"/>
    <w:multiLevelType w:val="hybridMultilevel"/>
    <w:tmpl w:val="AF42FFF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AE002F"/>
    <w:multiLevelType w:val="hybridMultilevel"/>
    <w:tmpl w:val="0DC6BA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D377F"/>
    <w:multiLevelType w:val="hybridMultilevel"/>
    <w:tmpl w:val="A9CC6E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4305CE"/>
    <w:multiLevelType w:val="hybridMultilevel"/>
    <w:tmpl w:val="7C10E5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854343">
    <w:abstractNumId w:val="7"/>
  </w:num>
  <w:num w:numId="2" w16cid:durableId="1264344119">
    <w:abstractNumId w:val="21"/>
  </w:num>
  <w:num w:numId="3" w16cid:durableId="948777421">
    <w:abstractNumId w:val="17"/>
  </w:num>
  <w:num w:numId="4" w16cid:durableId="2062778104">
    <w:abstractNumId w:val="6"/>
  </w:num>
  <w:num w:numId="5" w16cid:durableId="1710766613">
    <w:abstractNumId w:val="19"/>
  </w:num>
  <w:num w:numId="6" w16cid:durableId="67071088">
    <w:abstractNumId w:val="11"/>
  </w:num>
  <w:num w:numId="7" w16cid:durableId="1278295763">
    <w:abstractNumId w:val="20"/>
  </w:num>
  <w:num w:numId="8" w16cid:durableId="1612856474">
    <w:abstractNumId w:val="26"/>
  </w:num>
  <w:num w:numId="9" w16cid:durableId="2047752666">
    <w:abstractNumId w:val="4"/>
  </w:num>
  <w:num w:numId="10" w16cid:durableId="695231100">
    <w:abstractNumId w:val="24"/>
  </w:num>
  <w:num w:numId="11" w16cid:durableId="754205725">
    <w:abstractNumId w:val="2"/>
  </w:num>
  <w:num w:numId="12" w16cid:durableId="728920020">
    <w:abstractNumId w:val="16"/>
  </w:num>
  <w:num w:numId="13" w16cid:durableId="90972934">
    <w:abstractNumId w:val="13"/>
  </w:num>
  <w:num w:numId="14" w16cid:durableId="1905869091">
    <w:abstractNumId w:val="1"/>
  </w:num>
  <w:num w:numId="15" w16cid:durableId="2144535520">
    <w:abstractNumId w:val="12"/>
  </w:num>
  <w:num w:numId="16" w16cid:durableId="1941140109">
    <w:abstractNumId w:val="8"/>
  </w:num>
  <w:num w:numId="17" w16cid:durableId="493374260">
    <w:abstractNumId w:val="9"/>
  </w:num>
  <w:num w:numId="18" w16cid:durableId="1030646177">
    <w:abstractNumId w:val="0"/>
  </w:num>
  <w:num w:numId="19" w16cid:durableId="1898929117">
    <w:abstractNumId w:val="25"/>
  </w:num>
  <w:num w:numId="20" w16cid:durableId="77292112">
    <w:abstractNumId w:val="14"/>
  </w:num>
  <w:num w:numId="21" w16cid:durableId="100078481">
    <w:abstractNumId w:val="10"/>
  </w:num>
  <w:num w:numId="22" w16cid:durableId="24137769">
    <w:abstractNumId w:val="23"/>
  </w:num>
  <w:num w:numId="23" w16cid:durableId="267545798">
    <w:abstractNumId w:val="5"/>
  </w:num>
  <w:num w:numId="24" w16cid:durableId="700782138">
    <w:abstractNumId w:val="15"/>
  </w:num>
  <w:num w:numId="25" w16cid:durableId="1187210240">
    <w:abstractNumId w:val="3"/>
  </w:num>
  <w:num w:numId="26" w16cid:durableId="2044555891">
    <w:abstractNumId w:val="22"/>
  </w:num>
  <w:num w:numId="27" w16cid:durableId="793278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45"/>
    <w:rsid w:val="00006B67"/>
    <w:rsid w:val="00036045"/>
    <w:rsid w:val="00054DE6"/>
    <w:rsid w:val="000D05E7"/>
    <w:rsid w:val="000D2CD3"/>
    <w:rsid w:val="00147AD7"/>
    <w:rsid w:val="001621DC"/>
    <w:rsid w:val="00175D99"/>
    <w:rsid w:val="001B4EF5"/>
    <w:rsid w:val="004C0B2C"/>
    <w:rsid w:val="00507799"/>
    <w:rsid w:val="00605EDE"/>
    <w:rsid w:val="00635533"/>
    <w:rsid w:val="00655CE4"/>
    <w:rsid w:val="00657175"/>
    <w:rsid w:val="0068338B"/>
    <w:rsid w:val="006872AC"/>
    <w:rsid w:val="006A1D4C"/>
    <w:rsid w:val="006C283B"/>
    <w:rsid w:val="00741D6F"/>
    <w:rsid w:val="00775D40"/>
    <w:rsid w:val="007F2BA5"/>
    <w:rsid w:val="00854A17"/>
    <w:rsid w:val="008A4E88"/>
    <w:rsid w:val="00942646"/>
    <w:rsid w:val="009478FA"/>
    <w:rsid w:val="00952AA3"/>
    <w:rsid w:val="0096022B"/>
    <w:rsid w:val="009714EE"/>
    <w:rsid w:val="0097595C"/>
    <w:rsid w:val="00975B74"/>
    <w:rsid w:val="00A022EF"/>
    <w:rsid w:val="00A22C45"/>
    <w:rsid w:val="00AC20F4"/>
    <w:rsid w:val="00B54072"/>
    <w:rsid w:val="00B80F77"/>
    <w:rsid w:val="00C22D4A"/>
    <w:rsid w:val="00C303B0"/>
    <w:rsid w:val="00C4055A"/>
    <w:rsid w:val="00C705AE"/>
    <w:rsid w:val="00E16F94"/>
    <w:rsid w:val="00F50A54"/>
    <w:rsid w:val="00FD1C0E"/>
    <w:rsid w:val="00FF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5747"/>
  <w15:chartTrackingRefBased/>
  <w15:docId w15:val="{5642E2DF-BC1C-4242-A5BE-6BCD3AC0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604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47AD7"/>
    <w:rPr>
      <w:color w:val="808080"/>
    </w:rPr>
  </w:style>
  <w:style w:type="table" w:styleId="Tabela-Siatka">
    <w:name w:val="Table Grid"/>
    <w:basedOn w:val="Standardowy"/>
    <w:uiPriority w:val="39"/>
    <w:rsid w:val="00147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Śmieja</dc:creator>
  <cp:keywords/>
  <dc:description/>
  <cp:lastModifiedBy>Karol Pitera (kp306682)</cp:lastModifiedBy>
  <cp:revision>2</cp:revision>
  <dcterms:created xsi:type="dcterms:W3CDTF">2023-12-12T14:27:00Z</dcterms:created>
  <dcterms:modified xsi:type="dcterms:W3CDTF">2023-12-12T14:27:00Z</dcterms:modified>
</cp:coreProperties>
</file>