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proofErr w:type="spellStart"/>
      <w:r w:rsidRPr="00A20786">
        <w:rPr>
          <w:rFonts w:ascii="Times New Roman" w:hAnsi="Times New Roman" w:cs="Times New Roman"/>
          <w:b/>
          <w:bCs/>
          <w:sz w:val="28"/>
          <w:szCs w:val="28"/>
        </w:rPr>
        <w:t>Blossom</w:t>
      </w:r>
      <w:proofErr w:type="spellEnd"/>
      <w:r w:rsidRPr="00A20786">
        <w:rPr>
          <w:rFonts w:ascii="Times New Roman" w:hAnsi="Times New Roman" w:cs="Times New Roman"/>
          <w:b/>
          <w:bCs/>
          <w:sz w:val="28"/>
          <w:szCs w:val="28"/>
        </w:rPr>
        <w:t xml:space="preserve"> </w:t>
      </w:r>
      <w:proofErr w:type="spellStart"/>
      <w:r w:rsidRPr="00A20786">
        <w:rPr>
          <w:rFonts w:ascii="Times New Roman" w:hAnsi="Times New Roman" w:cs="Times New Roman"/>
          <w:b/>
          <w:bCs/>
          <w:sz w:val="28"/>
          <w:szCs w:val="28"/>
        </w:rPr>
        <w:t>Beauty</w:t>
      </w:r>
      <w:proofErr w:type="spellEnd"/>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Bieži vien sievietes pamana viena otrā kādus apģērba gabalus, aksesuārus, kosmētikas produktus un vēlās arī kaut ko tādu iegādāties vai pamēģināt, tādā viedā dalīties savstarpēji, </w:t>
      </w:r>
      <w:proofErr w:type="spellStart"/>
      <w:r>
        <w:rPr>
          <w:rFonts w:ascii="Times New Roman" w:hAnsi="Times New Roman" w:cs="Times New Roman"/>
          <w:color w:val="000000" w:themeColor="text1"/>
          <w:sz w:val="24"/>
          <w:szCs w:val="24"/>
        </w:rPr>
        <w:t>kopistiski</w:t>
      </w:r>
      <w:proofErr w:type="spellEnd"/>
      <w:r>
        <w:rPr>
          <w:rFonts w:ascii="Times New Roman" w:hAnsi="Times New Roman" w:cs="Times New Roman"/>
          <w:color w:val="000000" w:themeColor="text1"/>
          <w:sz w:val="24"/>
          <w:szCs w:val="24"/>
        </w:rPr>
        <w:t xml:space="preserve">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Ņemot vērā ka šo laikmetu mēdz dēvēt par digitālo laikmetu, cilvēkiem pietrūkst tiešā komunikācija, socializēšanās reālā vidē. Ļoti bieži apsveikumu vietā mēs izmantojam digitālos apsveikumus kā piemēram apsveikums “</w:t>
      </w:r>
      <w:proofErr w:type="spellStart"/>
      <w:r>
        <w:rPr>
          <w:rFonts w:ascii="Times New Roman" w:hAnsi="Times New Roman" w:cs="Times New Roman"/>
          <w:color w:val="000000" w:themeColor="text1"/>
          <w:sz w:val="24"/>
          <w:szCs w:val="24"/>
        </w:rPr>
        <w:t>Facebook</w:t>
      </w:r>
      <w:proofErr w:type="spellEnd"/>
      <w:r>
        <w:rPr>
          <w:rFonts w:ascii="Times New Roman" w:hAnsi="Times New Roman" w:cs="Times New Roman"/>
          <w:color w:val="000000" w:themeColor="text1"/>
          <w:sz w:val="24"/>
          <w:szCs w:val="24"/>
        </w:rPr>
        <w:t>”, “</w:t>
      </w:r>
      <w:proofErr w:type="spellStart"/>
      <w:r>
        <w:rPr>
          <w:rFonts w:ascii="Times New Roman" w:hAnsi="Times New Roman" w:cs="Times New Roman"/>
          <w:color w:val="000000" w:themeColor="text1"/>
          <w:sz w:val="24"/>
          <w:szCs w:val="24"/>
        </w:rPr>
        <w:t>Whatsapp</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epastos</w:t>
      </w:r>
      <w:proofErr w:type="spellEnd"/>
      <w:r>
        <w:rPr>
          <w:rFonts w:ascii="Times New Roman" w:hAnsi="Times New Roman" w:cs="Times New Roman"/>
          <w:color w:val="000000" w:themeColor="text1"/>
          <w:sz w:val="24"/>
          <w:szCs w:val="24"/>
        </w:rPr>
        <w:t xml:space="preserve">.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 xml:space="preserve">Funkcionālās prasības - Mājas lapas lietotājiem jābūt iespējai pārlūkot un meklēt produktus, izvēlēties tos un veikt pasūtījumus, kā arī apmaksāt pasūtījumus. </w:t>
      </w:r>
      <w:proofErr w:type="spellStart"/>
      <w:r w:rsidRPr="007C77BD">
        <w:rPr>
          <w:rFonts w:ascii="Times New Roman" w:hAnsi="Times New Roman" w:cs="Times New Roman"/>
          <w:sz w:val="24"/>
          <w:szCs w:val="24"/>
        </w:rPr>
        <w:t>Administrātora</w:t>
      </w:r>
      <w:proofErr w:type="spellEnd"/>
      <w:r w:rsidRPr="007C77BD">
        <w:rPr>
          <w:rFonts w:ascii="Times New Roman" w:hAnsi="Times New Roman" w:cs="Times New Roman"/>
          <w:sz w:val="24"/>
          <w:szCs w:val="24"/>
        </w:rPr>
        <w:t xml:space="preserve">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proofErr w:type="spellStart"/>
      <w:r w:rsidRPr="007C77BD">
        <w:rPr>
          <w:rFonts w:ascii="Times New Roman" w:hAnsi="Times New Roman" w:cs="Times New Roman"/>
          <w:sz w:val="24"/>
          <w:szCs w:val="24"/>
        </w:rPr>
        <w:t>Skalējamības</w:t>
      </w:r>
      <w:proofErr w:type="spellEnd"/>
      <w:r w:rsidRPr="007C77BD">
        <w:rPr>
          <w:rFonts w:ascii="Times New Roman" w:hAnsi="Times New Roman" w:cs="Times New Roman"/>
          <w:sz w:val="24"/>
          <w:szCs w:val="24"/>
        </w:rPr>
        <w:t xml:space="preserve">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 xml:space="preserve">Datu apstrāde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proofErr w:type="spellStart"/>
      <w:r w:rsidRPr="00243D7A">
        <w:rPr>
          <w:rFonts w:ascii="Times New Roman" w:hAnsi="Times New Roman" w:cs="Times New Roman"/>
          <w:sz w:val="24"/>
          <w:szCs w:val="24"/>
        </w:rPr>
        <w:t>Ievaddatu</w:t>
      </w:r>
      <w:proofErr w:type="spellEnd"/>
      <w:r w:rsidRPr="00243D7A">
        <w:rPr>
          <w:rFonts w:ascii="Times New Roman" w:hAnsi="Times New Roman" w:cs="Times New Roman"/>
          <w:sz w:val="24"/>
          <w:szCs w:val="24"/>
        </w:rPr>
        <w:t xml:space="preserve"> apstrāde un </w:t>
      </w:r>
      <w:proofErr w:type="spellStart"/>
      <w:r w:rsidRPr="00243D7A">
        <w:rPr>
          <w:rFonts w:ascii="Times New Roman" w:hAnsi="Times New Roman" w:cs="Times New Roman"/>
          <w:sz w:val="24"/>
          <w:szCs w:val="24"/>
        </w:rPr>
        <w:t>izvaddatu</w:t>
      </w:r>
      <w:proofErr w:type="spellEnd"/>
      <w:r w:rsidRPr="00243D7A">
        <w:rPr>
          <w:rFonts w:ascii="Times New Roman" w:hAnsi="Times New Roman" w:cs="Times New Roman"/>
          <w:sz w:val="24"/>
          <w:szCs w:val="24"/>
        </w:rPr>
        <w:t xml:space="preserve"> noteikšana </w:t>
      </w:r>
      <w:proofErr w:type="spellStart"/>
      <w:r w:rsidRPr="00243D7A">
        <w:rPr>
          <w:rFonts w:ascii="Times New Roman" w:hAnsi="Times New Roman" w:cs="Times New Roman"/>
          <w:sz w:val="24"/>
          <w:szCs w:val="24"/>
        </w:rPr>
        <w:t>administrātora</w:t>
      </w:r>
      <w:proofErr w:type="spellEnd"/>
      <w:r w:rsidRPr="00243D7A">
        <w:rPr>
          <w:rFonts w:ascii="Times New Roman" w:hAnsi="Times New Roman" w:cs="Times New Roman"/>
          <w:sz w:val="24"/>
          <w:szCs w:val="24"/>
        </w:rPr>
        <w:t xml:space="preserve"> produktu rediģēšanas funkcijā.</w:t>
      </w:r>
    </w:p>
    <w:p w14:paraId="122434E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dzēšana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Ievaddati</w:t>
      </w:r>
      <w:proofErr w:type="spellEnd"/>
      <w:r>
        <w:rPr>
          <w:rFonts w:ascii="Times New Roman" w:hAnsi="Times New Roman" w:cs="Times New Roman"/>
          <w:sz w:val="24"/>
          <w:szCs w:val="24"/>
        </w:rPr>
        <w:t>:</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 xml:space="preserve">Datu pievienošana caur </w:t>
      </w:r>
      <w:proofErr w:type="spellStart"/>
      <w:r>
        <w:rPr>
          <w:rFonts w:ascii="Times New Roman" w:hAnsi="Times New Roman" w:cs="Times New Roman"/>
          <w:b/>
          <w:bCs/>
          <w:color w:val="auto"/>
        </w:rPr>
        <w:t>admin</w:t>
      </w:r>
      <w:proofErr w:type="spellEnd"/>
      <w:r>
        <w:rPr>
          <w:rFonts w:ascii="Times New Roman" w:hAnsi="Times New Roman" w:cs="Times New Roman"/>
          <w:b/>
          <w:bCs/>
          <w:color w:val="auto"/>
        </w:rPr>
        <w:t xml:space="preserve">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Ievaddati</w:t>
      </w:r>
      <w:proofErr w:type="spellEnd"/>
      <w:r>
        <w:rPr>
          <w:rFonts w:ascii="Times New Roman" w:hAnsi="Times New Roman" w:cs="Times New Roman"/>
          <w:sz w:val="24"/>
          <w:szCs w:val="24"/>
        </w:rPr>
        <w:t>:</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proofErr w:type="spellStart"/>
      <w:r>
        <w:rPr>
          <w:rFonts w:ascii="Times New Roman" w:hAnsi="Times New Roman" w:cs="Times New Roman"/>
          <w:sz w:val="24"/>
          <w:szCs w:val="24"/>
        </w:rPr>
        <w:t>Izvaddati</w:t>
      </w:r>
      <w:proofErr w:type="spellEnd"/>
      <w:r>
        <w:rPr>
          <w:rFonts w:ascii="Times New Roman" w:hAnsi="Times New Roman" w:cs="Times New Roman"/>
          <w:sz w:val="24"/>
          <w:szCs w:val="24"/>
        </w:rPr>
        <w:t>:</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w:t>
      </w:r>
      <w:proofErr w:type="spellStart"/>
      <w:r w:rsidRPr="002C0D6B">
        <w:rPr>
          <w:rFonts w:ascii="Times New Roman" w:hAnsi="Times New Roman" w:cs="Times New Roman"/>
          <w:sz w:val="24"/>
          <w:szCs w:val="24"/>
        </w:rPr>
        <w:t>kompatiblai</w:t>
      </w:r>
      <w:proofErr w:type="spellEnd"/>
      <w:r w:rsidRPr="002C0D6B">
        <w:rPr>
          <w:rFonts w:ascii="Times New Roman" w:hAnsi="Times New Roman" w:cs="Times New Roman"/>
          <w:sz w:val="24"/>
          <w:szCs w:val="24"/>
        </w:rPr>
        <w:t xml:space="preserve">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proofErr w:type="spellStart"/>
      <w:r w:rsidR="00435959" w:rsidRPr="00435959">
        <w:rPr>
          <w:rFonts w:ascii="Times New Roman" w:hAnsi="Times New Roman" w:cs="Times New Roman"/>
        </w:rPr>
        <w:t>JavaScript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TypeScript</w:t>
      </w:r>
      <w:proofErr w:type="spellEnd"/>
      <w:r w:rsidR="00435959" w:rsidRPr="00435959">
        <w:rPr>
          <w:rFonts w:ascii="Times New Roman" w:hAnsi="Times New Roman" w:cs="Times New Roman"/>
        </w:rPr>
        <w:t xml:space="preserve">, </w:t>
      </w:r>
      <w:proofErr w:type="spellStart"/>
      <w:r w:rsidR="00435959" w:rsidRPr="00435959">
        <w:rPr>
          <w:rFonts w:ascii="Times New Roman" w:hAnsi="Times New Roman" w:cs="Times New Roman"/>
        </w:rPr>
        <w:t>Python</w:t>
      </w:r>
      <w:proofErr w:type="spellEnd"/>
      <w:r w:rsidR="00435959" w:rsidRPr="00435959">
        <w:rPr>
          <w:rFonts w:ascii="Times New Roman" w:hAnsi="Times New Roman" w:cs="Times New Roman"/>
        </w:rPr>
        <w:t xml:space="preserve">, C++, PHP, </w:t>
      </w:r>
      <w:proofErr w:type="spellStart"/>
      <w:r w:rsidR="00435959" w:rsidRPr="00435959">
        <w:rPr>
          <w:rFonts w:ascii="Times New Roman" w:hAnsi="Times New Roman" w:cs="Times New Roman"/>
        </w:rPr>
        <w:t>Ruby</w:t>
      </w:r>
      <w:proofErr w:type="spellEnd"/>
      <w:r w:rsidR="00435959" w:rsidRPr="00435959">
        <w:rPr>
          <w:rFonts w:ascii="Times New Roman" w:hAnsi="Times New Roman" w:cs="Times New Roman"/>
        </w:rPr>
        <w:t>,</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proofErr w:type="spellStart"/>
      <w:r w:rsidRPr="00931314">
        <w:rPr>
          <w:rFonts w:ascii="Times New Roman" w:hAnsi="Times New Roman" w:cs="Times New Roman"/>
        </w:rPr>
        <w:t>Eclipse</w:t>
      </w:r>
      <w:proofErr w:type="spellEnd"/>
      <w:r w:rsidRPr="00931314">
        <w:rPr>
          <w:rFonts w:ascii="Times New Roman" w:hAnsi="Times New Roman" w:cs="Times New Roman"/>
        </w:rPr>
        <w:t xml:space="preserve"> - Brīvi pieejams atvērtā koda redaktors, kas izstrādāts priekš Java un citiem JVM valodām, ar plašu funkciju klāstu un integrāciju ar citiem rīkiem, piemēram, </w:t>
      </w:r>
      <w:proofErr w:type="spellStart"/>
      <w:r w:rsidRPr="00931314">
        <w:rPr>
          <w:rFonts w:ascii="Times New Roman" w:hAnsi="Times New Roman" w:cs="Times New Roman"/>
        </w:rPr>
        <w:t>Git</w:t>
      </w:r>
      <w:proofErr w:type="spellEnd"/>
      <w:r w:rsidRPr="00931314">
        <w:rPr>
          <w:rFonts w:ascii="Times New Roman" w:hAnsi="Times New Roman" w:cs="Times New Roman"/>
        </w:rPr>
        <w:t>.</w:t>
      </w:r>
    </w:p>
    <w:p w14:paraId="56310711" w14:textId="60A756DB" w:rsidR="001E7798" w:rsidRPr="00BE155C" w:rsidRDefault="00931314" w:rsidP="00800D0F">
      <w:pPr>
        <w:rPr>
          <w:rFonts w:ascii="Times New Roman" w:eastAsiaTheme="majorEastAsia" w:hAnsi="Times New Roman" w:cs="Times New Roman"/>
        </w:rPr>
      </w:pPr>
      <w:proofErr w:type="spellStart"/>
      <w:r w:rsidRPr="00931314">
        <w:rPr>
          <w:rFonts w:ascii="Times New Roman" w:hAnsi="Times New Roman" w:cs="Times New Roman"/>
        </w:rPr>
        <w:t>Notepad</w:t>
      </w:r>
      <w:proofErr w:type="spellEnd"/>
      <w:r w:rsidRPr="00931314">
        <w:rPr>
          <w:rFonts w:ascii="Times New Roman" w:hAnsi="Times New Roman" w:cs="Times New Roman"/>
        </w:rPr>
        <w:t>++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w:t>
      </w:r>
      <w:proofErr w:type="spellStart"/>
      <w:r w:rsidR="004737DB" w:rsidRPr="004737DB">
        <w:rPr>
          <w:rFonts w:ascii="Times New Roman" w:hAnsi="Times New Roman" w:cs="Times New Roman"/>
        </w:rPr>
        <w:t>HyperText</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Markup</w:t>
      </w:r>
      <w:proofErr w:type="spellEnd"/>
      <w:r w:rsidR="004737DB" w:rsidRPr="004737DB">
        <w:rPr>
          <w:rFonts w:ascii="Times New Roman" w:hAnsi="Times New Roman" w:cs="Times New Roman"/>
        </w:rPr>
        <w:t xml:space="preserve"> </w:t>
      </w:r>
      <w:proofErr w:type="spellStart"/>
      <w:r w:rsidR="004737DB" w:rsidRPr="004737DB">
        <w:rPr>
          <w:rFonts w:ascii="Times New Roman" w:hAnsi="Times New Roman" w:cs="Times New Roman"/>
        </w:rPr>
        <w:t>Language</w:t>
      </w:r>
      <w:proofErr w:type="spellEnd"/>
      <w:r w:rsidR="004737DB" w:rsidRPr="004737DB">
        <w:rPr>
          <w:rFonts w:ascii="Times New Roman" w:hAnsi="Times New Roman" w:cs="Times New Roman"/>
        </w:rPr>
        <w:t>)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w:t>
      </w:r>
      <w:proofErr w:type="spellStart"/>
      <w:r w:rsidRPr="004737DB">
        <w:rPr>
          <w:rFonts w:ascii="Times New Roman" w:hAnsi="Times New Roman" w:cs="Times New Roman"/>
        </w:rPr>
        <w:t>Cascading</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Style</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Sheets</w:t>
      </w:r>
      <w:proofErr w:type="spellEnd"/>
      <w:r w:rsidRPr="004737DB">
        <w:rPr>
          <w:rFonts w:ascii="Times New Roman" w:hAnsi="Times New Roman" w:cs="Times New Roman"/>
        </w:rPr>
        <w:t>)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proofErr w:type="spellStart"/>
      <w:r w:rsidRPr="004737DB">
        <w:rPr>
          <w:rFonts w:ascii="Times New Roman" w:hAnsi="Times New Roman" w:cs="Times New Roman"/>
        </w:rPr>
        <w:t>Hypertext</w:t>
      </w:r>
      <w:proofErr w:type="spellEnd"/>
      <w:r w:rsidRPr="004737DB">
        <w:rPr>
          <w:rFonts w:ascii="Times New Roman" w:hAnsi="Times New Roman" w:cs="Times New Roman"/>
        </w:rPr>
        <w:t xml:space="preserve"> </w:t>
      </w:r>
      <w:proofErr w:type="spellStart"/>
      <w:r w:rsidRPr="004737DB">
        <w:rPr>
          <w:rFonts w:ascii="Times New Roman" w:hAnsi="Times New Roman" w:cs="Times New Roman"/>
        </w:rPr>
        <w:t>Preprocessor</w:t>
      </w:r>
      <w:proofErr w:type="spellEnd"/>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ode (</w:t>
      </w:r>
      <w:proofErr w:type="spellStart"/>
      <w:r w:rsidR="00CB1401">
        <w:rPr>
          <w:rFonts w:ascii="Times New Roman" w:hAnsi="Times New Roman" w:cs="Times New Roman"/>
        </w:rPr>
        <w:t>Visual</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studio</w:t>
      </w:r>
      <w:proofErr w:type="spellEnd"/>
      <w:r w:rsidR="00CB1401">
        <w:rPr>
          <w:rFonts w:ascii="Times New Roman" w:hAnsi="Times New Roman" w:cs="Times New Roman"/>
        </w:rPr>
        <w:t xml:space="preserve"> </w:t>
      </w:r>
      <w:proofErr w:type="spellStart"/>
      <w:r w:rsidR="00CB1401">
        <w:rPr>
          <w:rFonts w:ascii="Times New Roman" w:hAnsi="Times New Roman" w:cs="Times New Roman"/>
        </w:rPr>
        <w:t>code</w:t>
      </w:r>
      <w:proofErr w:type="spellEnd"/>
      <w:r w:rsidR="00CB1401">
        <w:rPr>
          <w:rFonts w:ascii="Times New Roman" w:hAnsi="Times New Roman" w:cs="Times New Roman"/>
        </w:rPr>
        <w:t xml:space="preserv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w:t>
      </w:r>
      <w:proofErr w:type="spellStart"/>
      <w:r w:rsidRPr="00A20786">
        <w:rPr>
          <w:rFonts w:ascii="Times New Roman" w:hAnsi="Times New Roman" w:cs="Times New Roman"/>
          <w:b/>
          <w:bCs/>
          <w:color w:val="000000" w:themeColor="text1"/>
          <w:sz w:val="24"/>
          <w:szCs w:val="24"/>
        </w:rPr>
        <w:t>Activity</w:t>
      </w:r>
      <w:proofErr w:type="spellEnd"/>
      <w:r w:rsidRPr="00A20786">
        <w:rPr>
          <w:rFonts w:ascii="Times New Roman" w:hAnsi="Times New Roman" w:cs="Times New Roman"/>
          <w:b/>
          <w:bCs/>
          <w:color w:val="000000" w:themeColor="text1"/>
          <w:sz w:val="24"/>
          <w:szCs w:val="24"/>
        </w:rPr>
        <w:t>)</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 xml:space="preserve">4.5. </w:t>
      </w:r>
      <w:proofErr w:type="spellStart"/>
      <w:r w:rsidRPr="00A20786">
        <w:rPr>
          <w:rFonts w:ascii="Times New Roman" w:hAnsi="Times New Roman" w:cs="Times New Roman"/>
          <w:b/>
          <w:bCs/>
          <w:color w:val="000000" w:themeColor="text1"/>
          <w:sz w:val="24"/>
          <w:szCs w:val="24"/>
        </w:rPr>
        <w:t>Lietojumgadījumu</w:t>
      </w:r>
      <w:proofErr w:type="spellEnd"/>
      <w:r w:rsidRPr="00A20786">
        <w:rPr>
          <w:rFonts w:ascii="Times New Roman" w:hAnsi="Times New Roman" w:cs="Times New Roman"/>
          <w:b/>
          <w:bCs/>
          <w:color w:val="000000" w:themeColor="text1"/>
          <w:sz w:val="24"/>
          <w:szCs w:val="24"/>
        </w:rPr>
        <w:t xml:space="preserve"> diagramma (</w:t>
      </w:r>
      <w:proofErr w:type="spellStart"/>
      <w:r w:rsidRPr="00A20786">
        <w:rPr>
          <w:rFonts w:ascii="Times New Roman" w:hAnsi="Times New Roman" w:cs="Times New Roman"/>
          <w:b/>
          <w:bCs/>
          <w:color w:val="000000" w:themeColor="text1"/>
          <w:sz w:val="24"/>
          <w:szCs w:val="24"/>
        </w:rPr>
        <w:t>Use</w:t>
      </w:r>
      <w:proofErr w:type="spellEnd"/>
      <w:r w:rsidRPr="00A20786">
        <w:rPr>
          <w:rFonts w:ascii="Times New Roman" w:hAnsi="Times New Roman" w:cs="Times New Roman"/>
          <w:b/>
          <w:bCs/>
          <w:color w:val="000000" w:themeColor="text1"/>
          <w:sz w:val="24"/>
          <w:szCs w:val="24"/>
        </w:rPr>
        <w:t xml:space="preserve"> </w:t>
      </w:r>
      <w:proofErr w:type="spellStart"/>
      <w:r w:rsidRPr="00A20786">
        <w:rPr>
          <w:rFonts w:ascii="Times New Roman" w:hAnsi="Times New Roman" w:cs="Times New Roman"/>
          <w:b/>
          <w:bCs/>
          <w:color w:val="000000" w:themeColor="text1"/>
          <w:sz w:val="24"/>
          <w:szCs w:val="24"/>
        </w:rPr>
        <w:t>Case</w:t>
      </w:r>
      <w:proofErr w:type="spellEnd"/>
      <w:r w:rsidRPr="00A20786">
        <w:rPr>
          <w:rFonts w:ascii="Times New Roman" w:hAnsi="Times New Roman" w:cs="Times New Roman"/>
          <w:b/>
          <w:bCs/>
          <w:color w:val="000000" w:themeColor="text1"/>
          <w:sz w:val="24"/>
          <w:szCs w:val="24"/>
        </w:rPr>
        <w:t>)</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w:t>
      </w:r>
      <w:proofErr w:type="spellStart"/>
      <w:r w:rsidRPr="0087659F">
        <w:rPr>
          <w:rFonts w:ascii="Times New Roman" w:hAnsi="Times New Roman" w:cs="Times New Roman"/>
        </w:rPr>
        <w:t>interesejoš</w:t>
      </w:r>
      <w:r>
        <w:rPr>
          <w:rFonts w:ascii="Times New Roman" w:hAnsi="Times New Roman" w:cs="Times New Roman"/>
        </w:rPr>
        <w:t>o</w:t>
      </w:r>
      <w:proofErr w:type="spellEnd"/>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 xml:space="preserve">Administrators autorizējas sistēmā un ja tie atbilst datu bāzes pieejas datiem administrators tiek pārvietots uz </w:t>
      </w:r>
      <w:proofErr w:type="spellStart"/>
      <w:r>
        <w:rPr>
          <w:rFonts w:ascii="Times New Roman" w:hAnsi="Times New Roman" w:cs="Times New Roman"/>
        </w:rPr>
        <w:t>admin</w:t>
      </w:r>
      <w:proofErr w:type="spellEnd"/>
      <w:r>
        <w:rPr>
          <w:rFonts w:ascii="Times New Roman" w:hAnsi="Times New Roman" w:cs="Times New Roman"/>
        </w:rPr>
        <w:t xml:space="preserve">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0207D1A8" w14:textId="2BBFC3E1" w:rsidR="00800D0F" w:rsidRPr="005037EA" w:rsidRDefault="00224C48" w:rsidP="005037EA">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196420" w:rsidRDefault="00224C48" w:rsidP="00196420">
      <w:pPr>
        <w:pStyle w:val="Heading2"/>
        <w:spacing w:before="240" w:after="240"/>
        <w:jc w:val="center"/>
        <w:rPr>
          <w:rFonts w:ascii="Times New Roman" w:hAnsi="Times New Roman" w:cs="Times New Roman"/>
          <w:b/>
          <w:bCs/>
          <w:color w:val="auto"/>
          <w:sz w:val="24"/>
          <w:szCs w:val="24"/>
        </w:rPr>
      </w:pPr>
      <w:bookmarkStart w:id="32" w:name="_Toc137301544"/>
      <w:r w:rsidRPr="00196420">
        <w:rPr>
          <w:rFonts w:ascii="Times New Roman" w:hAnsi="Times New Roman" w:cs="Times New Roman"/>
          <w:b/>
          <w:bCs/>
          <w:color w:val="auto"/>
          <w:sz w:val="24"/>
          <w:szCs w:val="24"/>
        </w:rPr>
        <w:lastRenderedPageBreak/>
        <w:t>6.1. Izvēlētās testēšanas metodes, rīku apraksts un pamatojums</w:t>
      </w:r>
      <w:bookmarkEnd w:id="32"/>
    </w:p>
    <w:p w14:paraId="1A1DD118" w14:textId="26EF4A5F" w:rsidR="00224C48" w:rsidRPr="00BE155C" w:rsidRDefault="00285CAB">
      <w:pPr>
        <w:rPr>
          <w:rFonts w:ascii="Times New Roman" w:eastAsiaTheme="majorEastAsia" w:hAnsi="Times New Roman" w:cs="Times New Roman"/>
          <w:sz w:val="28"/>
          <w:szCs w:val="28"/>
        </w:rPr>
      </w:pPr>
      <w:r w:rsidRPr="00335575">
        <w:rPr>
          <w:rFonts w:ascii="Times New Roman" w:hAnsi="Times New Roman" w:cs="Times New Roman"/>
          <w:sz w:val="24"/>
          <w:szCs w:val="24"/>
        </w:rPr>
        <w:tab/>
        <w:t>Priekš testēšanas izmantoju “</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testēšanas metodi.</w:t>
      </w:r>
      <w:r>
        <w:rPr>
          <w:rFonts w:ascii="Times New Roman" w:hAnsi="Times New Roman" w:cs="Times New Roman"/>
          <w:sz w:val="24"/>
          <w:szCs w:val="24"/>
        </w:rPr>
        <w:t xml:space="preserve"> </w:t>
      </w:r>
      <w:r w:rsidRPr="00335575">
        <w:rPr>
          <w:rFonts w:ascii="Times New Roman" w:hAnsi="Times New Roman" w:cs="Times New Roman"/>
          <w:sz w:val="24"/>
          <w:szCs w:val="24"/>
        </w:rPr>
        <w:t>“</w:t>
      </w:r>
      <w:proofErr w:type="spellStart"/>
      <w:r w:rsidRPr="00335575">
        <w:rPr>
          <w:rFonts w:ascii="Times New Roman" w:hAnsi="Times New Roman" w:cs="Times New Roman"/>
          <w:sz w:val="24"/>
          <w:szCs w:val="24"/>
        </w:rPr>
        <w:t>BlackBox</w:t>
      </w:r>
      <w:proofErr w:type="spellEnd"/>
      <w:r w:rsidRPr="00335575">
        <w:rPr>
          <w:rFonts w:ascii="Times New Roman" w:hAnsi="Times New Roman" w:cs="Times New Roman"/>
          <w:sz w:val="24"/>
          <w:szCs w:val="24"/>
        </w:rPr>
        <w:t>” ir ērta, laika un resursu ziņā efektīva metode, kas ļauj novērtēt programmatūras vai sistēmas kvalitāti no lietotāja perspektīvas, neatkarīgi no tās iekšējās implementācijas. Tā sniedz plašu testēšanas segumu, nodrošina testēšanas procesa pārnesamību un palīdz identificēt defektus un uzlabošanas iespējas.</w:t>
      </w:r>
      <w:r w:rsidR="00224C48"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1B271DDE" w14:textId="03B56573"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asdadsada</w:t>
      </w:r>
      <w:proofErr w:type="spellEnd"/>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4"/>
    </w:p>
    <w:p w14:paraId="788D1C01" w14:textId="0B3EAEEC"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asdasdasd</w:t>
      </w:r>
      <w:proofErr w:type="spellEnd"/>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proofErr w:type="spellStart"/>
      <w:r w:rsidRPr="007C77BD">
        <w:rPr>
          <w:rFonts w:ascii="Times New Roman" w:hAnsi="Times New Roman" w:cs="Times New Roman"/>
        </w:rPr>
        <w:t>Skalējamība</w:t>
      </w:r>
      <w:proofErr w:type="spellEnd"/>
      <w:r w:rsidRPr="007C77BD">
        <w:rPr>
          <w:rFonts w:ascii="Times New Roman" w:hAnsi="Times New Roman" w:cs="Times New Roman"/>
        </w:rPr>
        <w:t xml:space="preserve">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38BF50AE" w14:textId="59B12F09" w:rsidR="00800D0F" w:rsidRPr="00BE155C" w:rsidRDefault="00800D0F" w:rsidP="00800D0F">
      <w:pPr>
        <w:rPr>
          <w:rFonts w:ascii="Times New Roman" w:hAnsi="Times New Roman" w:cs="Times New Roman"/>
        </w:rPr>
      </w:pPr>
      <w:proofErr w:type="spellStart"/>
      <w:r w:rsidRPr="00BE155C">
        <w:rPr>
          <w:rFonts w:ascii="Times New Roman" w:hAnsi="Times New Roman" w:cs="Times New Roman"/>
        </w:rPr>
        <w:t>adasda</w:t>
      </w:r>
      <w:proofErr w:type="spellEnd"/>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proofErr w:type="spellStart"/>
      <w:r w:rsidRPr="00BE155C">
        <w:rPr>
          <w:rFonts w:ascii="Times New Roman" w:hAnsi="Times New Roman" w:cs="Times New Roman"/>
        </w:rPr>
        <w:t>adasda</w:t>
      </w:r>
      <w:proofErr w:type="spellEnd"/>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B88CD" w14:textId="77777777" w:rsidR="00FD419F" w:rsidRDefault="00FD419F" w:rsidP="0081750D">
      <w:pPr>
        <w:spacing w:after="0" w:line="240" w:lineRule="auto"/>
      </w:pPr>
      <w:r>
        <w:separator/>
      </w:r>
    </w:p>
  </w:endnote>
  <w:endnote w:type="continuationSeparator" w:id="0">
    <w:p w14:paraId="20C83D5C" w14:textId="77777777" w:rsidR="00FD419F" w:rsidRDefault="00FD419F"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EBEF" w14:textId="77777777" w:rsidR="00FD419F" w:rsidRDefault="00FD419F" w:rsidP="0081750D">
      <w:pPr>
        <w:spacing w:after="0" w:line="240" w:lineRule="auto"/>
      </w:pPr>
      <w:r>
        <w:separator/>
      </w:r>
    </w:p>
  </w:footnote>
  <w:footnote w:type="continuationSeparator" w:id="0">
    <w:p w14:paraId="4B0F1B3C" w14:textId="77777777" w:rsidR="00FD419F" w:rsidRDefault="00FD419F"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8"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7"/>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96420"/>
    <w:rsid w:val="001D1159"/>
    <w:rsid w:val="001E3961"/>
    <w:rsid w:val="001E7798"/>
    <w:rsid w:val="00224C48"/>
    <w:rsid w:val="00235A12"/>
    <w:rsid w:val="00236FF8"/>
    <w:rsid w:val="00285CAB"/>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037EA"/>
    <w:rsid w:val="00532F2B"/>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B60C8"/>
    <w:rsid w:val="00AE2F07"/>
    <w:rsid w:val="00B602E5"/>
    <w:rsid w:val="00BE155C"/>
    <w:rsid w:val="00BE7426"/>
    <w:rsid w:val="00C01D6F"/>
    <w:rsid w:val="00C420BA"/>
    <w:rsid w:val="00C62807"/>
    <w:rsid w:val="00C6405A"/>
    <w:rsid w:val="00CA1B4C"/>
    <w:rsid w:val="00CB1401"/>
    <w:rsid w:val="00CB4028"/>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D419F"/>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1333</TotalTime>
  <Pages>29</Pages>
  <Words>13038</Words>
  <Characters>7433</Characters>
  <Application>Microsoft Office Word</Application>
  <DocSecurity>0</DocSecurity>
  <Lines>61</Lines>
  <Paragraphs>40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50</cp:revision>
  <dcterms:created xsi:type="dcterms:W3CDTF">2023-02-27T13:59:00Z</dcterms:created>
  <dcterms:modified xsi:type="dcterms:W3CDTF">2023-06-10T12:04:00Z</dcterms:modified>
</cp:coreProperties>
</file>