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1B81E" w14:textId="29B65BC9" w:rsidR="00E42026" w:rsidRPr="00673977" w:rsidRDefault="00D27485" w:rsidP="00E42026">
      <w:pPr>
        <w:pStyle w:val="Heading1"/>
        <w:rPr>
          <w:sz w:val="36"/>
          <w:szCs w:val="36"/>
        </w:rPr>
      </w:pPr>
      <w:r w:rsidRPr="00673977">
        <w:rPr>
          <w:sz w:val="36"/>
          <w:szCs w:val="36"/>
        </w:rPr>
        <w:t xml:space="preserve">Transcript </w:t>
      </w:r>
      <w:r w:rsidR="0032618D" w:rsidRPr="00673977">
        <w:rPr>
          <w:sz w:val="36"/>
          <w:szCs w:val="36"/>
        </w:rPr>
        <w:t>–</w:t>
      </w:r>
      <w:r w:rsidRPr="00673977">
        <w:rPr>
          <w:sz w:val="36"/>
          <w:szCs w:val="36"/>
        </w:rPr>
        <w:t xml:space="preserve"> </w:t>
      </w:r>
      <w:r w:rsidR="0032618D" w:rsidRPr="00673977">
        <w:rPr>
          <w:sz w:val="36"/>
          <w:szCs w:val="36"/>
        </w:rPr>
        <w:t>Synful Comp</w:t>
      </w:r>
      <w:r w:rsidR="00673977" w:rsidRPr="00673977">
        <w:rPr>
          <w:sz w:val="36"/>
          <w:szCs w:val="36"/>
        </w:rPr>
        <w:t>uting Response to EDC Complaint</w:t>
      </w:r>
    </w:p>
    <w:p w14:paraId="6AEA3BC9" w14:textId="00462C79" w:rsidR="007A4615" w:rsidRPr="002177CF" w:rsidRDefault="007A4615" w:rsidP="007A4615">
      <w:pPr>
        <w:pStyle w:val="Heading1"/>
        <w:rPr>
          <w:sz w:val="28"/>
          <w:szCs w:val="28"/>
        </w:rPr>
      </w:pPr>
      <w:r w:rsidRPr="002177CF">
        <w:rPr>
          <w:sz w:val="28"/>
          <w:szCs w:val="28"/>
        </w:rPr>
        <w:t xml:space="preserve">Slide </w:t>
      </w:r>
      <w:r w:rsidRPr="002177CF">
        <w:rPr>
          <w:sz w:val="28"/>
          <w:szCs w:val="28"/>
        </w:rPr>
        <w:t>1</w:t>
      </w:r>
      <w:r w:rsidRPr="002177CF">
        <w:rPr>
          <w:sz w:val="28"/>
          <w:szCs w:val="28"/>
        </w:rPr>
        <w:t xml:space="preserve">: </w:t>
      </w:r>
      <w:r w:rsidRPr="002177CF">
        <w:rPr>
          <w:sz w:val="28"/>
          <w:szCs w:val="28"/>
        </w:rPr>
        <w:t xml:space="preserve">Project Goal </w:t>
      </w:r>
      <w:r w:rsidRPr="002177CF">
        <w:rPr>
          <w:color w:val="D9D9D9" w:themeColor="background1" w:themeShade="D9"/>
          <w:sz w:val="28"/>
          <w:szCs w:val="28"/>
        </w:rPr>
        <w:t>|</w:t>
      </w:r>
      <w:r w:rsidRPr="002177CF">
        <w:rPr>
          <w:sz w:val="28"/>
          <w:szCs w:val="28"/>
        </w:rPr>
        <w:t xml:space="preserve"> </w:t>
      </w:r>
      <w:r w:rsidR="002177CF" w:rsidRPr="002177CF">
        <w:rPr>
          <w:color w:val="747474" w:themeColor="background2" w:themeShade="80"/>
          <w:sz w:val="28"/>
          <w:szCs w:val="28"/>
        </w:rPr>
        <w:t>UK based PC that will compete with the new IBM PC.</w:t>
      </w:r>
    </w:p>
    <w:p w14:paraId="39F66210" w14:textId="1AC95270" w:rsidR="00E26C09" w:rsidRPr="006B17B9" w:rsidRDefault="00E42026" w:rsidP="00E42026">
      <w:r w:rsidRPr="006B17B9">
        <w:t>The overarching goal of the project is to create a UK based PC that will compete with the new IBM PC.</w:t>
      </w:r>
      <w:r w:rsidR="00E26C09" w:rsidRPr="006B17B9">
        <w:t xml:space="preserve">  The IBM PCs retail</w:t>
      </w:r>
      <w:r w:rsidR="00993221">
        <w:t>s</w:t>
      </w:r>
      <w:r w:rsidR="00E26C09" w:rsidRPr="006B17B9">
        <w:t xml:space="preserve"> at approximately £1000</w:t>
      </w:r>
      <w:r w:rsidR="00673977">
        <w:t xml:space="preserve"> </w:t>
      </w:r>
      <w:r w:rsidR="00637D23" w:rsidRPr="00673977">
        <w:t>(</w:t>
      </w:r>
      <w:r w:rsidR="0008039F" w:rsidRPr="00673977">
        <w:t xml:space="preserve">Edwards, </w:t>
      </w:r>
      <w:r w:rsidR="001054FE" w:rsidRPr="00673977">
        <w:t>2021)</w:t>
      </w:r>
      <w:r w:rsidR="00DA4F38">
        <w:t>.</w:t>
      </w:r>
      <w:r w:rsidR="00E26C09" w:rsidRPr="00673977">
        <w:t xml:space="preserve"> </w:t>
      </w:r>
      <w:r w:rsidR="00E26C09" w:rsidRPr="006B17B9">
        <w:t xml:space="preserve">However, the proposed cost </w:t>
      </w:r>
      <w:r w:rsidR="00C96B81">
        <w:t xml:space="preserve">for the </w:t>
      </w:r>
      <w:r w:rsidR="0095191C">
        <w:t>Syn</w:t>
      </w:r>
      <w:r w:rsidR="00C96B81">
        <w:t>puter</w:t>
      </w:r>
      <w:r w:rsidR="00E26C09" w:rsidRPr="006B17B9">
        <w:t xml:space="preserve"> was just £250.  </w:t>
      </w:r>
    </w:p>
    <w:p w14:paraId="32B57B5F" w14:textId="4A07B835" w:rsidR="00CB0B90" w:rsidRPr="006B17B9" w:rsidRDefault="00E26C09" w:rsidP="00E42026">
      <w:r w:rsidRPr="006B17B9">
        <w:t xml:space="preserve">The </w:t>
      </w:r>
      <w:r w:rsidR="0001492B" w:rsidRPr="006B17B9">
        <w:t>specification was based on a single con</w:t>
      </w:r>
      <w:r w:rsidR="004C29C4" w:rsidRPr="006B17B9">
        <w:t xml:space="preserve">versation between Will and Colin which may have led to </w:t>
      </w:r>
      <w:r w:rsidR="00BA6DA0" w:rsidRPr="006B17B9">
        <w:t xml:space="preserve">confusions regarding priorities.  The discussion was wide ranging and covered many scenarios and </w:t>
      </w:r>
      <w:r w:rsidR="00E04D92" w:rsidRPr="006B17B9">
        <w:t>specification</w:t>
      </w:r>
      <w:r w:rsidR="0062164A">
        <w:t>s</w:t>
      </w:r>
      <w:r w:rsidR="00E04D92" w:rsidRPr="006B17B9">
        <w:t xml:space="preserve">. This has left the brief </w:t>
      </w:r>
      <w:r w:rsidR="00CB0B90" w:rsidRPr="006B17B9">
        <w:t>open to interpretation.</w:t>
      </w:r>
    </w:p>
    <w:p w14:paraId="4C82B80A" w14:textId="77777777" w:rsidR="0059526B" w:rsidRDefault="00CB0B90" w:rsidP="00E42026">
      <w:r w:rsidRPr="006B17B9">
        <w:t xml:space="preserve">There was no </w:t>
      </w:r>
      <w:r w:rsidR="00AC00EE" w:rsidRPr="006B17B9">
        <w:t xml:space="preserve">agreed </w:t>
      </w:r>
      <w:r w:rsidRPr="006B17B9">
        <w:t>milestones to review progress</w:t>
      </w:r>
      <w:r w:rsidR="00C96B81">
        <w:t>,</w:t>
      </w:r>
      <w:r w:rsidRPr="006B17B9">
        <w:t xml:space="preserve"> or </w:t>
      </w:r>
      <w:r w:rsidR="00FC2367" w:rsidRPr="006B17B9">
        <w:t xml:space="preserve">consideration to the creation of </w:t>
      </w:r>
      <w:r w:rsidRPr="006B17B9">
        <w:t>pro</w:t>
      </w:r>
      <w:r w:rsidR="002A2CC4" w:rsidRPr="006B17B9">
        <w:t xml:space="preserve">types.  </w:t>
      </w:r>
      <w:r w:rsidR="007F250F" w:rsidRPr="006B17B9">
        <w:t xml:space="preserve">This led to a </w:t>
      </w:r>
      <w:r w:rsidR="00FD4D1B" w:rsidRPr="006B17B9">
        <w:t>situation where the project moved forward to production</w:t>
      </w:r>
      <w:r w:rsidR="002751E2">
        <w:t xml:space="preserve"> unchecked by EDC</w:t>
      </w:r>
      <w:r w:rsidR="0059526B">
        <w:t xml:space="preserve"> and </w:t>
      </w:r>
      <w:r w:rsidR="00027963" w:rsidRPr="006B17B9">
        <w:t xml:space="preserve">making changes </w:t>
      </w:r>
      <w:r w:rsidR="002751E2">
        <w:t xml:space="preserve">now is </w:t>
      </w:r>
      <w:r w:rsidR="00027963" w:rsidRPr="006B17B9">
        <w:t>challenging</w:t>
      </w:r>
      <w:r w:rsidR="00FC2367" w:rsidRPr="006B17B9">
        <w:t xml:space="preserve"> but not impossible</w:t>
      </w:r>
      <w:r w:rsidR="00027963" w:rsidRPr="006B17B9">
        <w:t xml:space="preserve">.  </w:t>
      </w:r>
    </w:p>
    <w:p w14:paraId="62B5C8E6" w14:textId="34D60E47" w:rsidR="007F250F" w:rsidRPr="006B17B9" w:rsidRDefault="000F6305" w:rsidP="00E42026">
      <w:r w:rsidRPr="006B17B9">
        <w:t xml:space="preserve">Synful Computing </w:t>
      </w:r>
      <w:r w:rsidR="00702012">
        <w:t xml:space="preserve">has now manufactured 2000 </w:t>
      </w:r>
      <w:r w:rsidR="007746B3">
        <w:t>PCs ahead of the launch next month</w:t>
      </w:r>
      <w:r w:rsidR="00B122F5" w:rsidRPr="006B17B9">
        <w:t xml:space="preserve">.  This </w:t>
      </w:r>
      <w:r w:rsidR="00C90FC7">
        <w:t xml:space="preserve">type of </w:t>
      </w:r>
      <w:r w:rsidR="00ED02B8" w:rsidRPr="006B17B9">
        <w:t xml:space="preserve">project delivery is associated with the </w:t>
      </w:r>
      <w:r w:rsidR="00027963" w:rsidRPr="006B17B9">
        <w:t xml:space="preserve">waterfall style </w:t>
      </w:r>
      <w:r w:rsidR="00C90FC7">
        <w:t xml:space="preserve">where each phase </w:t>
      </w:r>
      <w:r w:rsidR="00A6463F">
        <w:t>flows into the next</w:t>
      </w:r>
      <w:r w:rsidR="00623E2F" w:rsidRPr="006B17B9">
        <w:t>.</w:t>
      </w:r>
      <w:r w:rsidR="00E96541" w:rsidRPr="006B17B9">
        <w:t xml:space="preserve">  Waterfall methodologies can work well, but their success depends on tight </w:t>
      </w:r>
      <w:r w:rsidR="00427B4A" w:rsidRPr="006B17B9">
        <w:t>design objectives which have been clearly communicated</w:t>
      </w:r>
      <w:r w:rsidR="00AC6B82">
        <w:t xml:space="preserve"> </w:t>
      </w:r>
      <w:r w:rsidR="00637D23" w:rsidRPr="00C07EFF">
        <w:t>(</w:t>
      </w:r>
      <w:r w:rsidR="00E60355" w:rsidRPr="00C07EFF">
        <w:t>Jadeja</w:t>
      </w:r>
      <w:r w:rsidR="00E60355">
        <w:t>,</w:t>
      </w:r>
      <w:r w:rsidR="00E60355" w:rsidRPr="00C07EFF">
        <w:t xml:space="preserve"> </w:t>
      </w:r>
      <w:r w:rsidR="004F5367" w:rsidRPr="00C07EFF">
        <w:t>Misra</w:t>
      </w:r>
      <w:r w:rsidR="00DD2355" w:rsidRPr="00C07EFF">
        <w:t>, and Mittal, 2024</w:t>
      </w:r>
      <w:r w:rsidR="00637D23" w:rsidRPr="00C07EFF">
        <w:t>)</w:t>
      </w:r>
      <w:r w:rsidR="00C07EFF" w:rsidRPr="00C07EFF">
        <w:t>.</w:t>
      </w:r>
      <w:r w:rsidR="0076554B" w:rsidRPr="006B17B9">
        <w:t xml:space="preserve">  In this case, the failure to </w:t>
      </w:r>
      <w:r w:rsidR="0000588F" w:rsidRPr="006B17B9">
        <w:t>communicate an agreed plan, is in fact, a plan to fail.</w:t>
      </w:r>
    </w:p>
    <w:p w14:paraId="7598C706" w14:textId="1CB9F05B" w:rsidR="00715CA8" w:rsidRPr="006B17B9" w:rsidRDefault="00545D79" w:rsidP="00E42026">
      <w:r>
        <w:t xml:space="preserve">In light of </w:t>
      </w:r>
      <w:r w:rsidR="00A6463F">
        <w:t>a defined</w:t>
      </w:r>
      <w:r>
        <w:t xml:space="preserve">, </w:t>
      </w:r>
      <w:r w:rsidR="00A6463F">
        <w:t xml:space="preserve">agreed </w:t>
      </w:r>
      <w:r>
        <w:t>brief</w:t>
      </w:r>
      <w:r w:rsidR="00623E2F" w:rsidRPr="006B17B9">
        <w:t>,</w:t>
      </w:r>
      <w:r w:rsidR="002A2CC4" w:rsidRPr="006B17B9">
        <w:t xml:space="preserve"> EDC </w:t>
      </w:r>
      <w:r w:rsidR="00A02DFB" w:rsidRPr="006B17B9">
        <w:t xml:space="preserve">can only </w:t>
      </w:r>
      <w:r w:rsidR="005910CB">
        <w:t xml:space="preserve">reasonably </w:t>
      </w:r>
      <w:r w:rsidR="00A02DFB" w:rsidRPr="006B17B9">
        <w:t xml:space="preserve">expect </w:t>
      </w:r>
      <w:r w:rsidR="00715CA8" w:rsidRPr="006B17B9">
        <w:t>Synful Computing to</w:t>
      </w:r>
      <w:r w:rsidR="005910CB">
        <w:t xml:space="preserve"> have</w:t>
      </w:r>
      <w:r w:rsidR="00715CA8" w:rsidRPr="006B17B9">
        <w:t xml:space="preserve"> work</w:t>
      </w:r>
      <w:r w:rsidR="005910CB">
        <w:t>ed</w:t>
      </w:r>
      <w:r w:rsidR="00715CA8" w:rsidRPr="006B17B9">
        <w:t xml:space="preserve"> </w:t>
      </w:r>
      <w:r w:rsidR="0000588F" w:rsidRPr="006B17B9">
        <w:t xml:space="preserve">to </w:t>
      </w:r>
      <w:r w:rsidR="00715CA8" w:rsidRPr="006B17B9">
        <w:t>the only defined constraint – the budget.</w:t>
      </w:r>
    </w:p>
    <w:p w14:paraId="6352DB3E" w14:textId="7FABE1BE" w:rsidR="00DD4E35" w:rsidRPr="006B17B9" w:rsidRDefault="00715CA8" w:rsidP="00E42026">
      <w:r w:rsidRPr="006B17B9">
        <w:t xml:space="preserve">The budget set is simply not sufficient to cover all of the </w:t>
      </w:r>
      <w:r w:rsidR="006102E4">
        <w:t xml:space="preserve">recently shared </w:t>
      </w:r>
      <w:r w:rsidRPr="006B17B9">
        <w:t>desirable requirements</w:t>
      </w:r>
      <w:r w:rsidR="00737FB2" w:rsidRPr="006B17B9">
        <w:t>,</w:t>
      </w:r>
      <w:r w:rsidRPr="006B17B9">
        <w:t xml:space="preserve"> </w:t>
      </w:r>
      <w:r w:rsidR="00C07725" w:rsidRPr="006B17B9">
        <w:t>and there will need to be some compromise to allow both parties to establish a fair and reasonable margin.</w:t>
      </w:r>
    </w:p>
    <w:p w14:paraId="3F47EC34" w14:textId="0DB95206" w:rsidR="00E04D92" w:rsidRPr="006B17B9" w:rsidRDefault="00DD4E35" w:rsidP="00E42026">
      <w:r w:rsidRPr="006B17B9">
        <w:t xml:space="preserve">In summary, the barriers to </w:t>
      </w:r>
      <w:r w:rsidR="00E043E4" w:rsidRPr="006B17B9">
        <w:t>achieving the goals are</w:t>
      </w:r>
      <w:r w:rsidR="00101C62">
        <w:t xml:space="preserve"> as follows</w:t>
      </w:r>
      <w:r w:rsidR="00E043E4" w:rsidRPr="006B17B9">
        <w:t>:</w:t>
      </w:r>
    </w:p>
    <w:p w14:paraId="21E51D50" w14:textId="1225A85D" w:rsidR="00E043E4" w:rsidRPr="006B17B9" w:rsidRDefault="00E043E4" w:rsidP="00E043E4">
      <w:pPr>
        <w:pStyle w:val="ListParagraph"/>
        <w:numPr>
          <w:ilvl w:val="0"/>
          <w:numId w:val="3"/>
        </w:numPr>
      </w:pPr>
      <w:r w:rsidRPr="006B17B9">
        <w:t>Lack of clarity regarding the agreed specification</w:t>
      </w:r>
    </w:p>
    <w:p w14:paraId="4F57DAF0" w14:textId="29D1E266" w:rsidR="00E043E4" w:rsidRPr="006B17B9" w:rsidRDefault="00E043E4" w:rsidP="00E043E4">
      <w:pPr>
        <w:pStyle w:val="ListParagraph"/>
        <w:numPr>
          <w:ilvl w:val="0"/>
          <w:numId w:val="3"/>
        </w:numPr>
      </w:pPr>
      <w:r w:rsidRPr="006B17B9">
        <w:t xml:space="preserve">Insufficient </w:t>
      </w:r>
      <w:r w:rsidR="00E07881" w:rsidRPr="006B17B9">
        <w:t xml:space="preserve">budget to achieve the </w:t>
      </w:r>
      <w:r w:rsidR="008866BF" w:rsidRPr="006B17B9">
        <w:t xml:space="preserve">desired outcomes </w:t>
      </w:r>
      <w:r w:rsidR="00E07881" w:rsidRPr="006B17B9">
        <w:t>of the project</w:t>
      </w:r>
    </w:p>
    <w:p w14:paraId="0EDA3EA3" w14:textId="0F6F0307" w:rsidR="00E07881" w:rsidRDefault="00E07881" w:rsidP="00E043E4">
      <w:pPr>
        <w:pStyle w:val="ListParagraph"/>
        <w:numPr>
          <w:ilvl w:val="0"/>
          <w:numId w:val="3"/>
        </w:numPr>
      </w:pPr>
      <w:r w:rsidRPr="006B17B9">
        <w:t>Lack of milestones to review and adapt.  An Agile approach would have been much better.</w:t>
      </w:r>
    </w:p>
    <w:p w14:paraId="6FCB05F8" w14:textId="6BE8D24E" w:rsidR="00A03234" w:rsidRDefault="00A03234" w:rsidP="00A03234">
      <w:pPr>
        <w:pStyle w:val="Caption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1F83">
        <w:rPr>
          <w:noProof/>
        </w:rPr>
        <w:t>1</w:t>
      </w:r>
      <w:r>
        <w:fldChar w:fldCharType="end"/>
      </w:r>
      <w:r>
        <w:t xml:space="preserve"> - Barriers to Success</w:t>
      </w:r>
    </w:p>
    <w:p w14:paraId="57823F73" w14:textId="77777777" w:rsidR="00117F89" w:rsidRPr="006B17B9" w:rsidRDefault="006C6799" w:rsidP="00117F89">
      <w:r w:rsidRPr="006C6799">
        <w:drawing>
          <wp:inline distT="0" distB="0" distL="0" distR="0" wp14:anchorId="1CBA6292" wp14:editId="1FD2D21D">
            <wp:extent cx="3118513" cy="1869743"/>
            <wp:effectExtent l="0" t="0" r="0" b="16510"/>
            <wp:docPr id="1508044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15BD60B7-7BB2-2B5F-6A60-CA4FD64C5D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8142697" w14:textId="10F6D94F" w:rsidR="00DD14BD" w:rsidRPr="006B17B9" w:rsidRDefault="00DD14BD" w:rsidP="00DD14BD">
      <w:r w:rsidRPr="006B17B9">
        <w:t xml:space="preserve">There are solutions to reach a fair and equitable resolution </w:t>
      </w:r>
      <w:r w:rsidR="00B26748" w:rsidRPr="006B17B9">
        <w:t xml:space="preserve">and </w:t>
      </w:r>
      <w:r w:rsidR="00BA1BD1">
        <w:t>a</w:t>
      </w:r>
      <w:r w:rsidR="00B26748" w:rsidRPr="006B17B9">
        <w:t xml:space="preserve"> model solution will be presented which will </w:t>
      </w:r>
      <w:r w:rsidR="003A39FD" w:rsidRPr="006B17B9">
        <w:t xml:space="preserve">provide a framework from which to agree </w:t>
      </w:r>
      <w:r w:rsidR="00A82A87" w:rsidRPr="006B17B9">
        <w:t xml:space="preserve">a way forward.  Before </w:t>
      </w:r>
      <w:r w:rsidR="00101C62">
        <w:t>the</w:t>
      </w:r>
      <w:r w:rsidR="00A82A87" w:rsidRPr="006B17B9">
        <w:t xml:space="preserve"> solution </w:t>
      </w:r>
      <w:r w:rsidR="00101C62">
        <w:t xml:space="preserve">is </w:t>
      </w:r>
      <w:r w:rsidR="00A82A87" w:rsidRPr="006B17B9">
        <w:t xml:space="preserve">discussed, it is important to review the </w:t>
      </w:r>
      <w:r w:rsidR="006D0E01" w:rsidRPr="006B17B9">
        <w:t xml:space="preserve">costs incurred to date, alongside </w:t>
      </w:r>
      <w:r w:rsidR="00610B1B" w:rsidRPr="006B17B9">
        <w:t>the implications of revising the specification, both in terms of time and budget.</w:t>
      </w:r>
    </w:p>
    <w:p w14:paraId="21B10BAB" w14:textId="02D06644" w:rsidR="00143A63" w:rsidRPr="002177CF" w:rsidRDefault="00D27485" w:rsidP="00B40A43">
      <w:pPr>
        <w:pStyle w:val="Heading1"/>
        <w:rPr>
          <w:sz w:val="28"/>
          <w:szCs w:val="28"/>
        </w:rPr>
      </w:pPr>
      <w:r w:rsidRPr="002177CF">
        <w:rPr>
          <w:sz w:val="28"/>
          <w:szCs w:val="28"/>
        </w:rPr>
        <w:t>S</w:t>
      </w:r>
      <w:r w:rsidR="00F026B6" w:rsidRPr="002177CF">
        <w:rPr>
          <w:sz w:val="28"/>
          <w:szCs w:val="28"/>
        </w:rPr>
        <w:t xml:space="preserve">lide 2: </w:t>
      </w:r>
      <w:r w:rsidR="002C0488" w:rsidRPr="002177CF">
        <w:rPr>
          <w:sz w:val="28"/>
          <w:szCs w:val="28"/>
        </w:rPr>
        <w:t xml:space="preserve">Budget </w:t>
      </w:r>
      <w:r w:rsidR="002C0488" w:rsidRPr="002177CF">
        <w:rPr>
          <w:color w:val="D9D9D9" w:themeColor="background1" w:themeShade="D9"/>
          <w:sz w:val="28"/>
          <w:szCs w:val="28"/>
        </w:rPr>
        <w:t>|</w:t>
      </w:r>
      <w:r w:rsidR="002C0488" w:rsidRPr="002177CF">
        <w:rPr>
          <w:sz w:val="28"/>
          <w:szCs w:val="28"/>
        </w:rPr>
        <w:t xml:space="preserve"> </w:t>
      </w:r>
      <w:r w:rsidR="00143A63" w:rsidRPr="002177CF">
        <w:rPr>
          <w:color w:val="747474" w:themeColor="background2" w:themeShade="80"/>
          <w:sz w:val="28"/>
          <w:szCs w:val="28"/>
        </w:rPr>
        <w:t xml:space="preserve">Current </w:t>
      </w:r>
      <w:r w:rsidR="00F748AB" w:rsidRPr="002177CF">
        <w:rPr>
          <w:color w:val="747474" w:themeColor="background2" w:themeShade="80"/>
          <w:sz w:val="28"/>
          <w:szCs w:val="28"/>
        </w:rPr>
        <w:t>Position</w:t>
      </w:r>
    </w:p>
    <w:p w14:paraId="3FC1CF44" w14:textId="783C8FBA" w:rsidR="00BE099C" w:rsidRPr="006B17B9" w:rsidRDefault="00EE2211" w:rsidP="00BE099C">
      <w:r w:rsidRPr="006B17B9">
        <w:t xml:space="preserve">The facts of the matter are that Synful Computing have incurred substantial costs throughout the </w:t>
      </w:r>
      <w:r w:rsidR="001A5113" w:rsidRPr="006B17B9">
        <w:t>project.  It must be recognised that after 12 months with no review, both parties are responsible for any oversp</w:t>
      </w:r>
      <w:r w:rsidR="00AE79DB">
        <w:t>end</w:t>
      </w:r>
      <w:r w:rsidR="001A5113" w:rsidRPr="006B17B9">
        <w:t xml:space="preserve"> that now occurs as part of any </w:t>
      </w:r>
      <w:r w:rsidR="00B63719" w:rsidRPr="006B17B9">
        <w:t xml:space="preserve">remedy.  </w:t>
      </w:r>
      <w:r w:rsidR="006A36DC" w:rsidRPr="006B17B9">
        <w:t>It must also be recognised that after 12 months, the production is now complete and 2000 units have been manufactured</w:t>
      </w:r>
      <w:r w:rsidR="005D0A27" w:rsidRPr="006B17B9">
        <w:t>, in anticipation of next month’s launch.</w:t>
      </w:r>
    </w:p>
    <w:p w14:paraId="7A002EC4" w14:textId="10452EB8" w:rsidR="00B63719" w:rsidRPr="006B17B9" w:rsidRDefault="00B63719" w:rsidP="00BE099C">
      <w:r w:rsidRPr="006B17B9">
        <w:t xml:space="preserve">The costs to date can be </w:t>
      </w:r>
      <w:r w:rsidR="00CF0E01" w:rsidRPr="006B17B9">
        <w:t>broadly categorised as:</w:t>
      </w:r>
    </w:p>
    <w:p w14:paraId="05E04185" w14:textId="2E522DBA" w:rsidR="009D627D" w:rsidRPr="006B17B9" w:rsidRDefault="009D627D" w:rsidP="00CF0E01">
      <w:pPr>
        <w:pStyle w:val="ListParagraph"/>
        <w:numPr>
          <w:ilvl w:val="0"/>
          <w:numId w:val="4"/>
        </w:numPr>
      </w:pPr>
      <w:r w:rsidRPr="006B17B9">
        <w:t>Design Costs - £96,250</w:t>
      </w:r>
    </w:p>
    <w:p w14:paraId="77556D6F" w14:textId="2381743C" w:rsidR="009D627D" w:rsidRPr="006B17B9" w:rsidRDefault="00143A63" w:rsidP="00CF0E01">
      <w:pPr>
        <w:pStyle w:val="ListParagraph"/>
        <w:numPr>
          <w:ilvl w:val="0"/>
          <w:numId w:val="4"/>
        </w:numPr>
      </w:pPr>
      <w:r w:rsidRPr="006B17B9">
        <w:t>Production - £31,500</w:t>
      </w:r>
    </w:p>
    <w:p w14:paraId="2E1E5B35" w14:textId="2D25D103" w:rsidR="00143A63" w:rsidRPr="006B17B9" w:rsidRDefault="00143A63" w:rsidP="00CF0E01">
      <w:pPr>
        <w:pStyle w:val="ListParagraph"/>
        <w:numPr>
          <w:ilvl w:val="0"/>
          <w:numId w:val="4"/>
        </w:numPr>
      </w:pPr>
      <w:r w:rsidRPr="006B17B9">
        <w:t>Testing - £1,850</w:t>
      </w:r>
    </w:p>
    <w:p w14:paraId="30B0A628" w14:textId="3B35570C" w:rsidR="00143A63" w:rsidRPr="006B17B9" w:rsidRDefault="00143A63" w:rsidP="00CF0E01">
      <w:pPr>
        <w:pStyle w:val="ListParagraph"/>
        <w:numPr>
          <w:ilvl w:val="0"/>
          <w:numId w:val="4"/>
        </w:numPr>
      </w:pPr>
      <w:r w:rsidRPr="006B17B9">
        <w:t>Copy Licence - £500</w:t>
      </w:r>
    </w:p>
    <w:p w14:paraId="5F30CBD1" w14:textId="582AFC61" w:rsidR="00143A63" w:rsidRPr="006B17B9" w:rsidRDefault="00143A63" w:rsidP="00CF0E01">
      <w:pPr>
        <w:pStyle w:val="ListParagraph"/>
        <w:numPr>
          <w:ilvl w:val="0"/>
          <w:numId w:val="4"/>
        </w:numPr>
      </w:pPr>
      <w:r w:rsidRPr="006B17B9">
        <w:t>Harward Components - £208,000</w:t>
      </w:r>
    </w:p>
    <w:p w14:paraId="7D6130DE" w14:textId="4C7C0B8E" w:rsidR="00143A63" w:rsidRPr="006B17B9" w:rsidRDefault="00143A63" w:rsidP="00CF0E01">
      <w:pPr>
        <w:pStyle w:val="ListParagraph"/>
        <w:numPr>
          <w:ilvl w:val="0"/>
          <w:numId w:val="4"/>
        </w:numPr>
      </w:pPr>
      <w:r w:rsidRPr="006B17B9">
        <w:t>Software &amp; Media - £66,000</w:t>
      </w:r>
    </w:p>
    <w:p w14:paraId="613141A2" w14:textId="2EFA53B0" w:rsidR="00143A63" w:rsidRDefault="00143A63" w:rsidP="00CF0E01">
      <w:pPr>
        <w:pStyle w:val="ListParagraph"/>
        <w:numPr>
          <w:ilvl w:val="0"/>
          <w:numId w:val="4"/>
        </w:numPr>
      </w:pPr>
      <w:r w:rsidRPr="006B17B9">
        <w:t>Management Costs - £52,288</w:t>
      </w:r>
    </w:p>
    <w:p w14:paraId="0EEA8A2F" w14:textId="6B40F0C8" w:rsidR="006D793B" w:rsidRDefault="006D793B" w:rsidP="006D793B">
      <w:pPr>
        <w:pStyle w:val="Caption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1F83">
        <w:rPr>
          <w:noProof/>
        </w:rPr>
        <w:t>2</w:t>
      </w:r>
      <w:r>
        <w:fldChar w:fldCharType="end"/>
      </w:r>
      <w:r>
        <w:t xml:space="preserve"> - Budget: Synputer Mark I</w:t>
      </w:r>
    </w:p>
    <w:p w14:paraId="59AF1528" w14:textId="59235F17" w:rsidR="006D793B" w:rsidRPr="006B17B9" w:rsidRDefault="006D793B" w:rsidP="006D793B">
      <w:r w:rsidRPr="006D793B">
        <w:drawing>
          <wp:inline distT="0" distB="0" distL="0" distR="0" wp14:anchorId="3D03D843" wp14:editId="03C9E623">
            <wp:extent cx="3050275" cy="2639060"/>
            <wp:effectExtent l="0" t="0" r="0" b="8890"/>
            <wp:docPr id="1921511826" name="Picture 1" descr="A pie chart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11826" name="Picture 1" descr="A pie chart with numbers and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233" cy="265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37E1" w14:textId="6AC94515" w:rsidR="00143A63" w:rsidRPr="008E22ED" w:rsidRDefault="00CF0E01" w:rsidP="00143A63">
      <w:r w:rsidRPr="006B17B9">
        <w:t xml:space="preserve">This leaves </w:t>
      </w:r>
      <w:r w:rsidR="00637D23" w:rsidRPr="006B17B9">
        <w:t>a</w:t>
      </w:r>
      <w:r w:rsidR="00871151">
        <w:t xml:space="preserve"> small</w:t>
      </w:r>
      <w:r w:rsidR="00637D23" w:rsidRPr="006B17B9">
        <w:t xml:space="preserve"> </w:t>
      </w:r>
      <w:r w:rsidR="00143A63" w:rsidRPr="006B17B9">
        <w:rPr>
          <w:b/>
          <w:bCs/>
        </w:rPr>
        <w:t>Contingency - £43,611</w:t>
      </w:r>
      <w:r w:rsidR="00637D23" w:rsidRPr="006B17B9">
        <w:t>, less than 10% of the protect</w:t>
      </w:r>
      <w:r w:rsidR="001F009F">
        <w:rPr>
          <w:color w:val="EE0000"/>
        </w:rPr>
        <w:t xml:space="preserve"> </w:t>
      </w:r>
      <w:r w:rsidR="001F009F" w:rsidRPr="009E4ACE">
        <w:t>(</w:t>
      </w:r>
      <w:proofErr w:type="spellStart"/>
      <w:r w:rsidR="00871151" w:rsidRPr="009E4ACE">
        <w:t>Uzzafer</w:t>
      </w:r>
      <w:proofErr w:type="spellEnd"/>
      <w:r w:rsidR="00871151" w:rsidRPr="009E4ACE">
        <w:t>, 2023)</w:t>
      </w:r>
      <w:r w:rsidR="009E4ACE">
        <w:t xml:space="preserve">.  </w:t>
      </w:r>
      <w:r w:rsidR="00D41B87" w:rsidRPr="006B17B9">
        <w:t xml:space="preserve">It </w:t>
      </w:r>
      <w:r w:rsidR="002A11B2" w:rsidRPr="006B17B9">
        <w:t xml:space="preserve">would be good practice to consider apportioning the costs, </w:t>
      </w:r>
      <w:r w:rsidR="00291BCD">
        <w:t xml:space="preserve">delivering a </w:t>
      </w:r>
      <w:r w:rsidR="002A11B2" w:rsidRPr="006B17B9">
        <w:t>cost per unit</w:t>
      </w:r>
      <w:r w:rsidR="00291BCD">
        <w:t xml:space="preserve"> of £288.19</w:t>
      </w:r>
      <w:r w:rsidR="008E22ED">
        <w:t xml:space="preserve">.  </w:t>
      </w:r>
      <w:r w:rsidR="00291BCD">
        <w:t xml:space="preserve">This leaves a small contingency of </w:t>
      </w:r>
      <w:r w:rsidR="00081140">
        <w:t>just £21.81.</w:t>
      </w:r>
    </w:p>
    <w:p w14:paraId="05E901C5" w14:textId="7FD66BFB" w:rsidR="005E17D7" w:rsidRPr="006B17B9" w:rsidRDefault="0083748D" w:rsidP="00143A63">
      <w:r w:rsidRPr="006B17B9">
        <w:t>Any reasonable person would conclude that given the budget constraints</w:t>
      </w:r>
      <w:r w:rsidR="001B3E4C" w:rsidRPr="006B17B9">
        <w:t>, the</w:t>
      </w:r>
      <w:r w:rsidR="000C07AE" w:rsidRPr="006B17B9">
        <w:t xml:space="preserve">re has not been </w:t>
      </w:r>
      <w:r w:rsidR="00081140">
        <w:t>a lack of care or skill</w:t>
      </w:r>
      <w:r w:rsidR="005E4705" w:rsidRPr="006B17B9">
        <w:t>, but</w:t>
      </w:r>
      <w:r w:rsidR="00FE15E1" w:rsidRPr="006B17B9">
        <w:t xml:space="preserve"> the barrier to meet</w:t>
      </w:r>
      <w:r w:rsidR="005E4705" w:rsidRPr="006B17B9">
        <w:t xml:space="preserve">ing </w:t>
      </w:r>
      <w:r w:rsidR="00FE15E1" w:rsidRPr="006B17B9">
        <w:t xml:space="preserve"> all of the desired requirements </w:t>
      </w:r>
      <w:r w:rsidR="005E4705" w:rsidRPr="006B17B9">
        <w:t xml:space="preserve">is the </w:t>
      </w:r>
      <w:r w:rsidR="00A521D6" w:rsidRPr="006B17B9">
        <w:t xml:space="preserve">cost of components and software </w:t>
      </w:r>
      <w:r w:rsidR="00A54BAB" w:rsidRPr="006B17B9">
        <w:t>licences</w:t>
      </w:r>
      <w:r w:rsidR="00A521D6" w:rsidRPr="006B17B9">
        <w:t>.</w:t>
      </w:r>
    </w:p>
    <w:p w14:paraId="0CA90F5B" w14:textId="5F8EF7DD" w:rsidR="00A54BAB" w:rsidRPr="006B17B9" w:rsidRDefault="00A54BAB" w:rsidP="00143A63">
      <w:r w:rsidRPr="006B17B9">
        <w:t>There is also an unintended consequence of the limited budget</w:t>
      </w:r>
      <w:r w:rsidR="00864D42" w:rsidRPr="006B17B9">
        <w:t xml:space="preserve"> that presents a barrier to chang</w:t>
      </w:r>
      <w:r w:rsidR="00EA4C7A" w:rsidRPr="006B17B9">
        <w:t>ing the existing machines</w:t>
      </w:r>
      <w:r w:rsidR="00B53611" w:rsidRPr="006B17B9">
        <w:t xml:space="preserve">.  That is the choice of the soldered board.  </w:t>
      </w:r>
      <w:r w:rsidR="00385296" w:rsidRPr="006B17B9">
        <w:t>If the budget had been more realistic, a socketed board would have been used which is easier, and less costly, to adapt.</w:t>
      </w:r>
    </w:p>
    <w:p w14:paraId="3AA44B4C" w14:textId="54D1B156" w:rsidR="00573766" w:rsidRPr="006B17B9" w:rsidRDefault="00573766" w:rsidP="00143A63">
      <w:r w:rsidRPr="006B17B9">
        <w:t xml:space="preserve">The current state is that the </w:t>
      </w:r>
      <w:r w:rsidR="00344CB8" w:rsidRPr="006B17B9">
        <w:t>Synful Computing have incurred costs of £456k and 2000 machines have been produced.</w:t>
      </w:r>
      <w:r w:rsidR="00F20817">
        <w:t xml:space="preserve">  The solution will be centred </w:t>
      </w:r>
      <w:r w:rsidR="008A57A6">
        <w:t xml:space="preserve">on the new Synputer </w:t>
      </w:r>
      <w:r w:rsidR="00CA2C29">
        <w:t>Mark II</w:t>
      </w:r>
      <w:r w:rsidR="008A57A6">
        <w:t xml:space="preserve">. </w:t>
      </w:r>
    </w:p>
    <w:p w14:paraId="0B4D656F" w14:textId="04B1719B" w:rsidR="002177CF" w:rsidRPr="002177CF" w:rsidRDefault="002177CF" w:rsidP="002177CF">
      <w:pPr>
        <w:pStyle w:val="Heading1"/>
        <w:rPr>
          <w:sz w:val="28"/>
          <w:szCs w:val="28"/>
        </w:rPr>
      </w:pPr>
      <w:r w:rsidRPr="002177CF">
        <w:rPr>
          <w:sz w:val="28"/>
          <w:szCs w:val="28"/>
        </w:rPr>
        <w:t xml:space="preserve">Slide </w:t>
      </w:r>
      <w:r>
        <w:rPr>
          <w:sz w:val="28"/>
          <w:szCs w:val="28"/>
        </w:rPr>
        <w:t>3</w:t>
      </w:r>
      <w:r w:rsidRPr="002177CF">
        <w:rPr>
          <w:sz w:val="28"/>
          <w:szCs w:val="28"/>
        </w:rPr>
        <w:t xml:space="preserve">: </w:t>
      </w:r>
      <w:r w:rsidR="00855C13">
        <w:rPr>
          <w:sz w:val="28"/>
          <w:szCs w:val="28"/>
        </w:rPr>
        <w:t>EDC</w:t>
      </w:r>
      <w:r w:rsidRPr="002177CF">
        <w:rPr>
          <w:sz w:val="28"/>
          <w:szCs w:val="28"/>
        </w:rPr>
        <w:t xml:space="preserve"> </w:t>
      </w:r>
      <w:r w:rsidRPr="002177CF">
        <w:rPr>
          <w:color w:val="D9D9D9" w:themeColor="background1" w:themeShade="D9"/>
          <w:sz w:val="28"/>
          <w:szCs w:val="28"/>
        </w:rPr>
        <w:t>|</w:t>
      </w:r>
      <w:r w:rsidRPr="002177CF">
        <w:rPr>
          <w:sz w:val="28"/>
          <w:szCs w:val="28"/>
        </w:rPr>
        <w:t xml:space="preserve"> </w:t>
      </w:r>
      <w:r w:rsidR="00855C13" w:rsidRPr="00855C13">
        <w:rPr>
          <w:color w:val="747474" w:themeColor="background2" w:themeShade="80"/>
          <w:sz w:val="28"/>
          <w:szCs w:val="28"/>
        </w:rPr>
        <w:t>Updated Requirements (Nov 1983)</w:t>
      </w:r>
    </w:p>
    <w:p w14:paraId="2D4DC4FF" w14:textId="4C6A0832" w:rsidR="005776AE" w:rsidRPr="006B17B9" w:rsidRDefault="005776AE" w:rsidP="005776AE">
      <w:r w:rsidRPr="006B17B9">
        <w:t xml:space="preserve">EDC have raised an official complaint </w:t>
      </w:r>
      <w:r w:rsidR="00DB1A4A" w:rsidRPr="006B17B9">
        <w:t>and have threated to sue Synful Computing for £1million</w:t>
      </w:r>
      <w:r w:rsidR="00254225" w:rsidRPr="006B17B9">
        <w:t xml:space="preserve"> for breach of contract.  Clearly, EDC has not incurred </w:t>
      </w:r>
      <w:r w:rsidR="0031130D" w:rsidRPr="006B17B9">
        <w:t xml:space="preserve">a </w:t>
      </w:r>
      <w:r w:rsidR="00254225" w:rsidRPr="006B17B9">
        <w:t xml:space="preserve">£1million </w:t>
      </w:r>
      <w:r w:rsidR="0031130D" w:rsidRPr="006B17B9">
        <w:t xml:space="preserve">loss and a verbal conversation followed by a </w:t>
      </w:r>
      <w:r w:rsidR="00686173" w:rsidRPr="006B17B9">
        <w:t xml:space="preserve">raised purchase order is no substitute for a </w:t>
      </w:r>
      <w:r w:rsidR="00BF484F" w:rsidRPr="006B17B9">
        <w:t>written contract and design specification</w:t>
      </w:r>
      <w:r w:rsidR="00716420">
        <w:t>(</w:t>
      </w:r>
      <w:r w:rsidR="00CA2789">
        <w:t>Durham, 2021</w:t>
      </w:r>
      <w:r w:rsidR="00BF484F" w:rsidRPr="00592CE9">
        <w:t>)</w:t>
      </w:r>
      <w:r w:rsidR="00CA2789" w:rsidRPr="00592CE9">
        <w:t>.</w:t>
      </w:r>
      <w:r w:rsidR="00BF484F" w:rsidRPr="006B17B9">
        <w:rPr>
          <w:color w:val="EE0000"/>
        </w:rPr>
        <w:t xml:space="preserve"> </w:t>
      </w:r>
      <w:r w:rsidR="00986BCD" w:rsidRPr="006B17B9">
        <w:t>Legal action would be drawn out,</w:t>
      </w:r>
      <w:r w:rsidR="003A12A6" w:rsidRPr="006B17B9">
        <w:t xml:space="preserve"> hostile and</w:t>
      </w:r>
      <w:r w:rsidR="00DE11DB" w:rsidRPr="006B17B9">
        <w:t xml:space="preserve"> any outcome would be unclear, given the lack of a formal project brief.</w:t>
      </w:r>
      <w:r w:rsidR="003F143F">
        <w:rPr>
          <w:color w:val="EE0000"/>
        </w:rPr>
        <w:t xml:space="preserve">  </w:t>
      </w:r>
      <w:r w:rsidR="00986BCD" w:rsidRPr="006B17B9">
        <w:t>T</w:t>
      </w:r>
      <w:r w:rsidR="00BF484F" w:rsidRPr="006B17B9">
        <w:t xml:space="preserve">his meeting </w:t>
      </w:r>
      <w:r w:rsidR="0075398F" w:rsidRPr="006B17B9">
        <w:t>aims to be solution focused</w:t>
      </w:r>
      <w:r w:rsidR="00420B5A" w:rsidRPr="006B17B9">
        <w:t>.  Where p</w:t>
      </w:r>
      <w:r w:rsidR="00B74304" w:rsidRPr="006B17B9">
        <w:t>arties work together without blame this maximises success</w:t>
      </w:r>
      <w:r w:rsidR="00E74FA7">
        <w:t>(Durham, 2021</w:t>
      </w:r>
      <w:r w:rsidR="00DA4F38" w:rsidRPr="00DA4F38">
        <w:t>)</w:t>
      </w:r>
      <w:r w:rsidR="00DA4F38">
        <w:t xml:space="preserve">. </w:t>
      </w:r>
      <w:r w:rsidR="00B74304" w:rsidRPr="006B17B9">
        <w:t xml:space="preserve"> As such these potential solutions should be viewed as part of a without prejudice settlement</w:t>
      </w:r>
      <w:r w:rsidR="00C93F29">
        <w:t xml:space="preserve"> (Grimwood, 2022)</w:t>
      </w:r>
      <w:r w:rsidR="00B74304" w:rsidRPr="006B17B9">
        <w:t>.</w:t>
      </w:r>
    </w:p>
    <w:p w14:paraId="038E6E0D" w14:textId="5E336517" w:rsidR="00B74304" w:rsidRDefault="00B46AA2" w:rsidP="005776AE">
      <w:r w:rsidRPr="006B17B9">
        <w:lastRenderedPageBreak/>
        <w:t xml:space="preserve">EDC have provided </w:t>
      </w:r>
      <w:r w:rsidR="00120901" w:rsidRPr="006B17B9">
        <w:t xml:space="preserve">clarity regarding requirements and have, helpfully, </w:t>
      </w:r>
      <w:r w:rsidR="00F92A5A" w:rsidRPr="006B17B9">
        <w:t>placed them in order of priority.</w:t>
      </w:r>
      <w:r w:rsidR="00BA574D" w:rsidRPr="006B17B9">
        <w:t xml:space="preserve">  Clearly, this should have formed part of the agreed, </w:t>
      </w:r>
      <w:r w:rsidR="0039356F" w:rsidRPr="006B17B9">
        <w:t>documented project brief.</w:t>
      </w:r>
    </w:p>
    <w:p w14:paraId="16213BEF" w14:textId="77777777" w:rsidR="005E564E" w:rsidRPr="006B17B9" w:rsidRDefault="005E564E" w:rsidP="005776AE"/>
    <w:p w14:paraId="2322D6A2" w14:textId="14845E80" w:rsidR="005E564E" w:rsidRDefault="005E564E" w:rsidP="005E564E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1F83">
        <w:rPr>
          <w:noProof/>
        </w:rPr>
        <w:t>3</w:t>
      </w:r>
      <w:r>
        <w:fldChar w:fldCharType="end"/>
      </w:r>
      <w:r>
        <w:t xml:space="preserve"> – EDC Require</w:t>
      </w:r>
      <w:r w:rsidR="00EF2974">
        <w:t>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2"/>
        <w:gridCol w:w="261"/>
        <w:gridCol w:w="5193"/>
      </w:tblGrid>
      <w:tr w:rsidR="00143A63" w:rsidRPr="006B17B9" w14:paraId="2545065B" w14:textId="49CFD64D" w:rsidTr="0018258A">
        <w:tc>
          <w:tcPr>
            <w:tcW w:w="3562" w:type="dxa"/>
          </w:tcPr>
          <w:p w14:paraId="0C9AAF55" w14:textId="77777777" w:rsidR="00143A63" w:rsidRPr="006B17B9" w:rsidRDefault="00143A63" w:rsidP="00053F4F">
            <w:r w:rsidRPr="00143A63">
              <w:t>Industry standard operating system</w:t>
            </w:r>
          </w:p>
        </w:tc>
        <w:tc>
          <w:tcPr>
            <w:tcW w:w="261" w:type="dxa"/>
            <w:shd w:val="clear" w:color="auto" w:fill="FFC000"/>
          </w:tcPr>
          <w:p w14:paraId="40F1F263" w14:textId="77777777" w:rsidR="00143A63" w:rsidRPr="006B17B9" w:rsidRDefault="00143A63" w:rsidP="00053F4F"/>
        </w:tc>
        <w:tc>
          <w:tcPr>
            <w:tcW w:w="5193" w:type="dxa"/>
            <w:shd w:val="clear" w:color="auto" w:fill="auto"/>
          </w:tcPr>
          <w:p w14:paraId="455D1539" w14:textId="006E5B3E" w:rsidR="00143A63" w:rsidRPr="006B17B9" w:rsidRDefault="00B371E4" w:rsidP="00053F4F">
            <w:r w:rsidRPr="006B17B9">
              <w:t xml:space="preserve">The </w:t>
            </w:r>
            <w:r w:rsidR="00143A63" w:rsidRPr="006B17B9">
              <w:t xml:space="preserve">Syn OS </w:t>
            </w:r>
            <w:r w:rsidRPr="006B17B9">
              <w:t xml:space="preserve">may be considered by some as an </w:t>
            </w:r>
            <w:r w:rsidR="002E38D4" w:rsidRPr="006B17B9">
              <w:t xml:space="preserve">industry </w:t>
            </w:r>
            <w:r w:rsidR="00143A63" w:rsidRPr="006B17B9">
              <w:t>standard</w:t>
            </w:r>
            <w:r w:rsidR="002E38D4" w:rsidRPr="006B17B9">
              <w:t>.  Colin’s view is that Will did wish to consider alternatives, but the reason was workload for the Syn team.  Nonetheless, we</w:t>
            </w:r>
            <w:r w:rsidR="00745811" w:rsidRPr="006B17B9">
              <w:t>’ll RAG this as amber due to the lack of clarity.</w:t>
            </w:r>
          </w:p>
        </w:tc>
      </w:tr>
      <w:tr w:rsidR="00CC2EFD" w:rsidRPr="006B17B9" w14:paraId="0F63E9F4" w14:textId="1F040FF7" w:rsidTr="0018258A">
        <w:tc>
          <w:tcPr>
            <w:tcW w:w="3562" w:type="dxa"/>
          </w:tcPr>
          <w:p w14:paraId="6411868E" w14:textId="77777777" w:rsidR="00CC2EFD" w:rsidRPr="006B17B9" w:rsidRDefault="00CC2EFD" w:rsidP="00053F4F">
            <w:r w:rsidRPr="00143A63">
              <w:t>External keyboard/ connector</w:t>
            </w:r>
          </w:p>
        </w:tc>
        <w:tc>
          <w:tcPr>
            <w:tcW w:w="261" w:type="dxa"/>
            <w:shd w:val="clear" w:color="auto" w:fill="EE0000"/>
          </w:tcPr>
          <w:p w14:paraId="39F25B3C" w14:textId="77777777" w:rsidR="00CC2EFD" w:rsidRPr="006B17B9" w:rsidRDefault="00CC2EFD" w:rsidP="00053F4F"/>
        </w:tc>
        <w:tc>
          <w:tcPr>
            <w:tcW w:w="5193" w:type="dxa"/>
            <w:vMerge w:val="restart"/>
            <w:shd w:val="clear" w:color="auto" w:fill="auto"/>
          </w:tcPr>
          <w:p w14:paraId="2ABC8453" w14:textId="77777777" w:rsidR="00D077AC" w:rsidRPr="006B17B9" w:rsidRDefault="00527D2C" w:rsidP="00053F4F">
            <w:r w:rsidRPr="006B17B9">
              <w:t xml:space="preserve">These clarified requirements can all be met </w:t>
            </w:r>
            <w:r w:rsidR="00F22035" w:rsidRPr="006B17B9">
              <w:t xml:space="preserve">for future production.  However, there is an increase in cost of components.  </w:t>
            </w:r>
          </w:p>
          <w:p w14:paraId="6909A977" w14:textId="77777777" w:rsidR="00D077AC" w:rsidRPr="006B17B9" w:rsidRDefault="00D077AC" w:rsidP="00053F4F"/>
          <w:p w14:paraId="2D8FFBA7" w14:textId="77777777" w:rsidR="00CC2EFD" w:rsidRPr="006B17B9" w:rsidRDefault="00F22035" w:rsidP="00053F4F">
            <w:r w:rsidRPr="006B17B9">
              <w:t xml:space="preserve">Additionally, </w:t>
            </w:r>
            <w:r w:rsidR="00126EDE" w:rsidRPr="006B17B9">
              <w:t>the architecture of the machine would need to be redesigned and</w:t>
            </w:r>
            <w:r w:rsidR="007B59B2" w:rsidRPr="006B17B9">
              <w:t xml:space="preserve"> this would take some weeks to achieve</w:t>
            </w:r>
            <w:r w:rsidR="00EB2E33" w:rsidRPr="006B17B9">
              <w:t>, before production can begin.</w:t>
            </w:r>
          </w:p>
          <w:p w14:paraId="6D920A80" w14:textId="77777777" w:rsidR="00EB2E33" w:rsidRPr="006B17B9" w:rsidRDefault="00EB2E33" w:rsidP="00053F4F"/>
          <w:p w14:paraId="5DAFFD46" w14:textId="40914DB8" w:rsidR="00EB2E33" w:rsidRPr="006B17B9" w:rsidRDefault="00EB2E33" w:rsidP="00053F4F">
            <w:r w:rsidRPr="006B17B9">
              <w:t xml:space="preserve">As highlighted earlier, the cost of the </w:t>
            </w:r>
            <w:r w:rsidR="00981E74" w:rsidRPr="006B17B9">
              <w:t xml:space="preserve">Synputer </w:t>
            </w:r>
            <w:r w:rsidR="00CA2C29">
              <w:t>Mark II</w:t>
            </w:r>
            <w:r w:rsidR="00781CD3" w:rsidRPr="006B17B9">
              <w:t xml:space="preserve"> would necessarily increase</w:t>
            </w:r>
            <w:r w:rsidR="00296D09" w:rsidRPr="006B17B9">
              <w:t>.</w:t>
            </w:r>
            <w:r w:rsidR="00781CD3" w:rsidRPr="006B17B9">
              <w:t xml:space="preserve"> </w:t>
            </w:r>
            <w:r w:rsidR="00296D09" w:rsidRPr="006B17B9">
              <w:t xml:space="preserve">This </w:t>
            </w:r>
            <w:r w:rsidR="00781CD3" w:rsidRPr="006B17B9">
              <w:t xml:space="preserve">would, necessarily, raise the </w:t>
            </w:r>
            <w:r w:rsidR="00296D09" w:rsidRPr="006B17B9">
              <w:t>price at the point of sale.</w:t>
            </w:r>
          </w:p>
          <w:p w14:paraId="2A21C0DA" w14:textId="77777777" w:rsidR="00296D09" w:rsidRPr="006B17B9" w:rsidRDefault="00296D09" w:rsidP="00053F4F"/>
          <w:p w14:paraId="79E52B8D" w14:textId="15CEE410" w:rsidR="00296D09" w:rsidRPr="006B17B9" w:rsidRDefault="00296D09" w:rsidP="00053F4F">
            <w:r w:rsidRPr="006B17B9">
              <w:t xml:space="preserve">However, </w:t>
            </w:r>
            <w:r w:rsidR="00C1095D" w:rsidRPr="006B17B9">
              <w:t>Colin and Will discussed an evolution of design and it would be obvious that the 200</w:t>
            </w:r>
            <w:r w:rsidR="007327F2">
              <w:t>0</w:t>
            </w:r>
            <w:r w:rsidR="00C1095D" w:rsidRPr="006B17B9">
              <w:t xml:space="preserve"> machines represent Synputer </w:t>
            </w:r>
            <w:r w:rsidR="00CA2C29">
              <w:t>Mark I</w:t>
            </w:r>
            <w:r w:rsidR="00C1095D" w:rsidRPr="006B17B9">
              <w:t xml:space="preserve"> and the revised Sy</w:t>
            </w:r>
            <w:r w:rsidR="0061114F" w:rsidRPr="006B17B9">
              <w:t xml:space="preserve">nputer </w:t>
            </w:r>
            <w:r w:rsidR="00CA2C29">
              <w:t>Mark II</w:t>
            </w:r>
            <w:r w:rsidR="0061114F" w:rsidRPr="006B17B9">
              <w:t xml:space="preserve"> can be released in 12 </w:t>
            </w:r>
            <w:proofErr w:type="spellStart"/>
            <w:r w:rsidR="0061114F" w:rsidRPr="006B17B9">
              <w:t>months time</w:t>
            </w:r>
            <w:proofErr w:type="spellEnd"/>
            <w:r w:rsidR="0061114F" w:rsidRPr="006B17B9">
              <w:t>.</w:t>
            </w:r>
          </w:p>
        </w:tc>
      </w:tr>
      <w:tr w:rsidR="00CC2EFD" w:rsidRPr="006B17B9" w14:paraId="7C074FBF" w14:textId="67C4C299" w:rsidTr="0018258A">
        <w:tc>
          <w:tcPr>
            <w:tcW w:w="3562" w:type="dxa"/>
          </w:tcPr>
          <w:p w14:paraId="0712EC7E" w14:textId="77777777" w:rsidR="00CC2EFD" w:rsidRPr="006B17B9" w:rsidRDefault="00CC2EFD" w:rsidP="00053F4F">
            <w:r w:rsidRPr="00143A63">
              <w:t>At least 512KB of RAM</w:t>
            </w:r>
          </w:p>
        </w:tc>
        <w:tc>
          <w:tcPr>
            <w:tcW w:w="261" w:type="dxa"/>
            <w:shd w:val="clear" w:color="auto" w:fill="EE0000"/>
          </w:tcPr>
          <w:p w14:paraId="01AA8A90" w14:textId="77777777" w:rsidR="00CC2EFD" w:rsidRPr="006B17B9" w:rsidRDefault="00CC2EFD" w:rsidP="00053F4F"/>
        </w:tc>
        <w:tc>
          <w:tcPr>
            <w:tcW w:w="5193" w:type="dxa"/>
            <w:vMerge/>
            <w:shd w:val="clear" w:color="auto" w:fill="auto"/>
          </w:tcPr>
          <w:p w14:paraId="026A4386" w14:textId="77777777" w:rsidR="00CC2EFD" w:rsidRPr="006B17B9" w:rsidRDefault="00CC2EFD" w:rsidP="00053F4F"/>
        </w:tc>
      </w:tr>
      <w:tr w:rsidR="00CC2EFD" w:rsidRPr="006B17B9" w14:paraId="5FCF5275" w14:textId="41AD1A49" w:rsidTr="0018258A">
        <w:tc>
          <w:tcPr>
            <w:tcW w:w="3562" w:type="dxa"/>
          </w:tcPr>
          <w:p w14:paraId="3F8B5882" w14:textId="77777777" w:rsidR="00CC2EFD" w:rsidRPr="006B17B9" w:rsidRDefault="00CC2EFD" w:rsidP="00053F4F">
            <w:r w:rsidRPr="00143A63">
              <w:t>At least 1 industry standard drive with removable media</w:t>
            </w:r>
          </w:p>
        </w:tc>
        <w:tc>
          <w:tcPr>
            <w:tcW w:w="261" w:type="dxa"/>
            <w:shd w:val="clear" w:color="auto" w:fill="EE0000"/>
          </w:tcPr>
          <w:p w14:paraId="3A41B870" w14:textId="77777777" w:rsidR="00CC2EFD" w:rsidRPr="006B17B9" w:rsidRDefault="00CC2EFD" w:rsidP="00053F4F"/>
        </w:tc>
        <w:tc>
          <w:tcPr>
            <w:tcW w:w="5193" w:type="dxa"/>
            <w:vMerge/>
            <w:shd w:val="clear" w:color="auto" w:fill="auto"/>
          </w:tcPr>
          <w:p w14:paraId="28D63B9D" w14:textId="77777777" w:rsidR="00CC2EFD" w:rsidRPr="006B17B9" w:rsidRDefault="00CC2EFD" w:rsidP="00053F4F"/>
        </w:tc>
      </w:tr>
      <w:tr w:rsidR="00CC2EFD" w:rsidRPr="006B17B9" w14:paraId="73FA6459" w14:textId="3DB9BF64" w:rsidTr="0018258A">
        <w:tc>
          <w:tcPr>
            <w:tcW w:w="3562" w:type="dxa"/>
          </w:tcPr>
          <w:p w14:paraId="2F9B4D8A" w14:textId="77777777" w:rsidR="00CC2EFD" w:rsidRPr="006B17B9" w:rsidRDefault="00CC2EFD" w:rsidP="00053F4F">
            <w:r w:rsidRPr="00143A63">
              <w:t>SCSI expansion capability</w:t>
            </w:r>
          </w:p>
        </w:tc>
        <w:tc>
          <w:tcPr>
            <w:tcW w:w="261" w:type="dxa"/>
            <w:shd w:val="clear" w:color="auto" w:fill="FFC000"/>
          </w:tcPr>
          <w:p w14:paraId="62F7FE82" w14:textId="77777777" w:rsidR="00CC2EFD" w:rsidRPr="006B17B9" w:rsidRDefault="00CC2EFD" w:rsidP="00053F4F"/>
        </w:tc>
        <w:tc>
          <w:tcPr>
            <w:tcW w:w="5193" w:type="dxa"/>
            <w:vMerge/>
            <w:shd w:val="clear" w:color="auto" w:fill="auto"/>
          </w:tcPr>
          <w:p w14:paraId="19F03280" w14:textId="77777777" w:rsidR="00CC2EFD" w:rsidRPr="006B17B9" w:rsidRDefault="00CC2EFD" w:rsidP="00053F4F"/>
        </w:tc>
      </w:tr>
      <w:tr w:rsidR="00CC2EFD" w:rsidRPr="006B17B9" w14:paraId="6070A325" w14:textId="2ECE23CE" w:rsidTr="0018258A">
        <w:tc>
          <w:tcPr>
            <w:tcW w:w="3562" w:type="dxa"/>
          </w:tcPr>
          <w:p w14:paraId="67E89387" w14:textId="77777777" w:rsidR="00CC2EFD" w:rsidRPr="006B17B9" w:rsidRDefault="00CC2EFD" w:rsidP="00053F4F">
            <w:r w:rsidRPr="00143A63">
              <w:t>At least a 68000 CPU – preferably upgradable</w:t>
            </w:r>
          </w:p>
        </w:tc>
        <w:tc>
          <w:tcPr>
            <w:tcW w:w="261" w:type="dxa"/>
            <w:shd w:val="clear" w:color="auto" w:fill="8DD873" w:themeFill="accent6" w:themeFillTint="99"/>
          </w:tcPr>
          <w:p w14:paraId="0FD3CAE9" w14:textId="77777777" w:rsidR="00CC2EFD" w:rsidRPr="006B17B9" w:rsidRDefault="00CC2EFD" w:rsidP="00053F4F"/>
        </w:tc>
        <w:tc>
          <w:tcPr>
            <w:tcW w:w="5193" w:type="dxa"/>
            <w:vMerge/>
            <w:shd w:val="clear" w:color="auto" w:fill="auto"/>
          </w:tcPr>
          <w:p w14:paraId="35405E5E" w14:textId="77777777" w:rsidR="00CC2EFD" w:rsidRPr="006B17B9" w:rsidRDefault="00CC2EFD" w:rsidP="00053F4F"/>
        </w:tc>
      </w:tr>
      <w:tr w:rsidR="00CC2EFD" w:rsidRPr="006B17B9" w14:paraId="295A6A07" w14:textId="01710F66" w:rsidTr="0018258A">
        <w:tc>
          <w:tcPr>
            <w:tcW w:w="3562" w:type="dxa"/>
          </w:tcPr>
          <w:p w14:paraId="5C2F9B01" w14:textId="77777777" w:rsidR="00CC2EFD" w:rsidRPr="006B17B9" w:rsidRDefault="00CC2EFD" w:rsidP="00053F4F">
            <w:r w:rsidRPr="00143A63">
              <w:t>Minimum of 2 serial ports that support RS 422/ 485 standard (network capable)</w:t>
            </w:r>
          </w:p>
        </w:tc>
        <w:tc>
          <w:tcPr>
            <w:tcW w:w="261" w:type="dxa"/>
            <w:shd w:val="clear" w:color="auto" w:fill="FFC000"/>
          </w:tcPr>
          <w:p w14:paraId="0E683DFA" w14:textId="77777777" w:rsidR="00CC2EFD" w:rsidRPr="006B17B9" w:rsidRDefault="00CC2EFD" w:rsidP="00053F4F"/>
        </w:tc>
        <w:tc>
          <w:tcPr>
            <w:tcW w:w="5193" w:type="dxa"/>
            <w:vMerge/>
            <w:shd w:val="clear" w:color="auto" w:fill="auto"/>
          </w:tcPr>
          <w:p w14:paraId="696867F6" w14:textId="77777777" w:rsidR="00CC2EFD" w:rsidRPr="006B17B9" w:rsidRDefault="00CC2EFD" w:rsidP="00053F4F"/>
        </w:tc>
      </w:tr>
      <w:tr w:rsidR="00CC2EFD" w:rsidRPr="006B17B9" w14:paraId="4C7A358F" w14:textId="65693324" w:rsidTr="0018258A">
        <w:tc>
          <w:tcPr>
            <w:tcW w:w="3562" w:type="dxa"/>
          </w:tcPr>
          <w:p w14:paraId="0CA26144" w14:textId="77777777" w:rsidR="00CC2EFD" w:rsidRPr="006B17B9" w:rsidRDefault="00CC2EFD" w:rsidP="00053F4F">
            <w:r w:rsidRPr="00143A63">
              <w:t>A board that is ready to support a GUI system and mouse if required by the user</w:t>
            </w:r>
          </w:p>
        </w:tc>
        <w:tc>
          <w:tcPr>
            <w:tcW w:w="261" w:type="dxa"/>
            <w:shd w:val="clear" w:color="auto" w:fill="FFC000"/>
          </w:tcPr>
          <w:p w14:paraId="37E6EB57" w14:textId="77777777" w:rsidR="00CC2EFD" w:rsidRPr="006B17B9" w:rsidRDefault="00CC2EFD" w:rsidP="00053F4F"/>
        </w:tc>
        <w:tc>
          <w:tcPr>
            <w:tcW w:w="5193" w:type="dxa"/>
            <w:vMerge/>
            <w:shd w:val="clear" w:color="auto" w:fill="auto"/>
          </w:tcPr>
          <w:p w14:paraId="0FDBCB2A" w14:textId="77777777" w:rsidR="00CC2EFD" w:rsidRPr="006B17B9" w:rsidRDefault="00CC2EFD" w:rsidP="00053F4F"/>
        </w:tc>
      </w:tr>
    </w:tbl>
    <w:p w14:paraId="376DFF6E" w14:textId="794C5F67" w:rsidR="00BD4FAC" w:rsidRPr="002177CF" w:rsidRDefault="00BD4FAC" w:rsidP="00BD4FAC">
      <w:pPr>
        <w:pStyle w:val="Heading1"/>
        <w:rPr>
          <w:sz w:val="28"/>
          <w:szCs w:val="28"/>
        </w:rPr>
      </w:pPr>
      <w:r w:rsidRPr="002177CF">
        <w:rPr>
          <w:sz w:val="28"/>
          <w:szCs w:val="28"/>
        </w:rPr>
        <w:t xml:space="preserve">Slide </w:t>
      </w:r>
      <w:r>
        <w:rPr>
          <w:sz w:val="28"/>
          <w:szCs w:val="28"/>
        </w:rPr>
        <w:t>4</w:t>
      </w:r>
      <w:r w:rsidRPr="002177C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Updated Requirements </w:t>
      </w:r>
      <w:r w:rsidRPr="002177CF">
        <w:rPr>
          <w:color w:val="D9D9D9" w:themeColor="background1" w:themeShade="D9"/>
          <w:sz w:val="28"/>
          <w:szCs w:val="28"/>
        </w:rPr>
        <w:t>|</w:t>
      </w:r>
      <w:r w:rsidRPr="002177CF">
        <w:rPr>
          <w:sz w:val="28"/>
          <w:szCs w:val="28"/>
        </w:rPr>
        <w:t xml:space="preserve"> </w:t>
      </w:r>
      <w:r>
        <w:rPr>
          <w:color w:val="747474" w:themeColor="background2" w:themeShade="80"/>
          <w:sz w:val="28"/>
          <w:szCs w:val="28"/>
        </w:rPr>
        <w:t>Solutions (1)</w:t>
      </w:r>
    </w:p>
    <w:p w14:paraId="6E75BF3F" w14:textId="038910A7" w:rsidR="00C04CBC" w:rsidRPr="00C04CBC" w:rsidRDefault="005071D2" w:rsidP="00C04CBC">
      <w:r w:rsidRPr="006B17B9">
        <w:t xml:space="preserve">The next section will consider potential solutions </w:t>
      </w:r>
      <w:r w:rsidR="00FD4C1A" w:rsidRPr="006B17B9">
        <w:t>and their implications.  These will be examined in order of priority to EDC.</w:t>
      </w:r>
    </w:p>
    <w:p w14:paraId="3636D60A" w14:textId="336C2B3C" w:rsidR="00C04CBC" w:rsidRPr="00BD4FAC" w:rsidRDefault="00C04CBC" w:rsidP="00B40A43">
      <w:pPr>
        <w:pStyle w:val="Heading2"/>
        <w:rPr>
          <w:sz w:val="24"/>
          <w:szCs w:val="24"/>
        </w:rPr>
      </w:pPr>
      <w:r w:rsidRPr="00BD4FAC">
        <w:rPr>
          <w:sz w:val="24"/>
          <w:szCs w:val="24"/>
        </w:rPr>
        <w:t>Industry standard operating system</w:t>
      </w:r>
      <w:r w:rsidR="00A1257D" w:rsidRPr="00BD4FAC">
        <w:rPr>
          <w:b/>
          <w:bCs/>
          <w:sz w:val="24"/>
          <w:szCs w:val="24"/>
        </w:rPr>
        <w:t xml:space="preserve"> - £10,</w:t>
      </w:r>
      <w:r w:rsidR="00566806" w:rsidRPr="00BD4FAC">
        <w:rPr>
          <w:b/>
          <w:bCs/>
          <w:sz w:val="24"/>
          <w:szCs w:val="24"/>
        </w:rPr>
        <w:t>5</w:t>
      </w:r>
      <w:r w:rsidR="00A1257D" w:rsidRPr="00BD4FAC">
        <w:rPr>
          <w:b/>
          <w:bCs/>
          <w:sz w:val="24"/>
          <w:szCs w:val="24"/>
        </w:rPr>
        <w:t>00</w:t>
      </w:r>
    </w:p>
    <w:p w14:paraId="1DB72EC0" w14:textId="1EBCE56E" w:rsidR="00C04CBC" w:rsidRPr="006B17B9" w:rsidRDefault="00566806" w:rsidP="00C04CBC">
      <w:r w:rsidRPr="006B17B9">
        <w:t xml:space="preserve">A </w:t>
      </w:r>
      <w:r w:rsidR="00C04CBC" w:rsidRPr="006B17B9">
        <w:t>Unix licence costs $10,000</w:t>
      </w:r>
      <w:r w:rsidR="009E4F3F" w:rsidRPr="006B17B9">
        <w:t xml:space="preserve">  </w:t>
      </w:r>
      <w:r w:rsidRPr="006B17B9">
        <w:t>with a</w:t>
      </w:r>
      <w:r w:rsidR="00A97DC9" w:rsidRPr="006B17B9">
        <w:t xml:space="preserve"> $500 cost for a BSD copy licence.  </w:t>
      </w:r>
      <w:r w:rsidR="008B04A4" w:rsidRPr="006B17B9">
        <w:t>Assuming a</w:t>
      </w:r>
      <w:r w:rsidR="009E4F3F" w:rsidRPr="006B17B9">
        <w:t xml:space="preserve"> </w:t>
      </w:r>
      <w:r w:rsidR="008B04A4" w:rsidRPr="006B17B9">
        <w:t>foreign exchange rate of</w:t>
      </w:r>
      <w:r w:rsidR="009E4F3F" w:rsidRPr="006B17B9">
        <w:t xml:space="preserve"> £1:$1</w:t>
      </w:r>
      <w:r w:rsidR="008B04A4" w:rsidRPr="006B17B9">
        <w:t>, the updated budget would rise by £10,500.</w:t>
      </w:r>
      <w:r w:rsidR="003B2292" w:rsidRPr="006B17B9">
        <w:t xml:space="preserve">  This </w:t>
      </w:r>
      <w:r w:rsidR="00E30C8C" w:rsidRPr="006B17B9">
        <w:t xml:space="preserve">could be supplied to the existing machines, allowing EDC to </w:t>
      </w:r>
      <w:r w:rsidR="007E527F" w:rsidRPr="006B17B9">
        <w:t>realise their most important priority.</w:t>
      </w:r>
    </w:p>
    <w:p w14:paraId="70BE04BD" w14:textId="4D684949" w:rsidR="00C04CBC" w:rsidRPr="00BD4FAC" w:rsidRDefault="00C04CBC" w:rsidP="00B40A43">
      <w:pPr>
        <w:pStyle w:val="Heading2"/>
        <w:rPr>
          <w:sz w:val="24"/>
          <w:szCs w:val="24"/>
        </w:rPr>
      </w:pPr>
      <w:r w:rsidRPr="00BD4FAC">
        <w:rPr>
          <w:sz w:val="24"/>
          <w:szCs w:val="24"/>
        </w:rPr>
        <w:lastRenderedPageBreak/>
        <w:t>External keyboard/ connector</w:t>
      </w:r>
      <w:r w:rsidR="00A1257D" w:rsidRPr="00BD4FAC">
        <w:rPr>
          <w:sz w:val="24"/>
          <w:szCs w:val="24"/>
        </w:rPr>
        <w:t xml:space="preserve"> - </w:t>
      </w:r>
      <w:r w:rsidR="00A1257D" w:rsidRPr="00BD4FAC">
        <w:rPr>
          <w:b/>
          <w:bCs/>
          <w:sz w:val="24"/>
          <w:szCs w:val="24"/>
        </w:rPr>
        <w:t>£</w:t>
      </w:r>
      <w:r w:rsidR="0018258A" w:rsidRPr="00BD4FAC">
        <w:rPr>
          <w:b/>
          <w:bCs/>
          <w:sz w:val="24"/>
          <w:szCs w:val="24"/>
        </w:rPr>
        <w:t>33</w:t>
      </w:r>
      <w:r w:rsidR="00A1257D" w:rsidRPr="00BD4FAC">
        <w:rPr>
          <w:b/>
          <w:bCs/>
          <w:sz w:val="24"/>
          <w:szCs w:val="24"/>
        </w:rPr>
        <w:t>,</w:t>
      </w:r>
      <w:r w:rsidR="0018258A" w:rsidRPr="00BD4FAC">
        <w:rPr>
          <w:b/>
          <w:bCs/>
          <w:sz w:val="24"/>
          <w:szCs w:val="24"/>
        </w:rPr>
        <w:t>7</w:t>
      </w:r>
      <w:r w:rsidR="00A1257D" w:rsidRPr="00BD4FAC">
        <w:rPr>
          <w:b/>
          <w:bCs/>
          <w:sz w:val="24"/>
          <w:szCs w:val="24"/>
        </w:rPr>
        <w:t>50</w:t>
      </w:r>
    </w:p>
    <w:p w14:paraId="11005DBD" w14:textId="388B8E0D" w:rsidR="00A441D0" w:rsidRPr="006B17B9" w:rsidRDefault="00B17596" w:rsidP="00A441D0">
      <w:r w:rsidRPr="006B17B9">
        <w:t xml:space="preserve">It </w:t>
      </w:r>
      <w:r w:rsidR="004A4AA9" w:rsidRPr="006B17B9">
        <w:t xml:space="preserve">is not practical to </w:t>
      </w:r>
      <w:r w:rsidR="00996E4B" w:rsidRPr="006B17B9">
        <w:t>change t</w:t>
      </w:r>
      <w:r w:rsidR="003D255F" w:rsidRPr="006B17B9">
        <w:t xml:space="preserve">he </w:t>
      </w:r>
      <w:r w:rsidR="00272C1E" w:rsidRPr="006B17B9">
        <w:t>form</w:t>
      </w:r>
      <w:r w:rsidR="003D255F" w:rsidRPr="006B17B9">
        <w:t>-factor</w:t>
      </w:r>
      <w:r w:rsidR="00272C1E" w:rsidRPr="006B17B9">
        <w:t xml:space="preserve"> of the case in time for the December launch</w:t>
      </w:r>
      <w:r w:rsidR="0000696C" w:rsidRPr="006B17B9">
        <w:t xml:space="preserve"> </w:t>
      </w:r>
      <w:r w:rsidR="00A21F36" w:rsidRPr="006B17B9">
        <w:t>as this requires a 5 week redesign process before resuming production</w:t>
      </w:r>
      <w:r w:rsidR="00272C1E" w:rsidRPr="006B17B9">
        <w:t xml:space="preserve">.  However, </w:t>
      </w:r>
      <w:r w:rsidR="00A21F36" w:rsidRPr="006B17B9">
        <w:t xml:space="preserve">it is possible to </w:t>
      </w:r>
      <w:r w:rsidR="00E60369" w:rsidRPr="006B17B9">
        <w:t xml:space="preserve">include this as part of the </w:t>
      </w:r>
      <w:r w:rsidR="0095191C">
        <w:t>Syn</w:t>
      </w:r>
      <w:r w:rsidR="00E60369" w:rsidRPr="006B17B9">
        <w:t>puter Mark</w:t>
      </w:r>
      <w:r w:rsidR="00D3234C" w:rsidRPr="006B17B9">
        <w:t xml:space="preserve"> </w:t>
      </w:r>
      <w:r w:rsidR="00E60369" w:rsidRPr="006B17B9">
        <w:t>2.</w:t>
      </w:r>
      <w:r w:rsidR="00483210" w:rsidRPr="006B17B9">
        <w:t xml:space="preserve">  </w:t>
      </w:r>
      <w:r w:rsidR="00197492" w:rsidRPr="006B17B9">
        <w:t xml:space="preserve">For ease of comparison, the </w:t>
      </w:r>
      <w:r w:rsidR="009D00D4" w:rsidRPr="006B17B9">
        <w:t xml:space="preserve">increased cost would be £33,750 for 2000 units or </w:t>
      </w:r>
      <w:r w:rsidR="00E265AB" w:rsidRPr="006B17B9">
        <w:t>£16.88 per unit.</w:t>
      </w:r>
      <w:r w:rsidR="00B51044" w:rsidRPr="006B17B9">
        <w:t xml:space="preserve">  The </w:t>
      </w:r>
      <w:proofErr w:type="spellStart"/>
      <w:r w:rsidR="0095191C">
        <w:t>Syn</w:t>
      </w:r>
      <w:r w:rsidR="00B51044" w:rsidRPr="006B17B9">
        <w:t>puer</w:t>
      </w:r>
      <w:proofErr w:type="spellEnd"/>
      <w:r w:rsidR="00B51044" w:rsidRPr="006B17B9">
        <w:t xml:space="preserve"> Mark</w:t>
      </w:r>
      <w:r w:rsidR="00D3234C" w:rsidRPr="006B17B9">
        <w:t xml:space="preserve"> 1 </w:t>
      </w:r>
      <w:r w:rsidR="00DA4F38" w:rsidRPr="006B17B9">
        <w:t>cannot</w:t>
      </w:r>
      <w:r w:rsidR="00D3234C" w:rsidRPr="006B17B9">
        <w:t xml:space="preserve"> be economically adapted as a new board with a new G1 Chip would be needed.</w:t>
      </w:r>
    </w:p>
    <w:p w14:paraId="6641B493" w14:textId="66808A65" w:rsidR="00BD4FAC" w:rsidRPr="002177CF" w:rsidRDefault="00BD4FAC" w:rsidP="00BD4FAC">
      <w:pPr>
        <w:pStyle w:val="Heading1"/>
        <w:rPr>
          <w:sz w:val="28"/>
          <w:szCs w:val="28"/>
        </w:rPr>
      </w:pPr>
      <w:r w:rsidRPr="002177CF">
        <w:rPr>
          <w:sz w:val="28"/>
          <w:szCs w:val="28"/>
        </w:rPr>
        <w:t xml:space="preserve">Slide </w:t>
      </w:r>
      <w:r w:rsidR="00446C5A">
        <w:rPr>
          <w:sz w:val="28"/>
          <w:szCs w:val="28"/>
        </w:rPr>
        <w:t>5</w:t>
      </w:r>
      <w:r w:rsidRPr="002177C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Updated Requirements </w:t>
      </w:r>
      <w:r w:rsidRPr="002177CF">
        <w:rPr>
          <w:color w:val="D9D9D9" w:themeColor="background1" w:themeShade="D9"/>
          <w:sz w:val="28"/>
          <w:szCs w:val="28"/>
        </w:rPr>
        <w:t>|</w:t>
      </w:r>
      <w:r w:rsidRPr="002177CF">
        <w:rPr>
          <w:sz w:val="28"/>
          <w:szCs w:val="28"/>
        </w:rPr>
        <w:t xml:space="preserve"> </w:t>
      </w:r>
      <w:r>
        <w:rPr>
          <w:color w:val="747474" w:themeColor="background2" w:themeShade="80"/>
          <w:sz w:val="28"/>
          <w:szCs w:val="28"/>
        </w:rPr>
        <w:t>Solutions (</w:t>
      </w:r>
      <w:r w:rsidR="00446C5A">
        <w:rPr>
          <w:color w:val="747474" w:themeColor="background2" w:themeShade="80"/>
          <w:sz w:val="28"/>
          <w:szCs w:val="28"/>
        </w:rPr>
        <w:t>2</w:t>
      </w:r>
      <w:r>
        <w:rPr>
          <w:color w:val="747474" w:themeColor="background2" w:themeShade="80"/>
          <w:sz w:val="28"/>
          <w:szCs w:val="28"/>
        </w:rPr>
        <w:t>)</w:t>
      </w:r>
    </w:p>
    <w:p w14:paraId="27ABF1E9" w14:textId="499C2489" w:rsidR="00B40A43" w:rsidRPr="00446C5A" w:rsidRDefault="00C04CBC" w:rsidP="00B40A43">
      <w:pPr>
        <w:pStyle w:val="Heading2"/>
        <w:rPr>
          <w:sz w:val="24"/>
          <w:szCs w:val="24"/>
        </w:rPr>
      </w:pPr>
      <w:r w:rsidRPr="00446C5A">
        <w:rPr>
          <w:sz w:val="24"/>
          <w:szCs w:val="24"/>
        </w:rPr>
        <w:t>At least 512KB of RAM</w:t>
      </w:r>
      <w:r w:rsidR="00AA0080" w:rsidRPr="00446C5A">
        <w:rPr>
          <w:sz w:val="24"/>
          <w:szCs w:val="24"/>
        </w:rPr>
        <w:t xml:space="preserve">- </w:t>
      </w:r>
      <w:r w:rsidR="00AA0080" w:rsidRPr="00446C5A">
        <w:rPr>
          <w:b/>
          <w:bCs/>
          <w:sz w:val="24"/>
          <w:szCs w:val="24"/>
        </w:rPr>
        <w:t>£</w:t>
      </w:r>
      <w:r w:rsidR="00F0747B" w:rsidRPr="00446C5A">
        <w:rPr>
          <w:b/>
          <w:bCs/>
          <w:sz w:val="24"/>
          <w:szCs w:val="24"/>
        </w:rPr>
        <w:t>10</w:t>
      </w:r>
      <w:r w:rsidR="00AA0080" w:rsidRPr="00446C5A">
        <w:rPr>
          <w:b/>
          <w:bCs/>
          <w:sz w:val="24"/>
          <w:szCs w:val="24"/>
        </w:rPr>
        <w:t>,</w:t>
      </w:r>
      <w:r w:rsidR="00F0747B" w:rsidRPr="00446C5A">
        <w:rPr>
          <w:b/>
          <w:bCs/>
          <w:sz w:val="24"/>
          <w:szCs w:val="24"/>
        </w:rPr>
        <w:t>5</w:t>
      </w:r>
      <w:r w:rsidR="00AA0080" w:rsidRPr="00446C5A">
        <w:rPr>
          <w:b/>
          <w:bCs/>
          <w:sz w:val="24"/>
          <w:szCs w:val="24"/>
        </w:rPr>
        <w:t>00</w:t>
      </w:r>
    </w:p>
    <w:p w14:paraId="322158ED" w14:textId="2B2DF218" w:rsidR="008A1C0F" w:rsidRPr="006B17B9" w:rsidRDefault="00A44603" w:rsidP="00B40A43">
      <w:r w:rsidRPr="006B17B9">
        <w:t>The machine delivers all core functionality with the 128KB</w:t>
      </w:r>
      <w:r w:rsidR="002D5C2C" w:rsidRPr="006B17B9">
        <w:t xml:space="preserve"> of RAM included.  Of course, the </w:t>
      </w:r>
      <w:r w:rsidR="00CA2C29">
        <w:t>Mark II</w:t>
      </w:r>
      <w:r w:rsidR="002D5C2C" w:rsidRPr="006B17B9">
        <w:t xml:space="preserve"> </w:t>
      </w:r>
      <w:r w:rsidR="00D25AEA" w:rsidRPr="006B17B9">
        <w:t>should include 512KB or RAM at the next launch.</w:t>
      </w:r>
      <w:r w:rsidR="003536E4" w:rsidRPr="006B17B9">
        <w:t xml:space="preserve">  This will add £4 per unit or £8000 for a 2000 unit batch.</w:t>
      </w:r>
      <w:r w:rsidR="00681E29" w:rsidRPr="006B17B9">
        <w:t xml:space="preserve">  </w:t>
      </w:r>
      <w:r w:rsidR="005134BB">
        <w:t xml:space="preserve">The G2 chip will also need redesigning.  </w:t>
      </w:r>
      <w:r w:rsidR="00681E29" w:rsidRPr="006B17B9">
        <w:t xml:space="preserve">As mentioned earlier, </w:t>
      </w:r>
      <w:r w:rsidR="00545487" w:rsidRPr="006B17B9">
        <w:t xml:space="preserve">had the budget been more generous, Syn Computing would have included a socketed board for easy upgrades.  However, there is a neat solution which </w:t>
      </w:r>
      <w:r w:rsidR="008464FE" w:rsidRPr="006B17B9">
        <w:t xml:space="preserve">aligns with the initial discussion between Will and Colin.  They agreed that an expandable machine </w:t>
      </w:r>
      <w:r w:rsidR="00777555" w:rsidRPr="006B17B9">
        <w:t>is ideal and Will commended Colin’s ‘excellent’ approach to this area.</w:t>
      </w:r>
      <w:r w:rsidR="00314C98" w:rsidRPr="006B17B9">
        <w:t xml:space="preserve">  </w:t>
      </w:r>
    </w:p>
    <w:p w14:paraId="6B3295EF" w14:textId="3F43A876" w:rsidR="00760E61" w:rsidRPr="006B17B9" w:rsidRDefault="008A1C0F" w:rsidP="00B40A43">
      <w:r w:rsidRPr="006B17B9">
        <w:t xml:space="preserve">Additional RAM can be included </w:t>
      </w:r>
      <w:r w:rsidR="00C212D3" w:rsidRPr="006B17B9">
        <w:t xml:space="preserve">with the Pro-Expansion board which </w:t>
      </w:r>
      <w:r w:rsidR="00494E8C" w:rsidRPr="006B17B9">
        <w:t xml:space="preserve">can be fitted to </w:t>
      </w:r>
      <w:r w:rsidR="00CA2C29">
        <w:t>Mark I</w:t>
      </w:r>
      <w:r w:rsidR="00494E8C" w:rsidRPr="006B17B9">
        <w:t xml:space="preserve"> machines </w:t>
      </w:r>
      <w:r w:rsidR="00FE3C4D" w:rsidRPr="006B17B9">
        <w:t xml:space="preserve">by Syn Computers as an upgrade service.  We could charge £50 for this </w:t>
      </w:r>
      <w:r w:rsidR="00760E61" w:rsidRPr="006B17B9">
        <w:t>service.</w:t>
      </w:r>
      <w:r w:rsidR="00BD2E0B" w:rsidRPr="006B17B9">
        <w:t xml:space="preserve">  The offer would run until the </w:t>
      </w:r>
      <w:r w:rsidR="00CA2C29">
        <w:t>Mark II</w:t>
      </w:r>
      <w:r w:rsidR="00BD2E0B" w:rsidRPr="006B17B9">
        <w:t xml:space="preserve"> is launched in 12 </w:t>
      </w:r>
      <w:r w:rsidR="002F0E5D" w:rsidRPr="006B17B9">
        <w:t>months’ time</w:t>
      </w:r>
      <w:r w:rsidR="002F0E5D">
        <w:t>.</w:t>
      </w:r>
    </w:p>
    <w:p w14:paraId="4B1DABFF" w14:textId="0EAEDF73" w:rsidR="00B40A43" w:rsidRPr="006B17B9" w:rsidRDefault="00A44603" w:rsidP="00B40A43">
      <w:r w:rsidRPr="006B17B9">
        <w:t xml:space="preserve"> </w:t>
      </w:r>
    </w:p>
    <w:p w14:paraId="61ECE736" w14:textId="527F317B" w:rsidR="00C04CBC" w:rsidRPr="00446C5A" w:rsidRDefault="00C04CBC" w:rsidP="00AE76FC">
      <w:pPr>
        <w:pStyle w:val="Heading2"/>
        <w:rPr>
          <w:sz w:val="24"/>
          <w:szCs w:val="24"/>
        </w:rPr>
      </w:pPr>
      <w:r w:rsidRPr="00446C5A">
        <w:rPr>
          <w:sz w:val="24"/>
          <w:szCs w:val="24"/>
        </w:rPr>
        <w:t>At least 1 industry standard drive with removable media</w:t>
      </w:r>
      <w:r w:rsidR="00AE76FC" w:rsidRPr="00446C5A">
        <w:rPr>
          <w:sz w:val="24"/>
          <w:szCs w:val="24"/>
        </w:rPr>
        <w:t xml:space="preserve"> - </w:t>
      </w:r>
      <w:r w:rsidR="00AE76FC" w:rsidRPr="00446C5A">
        <w:rPr>
          <w:b/>
          <w:bCs/>
          <w:sz w:val="24"/>
          <w:szCs w:val="24"/>
        </w:rPr>
        <w:t>£1</w:t>
      </w:r>
      <w:r w:rsidR="002F0E5D" w:rsidRPr="00446C5A">
        <w:rPr>
          <w:b/>
          <w:bCs/>
          <w:sz w:val="24"/>
          <w:szCs w:val="24"/>
        </w:rPr>
        <w:t>5</w:t>
      </w:r>
      <w:r w:rsidR="00AE76FC" w:rsidRPr="00446C5A">
        <w:rPr>
          <w:b/>
          <w:bCs/>
          <w:sz w:val="24"/>
          <w:szCs w:val="24"/>
        </w:rPr>
        <w:t>,</w:t>
      </w:r>
      <w:r w:rsidR="002F0E5D" w:rsidRPr="00446C5A">
        <w:rPr>
          <w:b/>
          <w:bCs/>
          <w:sz w:val="24"/>
          <w:szCs w:val="24"/>
        </w:rPr>
        <w:t>0</w:t>
      </w:r>
      <w:r w:rsidR="00AE76FC" w:rsidRPr="00446C5A">
        <w:rPr>
          <w:b/>
          <w:bCs/>
          <w:sz w:val="24"/>
          <w:szCs w:val="24"/>
        </w:rPr>
        <w:t>00</w:t>
      </w:r>
    </w:p>
    <w:p w14:paraId="5004B748" w14:textId="7442E52C" w:rsidR="006D0EF8" w:rsidRPr="006B17B9" w:rsidRDefault="007B4550" w:rsidP="006D0EF8">
      <w:r w:rsidRPr="006B17B9">
        <w:t xml:space="preserve">It would be perfectly possible to include </w:t>
      </w:r>
      <w:r w:rsidR="00955E87" w:rsidRPr="006B17B9">
        <w:t xml:space="preserve">a mixed storage option for the </w:t>
      </w:r>
      <w:r w:rsidR="00CA2C29">
        <w:t>Mark II</w:t>
      </w:r>
      <w:r w:rsidR="00955E87" w:rsidRPr="006B17B9">
        <w:t xml:space="preserve"> machine.  Of course, the additional </w:t>
      </w:r>
      <w:r w:rsidR="00A45DAA" w:rsidRPr="006B17B9">
        <w:t>versatility of cartridge and floppy disc storage comes at a price.</w:t>
      </w:r>
      <w:r w:rsidR="008501E8" w:rsidRPr="006B17B9">
        <w:t xml:space="preserve">  This would add an additional £8.75 per unit to the budget.</w:t>
      </w:r>
    </w:p>
    <w:p w14:paraId="75DEE588" w14:textId="02A4A8BB" w:rsidR="00446C5A" w:rsidRPr="002177CF" w:rsidRDefault="00446C5A" w:rsidP="00446C5A">
      <w:pPr>
        <w:pStyle w:val="Heading1"/>
        <w:rPr>
          <w:sz w:val="28"/>
          <w:szCs w:val="28"/>
        </w:rPr>
      </w:pPr>
      <w:r w:rsidRPr="002177CF">
        <w:rPr>
          <w:sz w:val="28"/>
          <w:szCs w:val="28"/>
        </w:rPr>
        <w:t xml:space="preserve">Slide </w:t>
      </w:r>
      <w:r>
        <w:rPr>
          <w:sz w:val="28"/>
          <w:szCs w:val="28"/>
        </w:rPr>
        <w:t>6</w:t>
      </w:r>
      <w:r w:rsidRPr="002177C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Updated Requirements </w:t>
      </w:r>
      <w:r w:rsidRPr="002177CF">
        <w:rPr>
          <w:color w:val="D9D9D9" w:themeColor="background1" w:themeShade="D9"/>
          <w:sz w:val="28"/>
          <w:szCs w:val="28"/>
        </w:rPr>
        <w:t>|</w:t>
      </w:r>
      <w:r w:rsidRPr="002177CF">
        <w:rPr>
          <w:sz w:val="28"/>
          <w:szCs w:val="28"/>
        </w:rPr>
        <w:t xml:space="preserve"> </w:t>
      </w:r>
      <w:r>
        <w:rPr>
          <w:color w:val="747474" w:themeColor="background2" w:themeShade="80"/>
          <w:sz w:val="28"/>
          <w:szCs w:val="28"/>
        </w:rPr>
        <w:t>Solutions (</w:t>
      </w:r>
      <w:r>
        <w:rPr>
          <w:color w:val="747474" w:themeColor="background2" w:themeShade="80"/>
          <w:sz w:val="28"/>
          <w:szCs w:val="28"/>
        </w:rPr>
        <w:t>3</w:t>
      </w:r>
      <w:r>
        <w:rPr>
          <w:color w:val="747474" w:themeColor="background2" w:themeShade="80"/>
          <w:sz w:val="28"/>
          <w:szCs w:val="28"/>
        </w:rPr>
        <w:t>)</w:t>
      </w:r>
    </w:p>
    <w:p w14:paraId="586EE645" w14:textId="6882DBAB" w:rsidR="00C04CBC" w:rsidRPr="00446C5A" w:rsidRDefault="00C04CBC" w:rsidP="00AA0080">
      <w:pPr>
        <w:pStyle w:val="Heading2"/>
        <w:rPr>
          <w:sz w:val="24"/>
          <w:szCs w:val="24"/>
        </w:rPr>
      </w:pPr>
      <w:r w:rsidRPr="00446C5A">
        <w:rPr>
          <w:sz w:val="24"/>
          <w:szCs w:val="24"/>
        </w:rPr>
        <w:t>SCSI expansion capability</w:t>
      </w:r>
      <w:r w:rsidR="00AA0080" w:rsidRPr="00446C5A">
        <w:rPr>
          <w:sz w:val="24"/>
          <w:szCs w:val="24"/>
        </w:rPr>
        <w:t xml:space="preserve"> </w:t>
      </w:r>
      <w:r w:rsidR="006D76AD" w:rsidRPr="00446C5A">
        <w:rPr>
          <w:b/>
          <w:bCs/>
          <w:sz w:val="24"/>
          <w:szCs w:val="24"/>
        </w:rPr>
        <w:t>- £</w:t>
      </w:r>
      <w:r w:rsidR="00620795" w:rsidRPr="00446C5A">
        <w:rPr>
          <w:b/>
          <w:bCs/>
          <w:sz w:val="24"/>
          <w:szCs w:val="24"/>
        </w:rPr>
        <w:t>4</w:t>
      </w:r>
      <w:r w:rsidR="00061CBE" w:rsidRPr="00446C5A">
        <w:rPr>
          <w:b/>
          <w:bCs/>
          <w:sz w:val="24"/>
          <w:szCs w:val="24"/>
        </w:rPr>
        <w:t>2</w:t>
      </w:r>
      <w:r w:rsidR="006D76AD" w:rsidRPr="00446C5A">
        <w:rPr>
          <w:b/>
          <w:bCs/>
          <w:sz w:val="24"/>
          <w:szCs w:val="24"/>
        </w:rPr>
        <w:t>,</w:t>
      </w:r>
      <w:r w:rsidR="00061CBE" w:rsidRPr="00446C5A">
        <w:rPr>
          <w:b/>
          <w:bCs/>
          <w:sz w:val="24"/>
          <w:szCs w:val="24"/>
        </w:rPr>
        <w:t>5</w:t>
      </w:r>
      <w:r w:rsidR="006D76AD" w:rsidRPr="00446C5A">
        <w:rPr>
          <w:b/>
          <w:bCs/>
          <w:sz w:val="24"/>
          <w:szCs w:val="24"/>
        </w:rPr>
        <w:t>00</w:t>
      </w:r>
    </w:p>
    <w:p w14:paraId="3215A99C" w14:textId="1DA7507C" w:rsidR="00CD2ACD" w:rsidRPr="006B17B9" w:rsidRDefault="00CD2ACD" w:rsidP="00CD2ACD">
      <w:r w:rsidRPr="006B17B9">
        <w:t xml:space="preserve">The </w:t>
      </w:r>
      <w:r w:rsidR="00CA2C29">
        <w:t>Mark II</w:t>
      </w:r>
      <w:r w:rsidRPr="006B17B9">
        <w:t xml:space="preserve"> machi</w:t>
      </w:r>
      <w:r w:rsidR="006B17B9" w:rsidRPr="006B17B9">
        <w:t>ne</w:t>
      </w:r>
      <w:r w:rsidR="006B17B9">
        <w:t xml:space="preserve"> will deliver SCSI capability </w:t>
      </w:r>
      <w:r w:rsidR="00576F00">
        <w:t xml:space="preserve">through the Pro-Expansion </w:t>
      </w:r>
      <w:r w:rsidR="00794EB4">
        <w:t xml:space="preserve">Card.  This will include </w:t>
      </w:r>
      <w:r w:rsidR="00C54240">
        <w:t>an SCSI interface</w:t>
      </w:r>
      <w:r w:rsidR="00AF400F">
        <w:t xml:space="preserve"> and the </w:t>
      </w:r>
      <w:r w:rsidR="00CA2C29">
        <w:t>Mark II</w:t>
      </w:r>
      <w:r w:rsidR="00AF400F">
        <w:t xml:space="preserve"> will require a </w:t>
      </w:r>
      <w:r w:rsidR="002B744B">
        <w:t>designed</w:t>
      </w:r>
      <w:r w:rsidR="00AF400F">
        <w:t xml:space="preserve"> IO</w:t>
      </w:r>
      <w:r w:rsidR="002B744B">
        <w:t xml:space="preserve">P glue chip.  Sadly, this means that this can not be offered as part of the upgrade option </w:t>
      </w:r>
      <w:r w:rsidR="000712ED">
        <w:t xml:space="preserve">as the </w:t>
      </w:r>
      <w:r w:rsidR="00CA2C29">
        <w:t>Mark I</w:t>
      </w:r>
      <w:r w:rsidR="000712ED">
        <w:t xml:space="preserve"> has a soldered board, due to the budget constraint set by E</w:t>
      </w:r>
      <w:r w:rsidR="00A71AFF">
        <w:t>DC.</w:t>
      </w:r>
      <w:r w:rsidR="00514B24">
        <w:t xml:space="preserve">  This new requirement for the </w:t>
      </w:r>
      <w:r w:rsidR="00CA2C29">
        <w:t>Mark II</w:t>
      </w:r>
      <w:r w:rsidR="00514B24">
        <w:t xml:space="preserve"> does come at a significant cost of £4</w:t>
      </w:r>
      <w:r w:rsidR="008911A0">
        <w:t>2</w:t>
      </w:r>
      <w:r w:rsidR="00514B24">
        <w:t xml:space="preserve">,500 </w:t>
      </w:r>
      <w:r w:rsidR="001140AA">
        <w:t>per 200</w:t>
      </w:r>
      <w:r w:rsidR="008911A0">
        <w:t>0</w:t>
      </w:r>
      <w:r w:rsidR="001140AA">
        <w:t xml:space="preserve"> units.</w:t>
      </w:r>
    </w:p>
    <w:p w14:paraId="3184D53C" w14:textId="1537F535" w:rsidR="00C04CBC" w:rsidRPr="00446C5A" w:rsidRDefault="00C04CBC" w:rsidP="006D76AD">
      <w:pPr>
        <w:pStyle w:val="Heading2"/>
        <w:rPr>
          <w:b/>
          <w:bCs/>
          <w:sz w:val="24"/>
          <w:szCs w:val="24"/>
        </w:rPr>
      </w:pPr>
      <w:r w:rsidRPr="00446C5A">
        <w:rPr>
          <w:sz w:val="24"/>
          <w:szCs w:val="24"/>
        </w:rPr>
        <w:t>At least a 68000 CPU</w:t>
      </w:r>
      <w:r w:rsidR="00954723" w:rsidRPr="00446C5A">
        <w:rPr>
          <w:sz w:val="24"/>
          <w:szCs w:val="24"/>
        </w:rPr>
        <w:t xml:space="preserve">, </w:t>
      </w:r>
      <w:r w:rsidRPr="00446C5A">
        <w:rPr>
          <w:sz w:val="24"/>
          <w:szCs w:val="24"/>
        </w:rPr>
        <w:t>preferably upgradable</w:t>
      </w:r>
      <w:r w:rsidR="00954723" w:rsidRPr="00446C5A">
        <w:rPr>
          <w:b/>
          <w:bCs/>
          <w:sz w:val="24"/>
          <w:szCs w:val="24"/>
        </w:rPr>
        <w:t xml:space="preserve"> - £20,000</w:t>
      </w:r>
    </w:p>
    <w:p w14:paraId="4EDF553D" w14:textId="1D0B6246" w:rsidR="006D76AD" w:rsidRPr="006B17B9" w:rsidRDefault="00E02854" w:rsidP="006D76AD">
      <w:r>
        <w:t xml:space="preserve">The </w:t>
      </w:r>
      <w:r w:rsidR="00CA2C29">
        <w:t>Mark I</w:t>
      </w:r>
      <w:r>
        <w:t xml:space="preserve"> uses the Motorola </w:t>
      </w:r>
      <w:r w:rsidR="00DC18EE">
        <w:t>68008</w:t>
      </w:r>
      <w:r w:rsidR="00220E37">
        <w:t>, as Colin suggested in the initial conversation.</w:t>
      </w:r>
      <w:r w:rsidR="003E2047">
        <w:t xml:space="preserve">  This is not upgrad</w:t>
      </w:r>
      <w:r w:rsidR="00DA5ED4">
        <w:t>able due to the soldered board.  However, t</w:t>
      </w:r>
      <w:r w:rsidR="006D76AD" w:rsidRPr="006B17B9">
        <w:t xml:space="preserve">he </w:t>
      </w:r>
      <w:r w:rsidR="00CA2C29">
        <w:t>Mark II</w:t>
      </w:r>
      <w:r w:rsidR="002B0216">
        <w:t xml:space="preserve"> will </w:t>
      </w:r>
      <w:r w:rsidR="00954723">
        <w:t xml:space="preserve">use </w:t>
      </w:r>
      <w:r w:rsidR="00771E9D">
        <w:t xml:space="preserve">a socketed board which will allow </w:t>
      </w:r>
      <w:r w:rsidR="003E2047">
        <w:t>easier upgrade</w:t>
      </w:r>
      <w:r w:rsidR="00DA5ED4">
        <w:t>s</w:t>
      </w:r>
      <w:r w:rsidR="00991C24">
        <w:t xml:space="preserve"> in the future.</w:t>
      </w:r>
      <w:r w:rsidR="003E2047">
        <w:t xml:space="preserve"> </w:t>
      </w:r>
    </w:p>
    <w:p w14:paraId="61E02D05" w14:textId="388BAA87" w:rsidR="00446C5A" w:rsidRPr="002177CF" w:rsidRDefault="00446C5A" w:rsidP="00446C5A">
      <w:pPr>
        <w:pStyle w:val="Heading1"/>
        <w:rPr>
          <w:sz w:val="28"/>
          <w:szCs w:val="28"/>
        </w:rPr>
      </w:pPr>
      <w:r w:rsidRPr="002177CF">
        <w:rPr>
          <w:sz w:val="28"/>
          <w:szCs w:val="28"/>
        </w:rPr>
        <w:lastRenderedPageBreak/>
        <w:t xml:space="preserve">Slide </w:t>
      </w:r>
      <w:r w:rsidR="000D08E1">
        <w:rPr>
          <w:sz w:val="28"/>
          <w:szCs w:val="28"/>
        </w:rPr>
        <w:t>7</w:t>
      </w:r>
      <w:r w:rsidRPr="002177C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Updated Requirements </w:t>
      </w:r>
      <w:r w:rsidRPr="002177CF">
        <w:rPr>
          <w:color w:val="D9D9D9" w:themeColor="background1" w:themeShade="D9"/>
          <w:sz w:val="28"/>
          <w:szCs w:val="28"/>
        </w:rPr>
        <w:t>|</w:t>
      </w:r>
      <w:r w:rsidRPr="002177CF">
        <w:rPr>
          <w:sz w:val="28"/>
          <w:szCs w:val="28"/>
        </w:rPr>
        <w:t xml:space="preserve"> </w:t>
      </w:r>
      <w:r>
        <w:rPr>
          <w:color w:val="747474" w:themeColor="background2" w:themeShade="80"/>
          <w:sz w:val="28"/>
          <w:szCs w:val="28"/>
        </w:rPr>
        <w:t>Solutions (</w:t>
      </w:r>
      <w:r w:rsidR="000D08E1">
        <w:rPr>
          <w:color w:val="747474" w:themeColor="background2" w:themeShade="80"/>
          <w:sz w:val="28"/>
          <w:szCs w:val="28"/>
        </w:rPr>
        <w:t>4</w:t>
      </w:r>
      <w:r>
        <w:rPr>
          <w:color w:val="747474" w:themeColor="background2" w:themeShade="80"/>
          <w:sz w:val="28"/>
          <w:szCs w:val="28"/>
        </w:rPr>
        <w:t>)</w:t>
      </w:r>
    </w:p>
    <w:p w14:paraId="4FF5356A" w14:textId="3FEADFD7" w:rsidR="00C04CBC" w:rsidRPr="000D08E1" w:rsidRDefault="00C04CBC" w:rsidP="006D76AD">
      <w:pPr>
        <w:pStyle w:val="Heading2"/>
        <w:rPr>
          <w:b/>
          <w:bCs/>
          <w:sz w:val="24"/>
          <w:szCs w:val="24"/>
        </w:rPr>
      </w:pPr>
      <w:r w:rsidRPr="000D08E1">
        <w:rPr>
          <w:sz w:val="24"/>
          <w:szCs w:val="24"/>
        </w:rPr>
        <w:t>Minimum of 2 serial ports that support RS 422/ 485 standard (network capable)</w:t>
      </w:r>
      <w:r w:rsidR="00811FD6" w:rsidRPr="000D08E1">
        <w:rPr>
          <w:sz w:val="24"/>
          <w:szCs w:val="24"/>
        </w:rPr>
        <w:t xml:space="preserve"> </w:t>
      </w:r>
      <w:r w:rsidR="00811FD6" w:rsidRPr="000D08E1">
        <w:rPr>
          <w:b/>
          <w:bCs/>
          <w:sz w:val="24"/>
          <w:szCs w:val="24"/>
        </w:rPr>
        <w:t>- £7,250</w:t>
      </w:r>
    </w:p>
    <w:p w14:paraId="4678C921" w14:textId="52AAD362" w:rsidR="00E71A89" w:rsidRDefault="00622D76" w:rsidP="008735EC">
      <w:r>
        <w:t xml:space="preserve">The upgraded serial ports are a </w:t>
      </w:r>
      <w:r w:rsidR="00C73361">
        <w:t xml:space="preserve">minor issue to be resolved with the </w:t>
      </w:r>
      <w:r w:rsidR="00CA2C29">
        <w:t>Mark II</w:t>
      </w:r>
      <w:r w:rsidR="00C73361">
        <w:t xml:space="preserve">.  </w:t>
      </w:r>
      <w:r w:rsidR="00E84865">
        <w:t xml:space="preserve">The SC100 port would be replaced with </w:t>
      </w:r>
      <w:r w:rsidR="00CC37CD">
        <w:t xml:space="preserve">multiplex SC150.  </w:t>
      </w:r>
      <w:r w:rsidR="008735EC" w:rsidRPr="006B17B9">
        <w:t xml:space="preserve"> </w:t>
      </w:r>
      <w:r w:rsidR="00CC37CD">
        <w:t>T</w:t>
      </w:r>
      <w:r w:rsidR="008735EC" w:rsidRPr="006B17B9">
        <w:t>his supports</w:t>
      </w:r>
      <w:r w:rsidR="00CC37CD">
        <w:t xml:space="preserve"> both a</w:t>
      </w:r>
      <w:r w:rsidR="008735EC" w:rsidRPr="006B17B9">
        <w:t xml:space="preserve"> mouse and external keyboard</w:t>
      </w:r>
      <w:r w:rsidR="0001579A">
        <w:t xml:space="preserve">, making the </w:t>
      </w:r>
      <w:r w:rsidR="00CA2C29">
        <w:t>Mark II</w:t>
      </w:r>
      <w:r w:rsidR="0001579A">
        <w:t xml:space="preserve"> ready for a GUI environment. </w:t>
      </w:r>
      <w:r w:rsidR="003C64EF">
        <w:t xml:space="preserve">  There is a small </w:t>
      </w:r>
      <w:r w:rsidR="00E71A89">
        <w:t xml:space="preserve">project </w:t>
      </w:r>
      <w:r w:rsidR="003C64EF">
        <w:t xml:space="preserve">uplift of £7,250 </w:t>
      </w:r>
      <w:r w:rsidR="00E71A89">
        <w:t>or £3.63 per unit.</w:t>
      </w:r>
    </w:p>
    <w:p w14:paraId="28A7147C" w14:textId="77777777" w:rsidR="008735EC" w:rsidRPr="006B17B9" w:rsidRDefault="008735EC" w:rsidP="008735EC"/>
    <w:p w14:paraId="011AA523" w14:textId="690097F5" w:rsidR="00C04CBC" w:rsidRPr="000D08E1" w:rsidRDefault="00C04CBC" w:rsidP="006D76AD">
      <w:pPr>
        <w:pStyle w:val="Heading2"/>
        <w:rPr>
          <w:sz w:val="24"/>
          <w:szCs w:val="24"/>
        </w:rPr>
      </w:pPr>
      <w:r w:rsidRPr="000D08E1">
        <w:rPr>
          <w:sz w:val="24"/>
          <w:szCs w:val="24"/>
        </w:rPr>
        <w:t>A board that is ready to support a GUI system and mouse if required by the user</w:t>
      </w:r>
    </w:p>
    <w:p w14:paraId="545C8574" w14:textId="117803D6" w:rsidR="006D76AD" w:rsidRPr="006B17B9" w:rsidRDefault="005461FA" w:rsidP="006D76AD">
      <w:r>
        <w:t xml:space="preserve">The </w:t>
      </w:r>
      <w:r w:rsidR="00CA2C29">
        <w:t>Mark II</w:t>
      </w:r>
      <w:r>
        <w:t xml:space="preserve"> will be ready to support a GUI system as</w:t>
      </w:r>
      <w:r w:rsidR="006D76AD" w:rsidRPr="006B17B9">
        <w:t xml:space="preserve"> the Pro-Expansion Card is used</w:t>
      </w:r>
      <w:r w:rsidR="006D76AD" w:rsidRPr="006B17B9">
        <w:t xml:space="preserve"> </w:t>
      </w:r>
      <w:r w:rsidR="00753E66">
        <w:t>with</w:t>
      </w:r>
      <w:r w:rsidR="00E73B9C">
        <w:t xml:space="preserve"> the SC150</w:t>
      </w:r>
      <w:r w:rsidR="006D76AD" w:rsidRPr="006B17B9">
        <w:t xml:space="preserve">. </w:t>
      </w:r>
      <w:r w:rsidR="00E73B9C">
        <w:t xml:space="preserve">This is a rapidly evolving space </w:t>
      </w:r>
      <w:r w:rsidR="00E27786">
        <w:t xml:space="preserve">and with the launch of the </w:t>
      </w:r>
      <w:r w:rsidR="00CA2C29">
        <w:t>Mark II</w:t>
      </w:r>
      <w:r w:rsidR="00E27786">
        <w:t xml:space="preserve"> in 12 </w:t>
      </w:r>
      <w:r w:rsidR="00FA4D4C">
        <w:t>months’ time</w:t>
      </w:r>
      <w:r w:rsidR="00E27786">
        <w:t xml:space="preserve">, </w:t>
      </w:r>
      <w:r w:rsidR="00F228C1">
        <w:t xml:space="preserve">Will and Colin will be able to consider the GUI of choice.  </w:t>
      </w:r>
      <w:r w:rsidR="00FC4084">
        <w:t xml:space="preserve">It is better to launch the </w:t>
      </w:r>
      <w:r w:rsidR="00CA2C29">
        <w:t>Mark I</w:t>
      </w:r>
      <w:r w:rsidR="00FC4084">
        <w:t xml:space="preserve"> now and the </w:t>
      </w:r>
      <w:r w:rsidR="00CA2C29">
        <w:t>Mark II</w:t>
      </w:r>
      <w:r w:rsidR="00FC4084">
        <w:t xml:space="preserve"> in 12moths time having made the </w:t>
      </w:r>
      <w:r w:rsidR="00C71D17">
        <w:t xml:space="preserve">winning GUI </w:t>
      </w:r>
      <w:r w:rsidR="00FC4084">
        <w:t>decision</w:t>
      </w:r>
      <w:r w:rsidR="00C71D17">
        <w:t>.  We don’t want to back the wrong horse</w:t>
      </w:r>
      <w:r w:rsidR="008E6948">
        <w:t xml:space="preserve">, just look at the current turmoil in video cassettes with the current battle between </w:t>
      </w:r>
      <w:r w:rsidR="0043069B">
        <w:t xml:space="preserve">JVC’s </w:t>
      </w:r>
      <w:r w:rsidR="00691006">
        <w:t>V</w:t>
      </w:r>
      <w:r w:rsidR="0043069B">
        <w:t xml:space="preserve">HS and Sony’s </w:t>
      </w:r>
      <w:r w:rsidR="00B76F17">
        <w:t>Betamax</w:t>
      </w:r>
      <w:r w:rsidR="00624E2B">
        <w:t xml:space="preserve"> </w:t>
      </w:r>
      <w:r w:rsidR="00624E2B" w:rsidRPr="000D08E1">
        <w:t>(</w:t>
      </w:r>
      <w:r w:rsidR="004245DE" w:rsidRPr="000D08E1">
        <w:t xml:space="preserve">Elmore, </w:t>
      </w:r>
      <w:r w:rsidR="003E35DF" w:rsidRPr="000D08E1">
        <w:t xml:space="preserve"> 2025</w:t>
      </w:r>
      <w:r w:rsidR="00624E2B" w:rsidRPr="000D08E1">
        <w:t>)</w:t>
      </w:r>
      <w:r w:rsidR="0043069B" w:rsidRPr="000D08E1">
        <w:t xml:space="preserve">.  </w:t>
      </w:r>
      <w:r w:rsidR="0043069B">
        <w:t xml:space="preserve">By the way, my money is on the superior </w:t>
      </w:r>
      <w:r w:rsidR="00B76F17">
        <w:t>Betamax</w:t>
      </w:r>
      <w:r w:rsidR="0043069B">
        <w:t xml:space="preserve"> format.</w:t>
      </w:r>
    </w:p>
    <w:p w14:paraId="1CB4763D" w14:textId="2C70CEF5" w:rsidR="000D08E1" w:rsidRPr="002177CF" w:rsidRDefault="000D08E1" w:rsidP="000D08E1">
      <w:pPr>
        <w:pStyle w:val="Heading1"/>
        <w:rPr>
          <w:sz w:val="28"/>
          <w:szCs w:val="28"/>
        </w:rPr>
      </w:pPr>
      <w:r w:rsidRPr="002177CF">
        <w:rPr>
          <w:sz w:val="28"/>
          <w:szCs w:val="28"/>
        </w:rPr>
        <w:t xml:space="preserve">Slide </w:t>
      </w:r>
      <w:r>
        <w:rPr>
          <w:sz w:val="28"/>
          <w:szCs w:val="28"/>
        </w:rPr>
        <w:t>8</w:t>
      </w:r>
      <w:r w:rsidRPr="002177CF">
        <w:rPr>
          <w:sz w:val="28"/>
          <w:szCs w:val="28"/>
        </w:rPr>
        <w:t xml:space="preserve">: </w:t>
      </w:r>
      <w:r w:rsidR="001B44C7">
        <w:rPr>
          <w:sz w:val="28"/>
          <w:szCs w:val="28"/>
        </w:rPr>
        <w:t xml:space="preserve">Budget </w:t>
      </w:r>
      <w:r w:rsidRPr="002177CF">
        <w:rPr>
          <w:color w:val="D9D9D9" w:themeColor="background1" w:themeShade="D9"/>
          <w:sz w:val="28"/>
          <w:szCs w:val="28"/>
        </w:rPr>
        <w:t>|</w:t>
      </w:r>
      <w:r w:rsidRPr="002177CF">
        <w:rPr>
          <w:sz w:val="28"/>
          <w:szCs w:val="28"/>
        </w:rPr>
        <w:t xml:space="preserve"> </w:t>
      </w:r>
      <w:r w:rsidR="001B44C7">
        <w:rPr>
          <w:color w:val="747474" w:themeColor="background2" w:themeShade="80"/>
          <w:sz w:val="28"/>
          <w:szCs w:val="28"/>
        </w:rPr>
        <w:t>Revised Position</w:t>
      </w:r>
    </w:p>
    <w:p w14:paraId="7A196B3A" w14:textId="2AE4C8CC" w:rsidR="00811FD6" w:rsidRDefault="00814A02" w:rsidP="00811FD6">
      <w:r>
        <w:t>We will</w:t>
      </w:r>
      <w:r w:rsidR="00811FD6" w:rsidRPr="006B17B9">
        <w:t xml:space="preserve"> redesign the computer to mee</w:t>
      </w:r>
      <w:r w:rsidR="00065A1F">
        <w:t>t</w:t>
      </w:r>
      <w:r w:rsidR="00811FD6" w:rsidRPr="006B17B9">
        <w:t xml:space="preserve"> the </w:t>
      </w:r>
      <w:r w:rsidR="00065A1F">
        <w:t>n</w:t>
      </w:r>
      <w:r>
        <w:t xml:space="preserve">ew </w:t>
      </w:r>
      <w:r w:rsidR="00811FD6" w:rsidRPr="006B17B9">
        <w:t>requirements</w:t>
      </w:r>
      <w:r>
        <w:t xml:space="preserve"> of the </w:t>
      </w:r>
      <w:r w:rsidR="00CA2C29">
        <w:t>Mark II</w:t>
      </w:r>
      <w:r w:rsidR="004D6B13">
        <w:t xml:space="preserve"> </w:t>
      </w:r>
      <w:r w:rsidR="00811FD6" w:rsidRPr="006B17B9">
        <w:t xml:space="preserve"> and produce 2000 units to </w:t>
      </w:r>
      <w:r w:rsidR="004D6B13">
        <w:t>launch in one year’s time (</w:t>
      </w:r>
      <w:r w:rsidR="00B82ECC">
        <w:t>Monday 3rd</w:t>
      </w:r>
      <w:r w:rsidR="004D6B13">
        <w:t xml:space="preserve"> December 1984)</w:t>
      </w:r>
      <w:r w:rsidR="00811FD6" w:rsidRPr="006B17B9">
        <w:t>.</w:t>
      </w:r>
    </w:p>
    <w:p w14:paraId="47A4B49F" w14:textId="652CC771" w:rsidR="00522316" w:rsidRDefault="00522316" w:rsidP="00811FD6">
      <w:r>
        <w:t xml:space="preserve">While there are substantial increases in the hardware components, the excellent work of the </w:t>
      </w:r>
      <w:r w:rsidR="004100F0">
        <w:t xml:space="preserve">Synful Computing </w:t>
      </w:r>
      <w:r w:rsidR="00FE11E8">
        <w:t>t</w:t>
      </w:r>
      <w:r w:rsidR="004100F0">
        <w:t xml:space="preserve">eam will provide a strong foundation </w:t>
      </w:r>
      <w:r w:rsidR="0012041C">
        <w:t>for the next generation</w:t>
      </w:r>
      <w:r w:rsidR="00FE11E8">
        <w:t xml:space="preserve"> of</w:t>
      </w:r>
      <w:r w:rsidR="0012041C">
        <w:t xml:space="preserve"> our ground-breaking PC.</w:t>
      </w:r>
    </w:p>
    <w:p w14:paraId="13B6712F" w14:textId="3905643E" w:rsidR="00F14583" w:rsidRPr="006B17B9" w:rsidRDefault="00F14583" w:rsidP="00811FD6">
      <w:r>
        <w:t xml:space="preserve">We will invest significantly more time in testing </w:t>
      </w:r>
      <w:r w:rsidR="00F879F1">
        <w:t>and build</w:t>
      </w:r>
      <w:r w:rsidR="00FE11E8">
        <w:t>ing</w:t>
      </w:r>
      <w:r w:rsidR="00F879F1">
        <w:t xml:space="preserve"> in milestones for executive review.  The </w:t>
      </w:r>
      <w:r w:rsidR="00CA2C29">
        <w:t>Mark II</w:t>
      </w:r>
      <w:r w:rsidR="00BF734A">
        <w:t xml:space="preserve"> is a sophisticated machine and it is essential to </w:t>
      </w:r>
      <w:r w:rsidR="008A2999">
        <w:t xml:space="preserve">adopt an </w:t>
      </w:r>
      <w:r w:rsidR="00FE11E8">
        <w:t>a</w:t>
      </w:r>
      <w:r w:rsidR="008A2999">
        <w:t>gile approach to the next phase of the project.</w:t>
      </w:r>
    </w:p>
    <w:p w14:paraId="3D49E0D2" w14:textId="4198A171" w:rsidR="00391A78" w:rsidRPr="00391A78" w:rsidRDefault="00391A78" w:rsidP="00391A78">
      <w:pPr>
        <w:pStyle w:val="Heading1"/>
        <w:rPr>
          <w:sz w:val="28"/>
          <w:szCs w:val="28"/>
        </w:rPr>
      </w:pPr>
      <w:r w:rsidRPr="00391A78">
        <w:rPr>
          <w:sz w:val="28"/>
          <w:szCs w:val="28"/>
        </w:rPr>
        <w:t xml:space="preserve">Slide </w:t>
      </w:r>
      <w:r w:rsidRPr="00391A78">
        <w:rPr>
          <w:sz w:val="28"/>
          <w:szCs w:val="28"/>
        </w:rPr>
        <w:t>9</w:t>
      </w:r>
      <w:r w:rsidRPr="00391A78">
        <w:rPr>
          <w:sz w:val="28"/>
          <w:szCs w:val="28"/>
        </w:rPr>
        <w:t xml:space="preserve">: </w:t>
      </w:r>
      <w:r w:rsidRPr="00391A78">
        <w:rPr>
          <w:sz w:val="28"/>
          <w:szCs w:val="28"/>
        </w:rPr>
        <w:t>Synputer Mark II</w:t>
      </w:r>
      <w:r w:rsidRPr="00391A78">
        <w:rPr>
          <w:sz w:val="28"/>
          <w:szCs w:val="28"/>
        </w:rPr>
        <w:t xml:space="preserve"> </w:t>
      </w:r>
      <w:r w:rsidRPr="00391A78">
        <w:rPr>
          <w:color w:val="D9D9D9" w:themeColor="background1" w:themeShade="D9"/>
          <w:sz w:val="28"/>
          <w:szCs w:val="28"/>
        </w:rPr>
        <w:t>|</w:t>
      </w:r>
      <w:r w:rsidRPr="00391A78">
        <w:rPr>
          <w:sz w:val="28"/>
          <w:szCs w:val="28"/>
        </w:rPr>
        <w:t xml:space="preserve"> </w:t>
      </w:r>
      <w:r w:rsidRPr="00391A78">
        <w:rPr>
          <w:color w:val="747474" w:themeColor="background2" w:themeShade="80"/>
          <w:sz w:val="28"/>
          <w:szCs w:val="28"/>
        </w:rPr>
        <w:t>Agile Development</w:t>
      </w:r>
    </w:p>
    <w:p w14:paraId="188522DB" w14:textId="036AA05D" w:rsidR="004F738E" w:rsidRDefault="006327C3" w:rsidP="00276F39">
      <w:r>
        <w:t>The G</w:t>
      </w:r>
      <w:r w:rsidR="00F73DBF">
        <w:t xml:space="preserve">antt Chart shows </w:t>
      </w:r>
      <w:r w:rsidR="001D1F12">
        <w:t>the project timeline, including,</w:t>
      </w:r>
      <w:r w:rsidR="00391A78">
        <w:t xml:space="preserve"> </w:t>
      </w:r>
      <w:r w:rsidR="00D40AC0">
        <w:t>milestones and sprints.</w:t>
      </w:r>
      <w:r w:rsidR="008109C9">
        <w:t xml:space="preserve"> The pro</w:t>
      </w:r>
      <w:r w:rsidR="00155A4A">
        <w:t xml:space="preserve">ject will start in January 1984, </w:t>
      </w:r>
      <w:r w:rsidR="00610EB4">
        <w:t xml:space="preserve">after </w:t>
      </w:r>
      <w:r w:rsidR="007D77C8">
        <w:t xml:space="preserve">both our legal teams have agreed a contract.  </w:t>
      </w:r>
      <w:r w:rsidR="00B12878">
        <w:t xml:space="preserve">The </w:t>
      </w:r>
      <w:r w:rsidR="00A1397A">
        <w:t xml:space="preserve">Lucid </w:t>
      </w:r>
      <w:r w:rsidR="00844DB3">
        <w:t>G</w:t>
      </w:r>
      <w:r w:rsidR="00A1397A">
        <w:t xml:space="preserve">annt Chart has been embedded in the slides, so you can zoom, scroll and </w:t>
      </w:r>
      <w:r w:rsidR="004C15D1">
        <w:t>examine at your leisure.  A hard copy has also been provided for your convenience</w:t>
      </w:r>
      <w:r w:rsidR="00095896">
        <w:t xml:space="preserve"> (Appendix A)</w:t>
      </w:r>
      <w:r w:rsidR="004C15D1">
        <w:t>.</w:t>
      </w:r>
    </w:p>
    <w:p w14:paraId="45F68CCD" w14:textId="77777777" w:rsidR="00321F83" w:rsidRDefault="00321F83" w:rsidP="00276F39"/>
    <w:p w14:paraId="10C13AAA" w14:textId="30068C43" w:rsidR="00321F83" w:rsidRDefault="00321F83" w:rsidP="00321F83">
      <w:pPr>
        <w:pStyle w:val="Caption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Synputer Updated Budget</w:t>
      </w:r>
    </w:p>
    <w:p w14:paraId="5AFB940D" w14:textId="079A729A" w:rsidR="00321F83" w:rsidRDefault="00321F83" w:rsidP="00276F39">
      <w:r w:rsidRPr="00321F83">
        <w:drawing>
          <wp:inline distT="0" distB="0" distL="0" distR="0" wp14:anchorId="4B2B2FFF" wp14:editId="2DB9C1A0">
            <wp:extent cx="3684896" cy="4299045"/>
            <wp:effectExtent l="0" t="0" r="11430" b="6350"/>
            <wp:docPr id="21209021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6677F2-2804-0875-1655-57C3DC59E5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A26C73D" w14:textId="5D26472F" w:rsidR="00276F39" w:rsidRDefault="007D77C8" w:rsidP="00276F39">
      <w:r>
        <w:t xml:space="preserve">The first design </w:t>
      </w:r>
      <w:r w:rsidR="004F738E">
        <w:t>prototype will be available to share with EDC on</w:t>
      </w:r>
      <w:r>
        <w:t xml:space="preserve">, </w:t>
      </w:r>
      <w:r w:rsidR="004C5D9C">
        <w:t>Mo</w:t>
      </w:r>
      <w:r w:rsidR="00610EB4">
        <w:t>n</w:t>
      </w:r>
      <w:r w:rsidR="004C5D9C">
        <w:t>day 12</w:t>
      </w:r>
      <w:r w:rsidR="004C5D9C" w:rsidRPr="004C5D9C">
        <w:rPr>
          <w:vertAlign w:val="superscript"/>
        </w:rPr>
        <w:t>th</w:t>
      </w:r>
      <w:r w:rsidR="004C5D9C">
        <w:t xml:space="preserve"> March.  Any initial amendments </w:t>
      </w:r>
      <w:r w:rsidR="00C370D8">
        <w:t xml:space="preserve">will be completed by </w:t>
      </w:r>
      <w:r w:rsidR="00845496">
        <w:t>Friday 13</w:t>
      </w:r>
      <w:r w:rsidR="00845496" w:rsidRPr="00845496">
        <w:rPr>
          <w:vertAlign w:val="superscript"/>
        </w:rPr>
        <w:t>th</w:t>
      </w:r>
      <w:r w:rsidR="00845496">
        <w:t xml:space="preserve"> April.</w:t>
      </w:r>
      <w:r w:rsidR="00C70027">
        <w:t xml:space="preserve">  </w:t>
      </w:r>
    </w:p>
    <w:p w14:paraId="10F494E7" w14:textId="614B2586" w:rsidR="00C70027" w:rsidRDefault="00C70027" w:rsidP="00276F39">
      <w:r>
        <w:t xml:space="preserve">Following feedback from the executive, the Mark II will </w:t>
      </w:r>
      <w:r w:rsidR="0035455A">
        <w:t>blueprint will be refined</w:t>
      </w:r>
      <w:r w:rsidR="00C370D8">
        <w:t xml:space="preserve">.  </w:t>
      </w:r>
      <w:r w:rsidR="00AC0FA8">
        <w:t xml:space="preserve">Will and Colin will conduct an executive review </w:t>
      </w:r>
      <w:r w:rsidR="00D12B9B">
        <w:t>from 16</w:t>
      </w:r>
      <w:r w:rsidR="00D12B9B" w:rsidRPr="00D12B9B">
        <w:rPr>
          <w:vertAlign w:val="superscript"/>
        </w:rPr>
        <w:t>th</w:t>
      </w:r>
      <w:r w:rsidR="00D12B9B">
        <w:t xml:space="preserve"> April</w:t>
      </w:r>
      <w:r w:rsidR="00EA6997">
        <w:t xml:space="preserve">.  Specific, agreed, feedback will </w:t>
      </w:r>
      <w:r w:rsidR="004A6A0D">
        <w:t>form the basis of a further sprint to develop the final prototype.</w:t>
      </w:r>
    </w:p>
    <w:p w14:paraId="55EC9E42" w14:textId="4F56F6D6" w:rsidR="004A6A0D" w:rsidRDefault="00513250" w:rsidP="00276F39">
      <w:r>
        <w:t>The 2</w:t>
      </w:r>
      <w:r w:rsidRPr="00513250">
        <w:rPr>
          <w:vertAlign w:val="superscript"/>
        </w:rPr>
        <w:t>nd</w:t>
      </w:r>
      <w:r>
        <w:t xml:space="preserve"> prototype will be available from Monday 2</w:t>
      </w:r>
      <w:r w:rsidRPr="00513250">
        <w:rPr>
          <w:vertAlign w:val="superscript"/>
        </w:rPr>
        <w:t>nd</w:t>
      </w:r>
      <w:r>
        <w:t xml:space="preserve"> July</w:t>
      </w:r>
      <w:r w:rsidR="005F6499">
        <w:t xml:space="preserve">, again to be shared with EDC.  Final amendments will be made before presentation to Will and Colin for the </w:t>
      </w:r>
      <w:r w:rsidR="005D6BF1">
        <w:t xml:space="preserve">pre-production executive review which will take place on </w:t>
      </w:r>
      <w:r w:rsidR="00B66C4D">
        <w:t>6</w:t>
      </w:r>
      <w:r w:rsidR="00B66C4D" w:rsidRPr="00B66C4D">
        <w:rPr>
          <w:vertAlign w:val="superscript"/>
        </w:rPr>
        <w:t>th</w:t>
      </w:r>
      <w:r w:rsidR="00B66C4D">
        <w:t xml:space="preserve"> August.</w:t>
      </w:r>
    </w:p>
    <w:p w14:paraId="2F2D1FF0" w14:textId="015309EA" w:rsidR="00B66C4D" w:rsidRDefault="00B66C4D" w:rsidP="00276F39">
      <w:r>
        <w:t>Production of 200</w:t>
      </w:r>
      <w:r w:rsidR="001F7F91">
        <w:t>0</w:t>
      </w:r>
      <w:r>
        <w:t xml:space="preserve"> units will take place from 20</w:t>
      </w:r>
      <w:r w:rsidRPr="00B66C4D">
        <w:rPr>
          <w:vertAlign w:val="superscript"/>
        </w:rPr>
        <w:t>th</w:t>
      </w:r>
      <w:r>
        <w:t xml:space="preserve"> August to </w:t>
      </w:r>
      <w:r w:rsidR="00644523">
        <w:t>12</w:t>
      </w:r>
      <w:r w:rsidR="00644523" w:rsidRPr="00644523">
        <w:rPr>
          <w:vertAlign w:val="superscript"/>
        </w:rPr>
        <w:t>th</w:t>
      </w:r>
      <w:r w:rsidR="00644523">
        <w:t xml:space="preserve"> October, leading to final testing </w:t>
      </w:r>
      <w:r w:rsidR="00E9293A">
        <w:t>being completed on 9</w:t>
      </w:r>
      <w:r w:rsidR="00E9293A" w:rsidRPr="00E9293A">
        <w:rPr>
          <w:vertAlign w:val="superscript"/>
        </w:rPr>
        <w:t>th</w:t>
      </w:r>
      <w:r w:rsidR="00E9293A">
        <w:t xml:space="preserve"> November.</w:t>
      </w:r>
    </w:p>
    <w:p w14:paraId="40F971D7" w14:textId="17E95552" w:rsidR="00E9293A" w:rsidRDefault="00E9293A" w:rsidP="00276F39">
      <w:r>
        <w:t xml:space="preserve">Will and Colin will complete the final </w:t>
      </w:r>
      <w:r w:rsidR="00DD21A2">
        <w:t>executive review on 12</w:t>
      </w:r>
      <w:r w:rsidR="00DD21A2" w:rsidRPr="00DD21A2">
        <w:rPr>
          <w:vertAlign w:val="superscript"/>
        </w:rPr>
        <w:t>th</w:t>
      </w:r>
      <w:r w:rsidR="00DD21A2">
        <w:t xml:space="preserve"> November, ready for the Synputer </w:t>
      </w:r>
      <w:r w:rsidR="00CA2C29">
        <w:t>Mark II</w:t>
      </w:r>
      <w:r w:rsidR="00DD21A2">
        <w:t xml:space="preserve"> launch on Monday 3</w:t>
      </w:r>
      <w:r w:rsidR="00DD21A2" w:rsidRPr="00DD21A2">
        <w:rPr>
          <w:vertAlign w:val="superscript"/>
        </w:rPr>
        <w:t>rd</w:t>
      </w:r>
      <w:r w:rsidR="00DD21A2">
        <w:t xml:space="preserve"> December 1984.</w:t>
      </w:r>
    </w:p>
    <w:p w14:paraId="31528028" w14:textId="6DA0A35D" w:rsidR="00907EE0" w:rsidRPr="002177CF" w:rsidRDefault="00907EE0" w:rsidP="00907EE0">
      <w:pPr>
        <w:pStyle w:val="Heading1"/>
        <w:rPr>
          <w:sz w:val="28"/>
          <w:szCs w:val="28"/>
        </w:rPr>
      </w:pPr>
      <w:r w:rsidRPr="002177CF">
        <w:rPr>
          <w:sz w:val="28"/>
          <w:szCs w:val="28"/>
        </w:rPr>
        <w:t xml:space="preserve">Slide </w:t>
      </w:r>
      <w:r>
        <w:rPr>
          <w:sz w:val="28"/>
          <w:szCs w:val="28"/>
        </w:rPr>
        <w:t>10</w:t>
      </w:r>
      <w:r w:rsidRPr="002177C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Next Steps </w:t>
      </w:r>
      <w:r w:rsidRPr="002177CF">
        <w:rPr>
          <w:color w:val="D9D9D9" w:themeColor="background1" w:themeShade="D9"/>
          <w:sz w:val="28"/>
          <w:szCs w:val="28"/>
        </w:rPr>
        <w:t>|</w:t>
      </w:r>
      <w:r w:rsidRPr="002177CF">
        <w:rPr>
          <w:sz w:val="28"/>
          <w:szCs w:val="28"/>
        </w:rPr>
        <w:t xml:space="preserve"> </w:t>
      </w:r>
      <w:r>
        <w:rPr>
          <w:color w:val="747474" w:themeColor="background2" w:themeShade="80"/>
          <w:sz w:val="28"/>
          <w:szCs w:val="28"/>
        </w:rPr>
        <w:t>EDC-Synful Partnership</w:t>
      </w:r>
    </w:p>
    <w:p w14:paraId="0BA5B68F" w14:textId="20D843E8" w:rsidR="005E17D7" w:rsidRDefault="009556F5" w:rsidP="005E17D7">
      <w:r>
        <w:t>Will and Colin originally discussed the need to develop a computer brand, which would evolve to compete with the IBM at the fraction of the cost.</w:t>
      </w:r>
      <w:r w:rsidR="00197E91">
        <w:t xml:space="preserve">  The Synputer </w:t>
      </w:r>
      <w:r w:rsidR="00CA2C29">
        <w:t>Mark I</w:t>
      </w:r>
      <w:r w:rsidR="00197E91">
        <w:t xml:space="preserve"> paves </w:t>
      </w:r>
      <w:r w:rsidR="00197E91">
        <w:lastRenderedPageBreak/>
        <w:t xml:space="preserve">the way for the next revolution in computing technology </w:t>
      </w:r>
      <w:r w:rsidR="00000196">
        <w:t xml:space="preserve">to be delivered in full by the Synputer </w:t>
      </w:r>
      <w:r w:rsidR="00CA2C29">
        <w:t>Mark II</w:t>
      </w:r>
      <w:r w:rsidR="00000196">
        <w:t xml:space="preserve"> – released in December 1984.</w:t>
      </w:r>
    </w:p>
    <w:p w14:paraId="3D7D8B60" w14:textId="7E7AF18F" w:rsidR="00E60C6F" w:rsidRDefault="00E60C6F" w:rsidP="005E17D7">
      <w:r>
        <w:t xml:space="preserve">We know EDC will be as excited as we are to continue this journey and are grateful that </w:t>
      </w:r>
      <w:r w:rsidR="008D42CB">
        <w:t>there is a revised budget to accommodate the u</w:t>
      </w:r>
      <w:r w:rsidR="005636AE">
        <w:t>p</w:t>
      </w:r>
      <w:r w:rsidR="008D42CB">
        <w:t>dated specifications.</w:t>
      </w:r>
    </w:p>
    <w:p w14:paraId="399352AF" w14:textId="0A335DA7" w:rsidR="008D42CB" w:rsidRDefault="008D42CB" w:rsidP="005E17D7">
      <w:r>
        <w:t xml:space="preserve">We can deliver the </w:t>
      </w:r>
      <w:r w:rsidR="00CA2C29">
        <w:t>Mark II</w:t>
      </w:r>
      <w:r>
        <w:t xml:space="preserve"> to EDC at a unit cost of £275</w:t>
      </w:r>
      <w:r w:rsidR="00704FCA">
        <w:t xml:space="preserve">, in line with the recent communication.  </w:t>
      </w:r>
      <w:r w:rsidR="00367317">
        <w:t xml:space="preserve">We understand that the last year has not always been smooth.  That’s why we the </w:t>
      </w:r>
      <w:r w:rsidR="00541058">
        <w:t xml:space="preserve">project plan for the </w:t>
      </w:r>
      <w:r w:rsidR="00CA2C29">
        <w:t>Mark II</w:t>
      </w:r>
      <w:r w:rsidR="00541058">
        <w:t xml:space="preserve"> adopts an Agile approach with more frequent communication, parti</w:t>
      </w:r>
      <w:r w:rsidR="004C389F">
        <w:t>cularly for Will and Colin to retain confidence in this joint venture.</w:t>
      </w:r>
    </w:p>
    <w:p w14:paraId="21CB948A" w14:textId="63264B30" w:rsidR="004C389F" w:rsidRDefault="0099274F" w:rsidP="005E17D7">
      <w:r>
        <w:t xml:space="preserve">In the spirit of cooperation and collaboration, </w:t>
      </w:r>
      <w:r w:rsidR="005C5A15">
        <w:t xml:space="preserve">if EDC agree to the production of the Synputer </w:t>
      </w:r>
      <w:r w:rsidR="00CA2C29">
        <w:t>Mark II</w:t>
      </w:r>
      <w:r w:rsidR="005C5A15">
        <w:t>, we would offer a discount on the 2000 Synputer Mark</w:t>
      </w:r>
      <w:r w:rsidR="00844DB3">
        <w:t xml:space="preserve"> </w:t>
      </w:r>
      <w:r w:rsidR="005C5A15">
        <w:t xml:space="preserve">I PCs </w:t>
      </w:r>
      <w:r w:rsidR="0066719A">
        <w:t>at £230 per unit.</w:t>
      </w:r>
    </w:p>
    <w:p w14:paraId="270703E3" w14:textId="38FF8522" w:rsidR="00A2060A" w:rsidRDefault="00A2060A" w:rsidP="005E17D7">
      <w:r>
        <w:t xml:space="preserve">We look forward to continuing </w:t>
      </w:r>
      <w:r w:rsidR="00126790">
        <w:t>the EDC-Synful partnership and delivering tomorrow’s technology today.</w:t>
      </w:r>
    </w:p>
    <w:p w14:paraId="0C93E738" w14:textId="580BA74F" w:rsidR="005A5E5A" w:rsidRDefault="005A5E5A" w:rsidP="005A5E5A">
      <w:pPr>
        <w:pStyle w:val="Heading3"/>
      </w:pPr>
      <w:r>
        <w:t xml:space="preserve">References </w:t>
      </w:r>
    </w:p>
    <w:p w14:paraId="327C2E3A" w14:textId="30B20B52" w:rsidR="00DC1FD7" w:rsidRDefault="00DC1FD7" w:rsidP="00E62DE1">
      <w:r w:rsidRPr="00DC1FD7">
        <w:t xml:space="preserve">Anton, G. and </w:t>
      </w:r>
      <w:proofErr w:type="spellStart"/>
      <w:r w:rsidRPr="00DC1FD7">
        <w:t>Nucu</w:t>
      </w:r>
      <w:proofErr w:type="spellEnd"/>
      <w:r w:rsidRPr="00DC1FD7">
        <w:t xml:space="preserve">, A. (2020) 'Enterprise Risk Management: A Literature Review and Agenda for Future Research', </w:t>
      </w:r>
      <w:r w:rsidRPr="00837B5A">
        <w:rPr>
          <w:i/>
          <w:iCs/>
        </w:rPr>
        <w:t>Journal of Risk and Financial Management</w:t>
      </w:r>
      <w:r w:rsidRPr="00DC1FD7">
        <w:t>, 13(11), pp. 281.</w:t>
      </w:r>
    </w:p>
    <w:p w14:paraId="6A27D4B1" w14:textId="61062B07" w:rsidR="0098398E" w:rsidRDefault="007C6425" w:rsidP="00E62DE1">
      <w:r w:rsidRPr="00802AC7">
        <w:t>Dur</w:t>
      </w:r>
      <w:r w:rsidR="00802AC7" w:rsidRPr="00802AC7">
        <w:t>ham, D and Michel C</w:t>
      </w:r>
      <w:r w:rsidR="005661D3">
        <w:t>.</w:t>
      </w:r>
      <w:r w:rsidR="00802AC7" w:rsidRPr="00802AC7">
        <w:t xml:space="preserve"> </w:t>
      </w:r>
      <w:r w:rsidR="005661D3">
        <w:t xml:space="preserve">(2021) </w:t>
      </w:r>
      <w:r w:rsidR="00802AC7" w:rsidRPr="000C441D">
        <w:rPr>
          <w:i/>
          <w:iCs/>
        </w:rPr>
        <w:t xml:space="preserve">Lean Software Systems </w:t>
      </w:r>
      <w:r w:rsidR="008B1F5E" w:rsidRPr="000C441D">
        <w:rPr>
          <w:i/>
          <w:iCs/>
        </w:rPr>
        <w:t>Engineering</w:t>
      </w:r>
      <w:r w:rsidR="00802AC7" w:rsidRPr="000C441D">
        <w:rPr>
          <w:i/>
          <w:iCs/>
        </w:rPr>
        <w:t xml:space="preserve"> for Developer</w:t>
      </w:r>
      <w:r w:rsidR="000C441D">
        <w:rPr>
          <w:i/>
          <w:iCs/>
        </w:rPr>
        <w:t>.</w:t>
      </w:r>
      <w:r w:rsidR="005E2594">
        <w:t xml:space="preserve"> </w:t>
      </w:r>
      <w:proofErr w:type="spellStart"/>
      <w:r w:rsidR="005E2594">
        <w:t>Lincl</w:t>
      </w:r>
      <w:r w:rsidR="006A14F3">
        <w:t>oln</w:t>
      </w:r>
      <w:proofErr w:type="spellEnd"/>
      <w:r w:rsidR="006A14F3">
        <w:t xml:space="preserve">: </w:t>
      </w:r>
      <w:proofErr w:type="spellStart"/>
      <w:r w:rsidR="006A14F3">
        <w:t>A</w:t>
      </w:r>
      <w:r w:rsidR="00DF0F45">
        <w:t>press</w:t>
      </w:r>
      <w:proofErr w:type="spellEnd"/>
      <w:r w:rsidR="00DE3BF4">
        <w:t>.</w:t>
      </w:r>
    </w:p>
    <w:p w14:paraId="6C32BB6C" w14:textId="1041DBFC" w:rsidR="008F54BE" w:rsidRDefault="0098398E" w:rsidP="008F54BE">
      <w:r>
        <w:t xml:space="preserve">Edwards, B. (2021) </w:t>
      </w:r>
      <w:r w:rsidR="008F54BE" w:rsidRPr="008F54BE">
        <w:rPr>
          <w:i/>
          <w:iCs/>
        </w:rPr>
        <w:t>The Golden Age of IBM PCs</w:t>
      </w:r>
      <w:r w:rsidR="008F54BE">
        <w:t xml:space="preserve">. Available at: </w:t>
      </w:r>
      <w:hyperlink r:id="rId15" w:history="1">
        <w:r w:rsidR="008F54BE" w:rsidRPr="0008039F">
          <w:rPr>
            <w:rStyle w:val="Hyperlink"/>
          </w:rPr>
          <w:t xml:space="preserve">The Golden Age </w:t>
        </w:r>
        <w:r w:rsidR="008F54BE" w:rsidRPr="0008039F">
          <w:rPr>
            <w:rStyle w:val="Hyperlink"/>
          </w:rPr>
          <w:t>o</w:t>
        </w:r>
        <w:r w:rsidR="008F54BE" w:rsidRPr="0008039F">
          <w:rPr>
            <w:rStyle w:val="Hyperlink"/>
          </w:rPr>
          <w:t>f IBM PCs</w:t>
        </w:r>
      </w:hyperlink>
      <w:r w:rsidR="008F54BE">
        <w:t xml:space="preserve"> </w:t>
      </w:r>
      <w:r w:rsidR="008F54BE">
        <w:t>(Accessed: 14 July 2025)</w:t>
      </w:r>
      <w:r w:rsidR="00B61D92">
        <w:t>.</w:t>
      </w:r>
    </w:p>
    <w:p w14:paraId="2F389ADD" w14:textId="49A11C33" w:rsidR="00E62DE1" w:rsidRPr="00BF1BAF" w:rsidRDefault="00E62DE1" w:rsidP="00E62DE1">
      <w:r>
        <w:t xml:space="preserve">Elmore, J. (2025) </w:t>
      </w:r>
      <w:r w:rsidRPr="00E62DE1">
        <w:rPr>
          <w:i/>
          <w:iCs/>
        </w:rPr>
        <w:t xml:space="preserve">The Rise and Fall of Betamax: </w:t>
      </w:r>
      <w:r w:rsidR="008B1F5E" w:rsidRPr="00E62DE1">
        <w:rPr>
          <w:i/>
          <w:iCs/>
        </w:rPr>
        <w:t>Unravelling</w:t>
      </w:r>
      <w:r w:rsidRPr="00E62DE1">
        <w:rPr>
          <w:i/>
          <w:iCs/>
        </w:rPr>
        <w:t xml:space="preserve"> the Mystery Behind Sony’s Failed Format</w:t>
      </w:r>
      <w:r w:rsidR="00BF1BAF">
        <w:t>.  Avail</w:t>
      </w:r>
      <w:r w:rsidR="0016712B">
        <w:t xml:space="preserve">able at: </w:t>
      </w:r>
      <w:hyperlink r:id="rId16" w:history="1">
        <w:r w:rsidR="0016712B" w:rsidRPr="0016712B">
          <w:rPr>
            <w:rStyle w:val="Hyperlink"/>
          </w:rPr>
          <w:t xml:space="preserve">The Rise and Fall of Betamax: </w:t>
        </w:r>
        <w:proofErr w:type="spellStart"/>
        <w:r w:rsidR="0016712B" w:rsidRPr="0016712B">
          <w:rPr>
            <w:rStyle w:val="Hyperlink"/>
          </w:rPr>
          <w:t>Unraveling</w:t>
        </w:r>
        <w:proofErr w:type="spellEnd"/>
        <w:r w:rsidR="0016712B" w:rsidRPr="0016712B">
          <w:rPr>
            <w:rStyle w:val="Hyperlink"/>
          </w:rPr>
          <w:t xml:space="preserve"> the Mystery Behind Sony's Failed Format</w:t>
        </w:r>
      </w:hyperlink>
      <w:r w:rsidR="0016712B">
        <w:t xml:space="preserve"> (A</w:t>
      </w:r>
      <w:r w:rsidR="00CB00F9">
        <w:t>ccessed: 14 July 2025)</w:t>
      </w:r>
      <w:r w:rsidR="00B61D92">
        <w:t>.</w:t>
      </w:r>
    </w:p>
    <w:p w14:paraId="6018F6B2" w14:textId="2E0741A3" w:rsidR="004D0EF9" w:rsidRPr="006B17B9" w:rsidRDefault="00B61D92" w:rsidP="004D0EF9">
      <w:r>
        <w:t>Grimwood, A. (2022)</w:t>
      </w:r>
      <w:r w:rsidR="004D0EF9">
        <w:t xml:space="preserve"> </w:t>
      </w:r>
      <w:r w:rsidR="004D0EF9" w:rsidRPr="004D0EF9">
        <w:rPr>
          <w:i/>
          <w:iCs/>
        </w:rPr>
        <w:t>How to resolve a contractual dispute</w:t>
      </w:r>
      <w:r w:rsidR="004D0EF9">
        <w:t xml:space="preserve">.  Available at: </w:t>
      </w:r>
      <w:hyperlink r:id="rId17" w:history="1">
        <w:r w:rsidR="004D0EF9" w:rsidRPr="003A642B">
          <w:rPr>
            <w:rStyle w:val="Hyperlink"/>
          </w:rPr>
          <w:t>FSB | How to resolve a contractual dispute</w:t>
        </w:r>
      </w:hyperlink>
      <w:r w:rsidR="004D0EF9">
        <w:t xml:space="preserve"> </w:t>
      </w:r>
      <w:r w:rsidR="004D0EF9">
        <w:t>(Accessed: 14 July 2025).</w:t>
      </w:r>
    </w:p>
    <w:p w14:paraId="5905F448" w14:textId="211165FA" w:rsidR="00924E8B" w:rsidRPr="0082378E" w:rsidRDefault="0059477F" w:rsidP="00924E8B">
      <w:r>
        <w:t xml:space="preserve">Jadeja, R, </w:t>
      </w:r>
      <w:r w:rsidR="00265CB5">
        <w:t>Misra</w:t>
      </w:r>
      <w:r w:rsidR="00043918">
        <w:t xml:space="preserve">, S, </w:t>
      </w:r>
      <w:r>
        <w:t>and  Mittal</w:t>
      </w:r>
      <w:r w:rsidR="00043918">
        <w:t>, M</w:t>
      </w:r>
      <w:r>
        <w:t>.</w:t>
      </w:r>
      <w:r w:rsidR="00924E8B">
        <w:t xml:space="preserve"> (2024) </w:t>
      </w:r>
      <w:r w:rsidR="00924E8B" w:rsidRPr="00924E8B">
        <w:rPr>
          <w:i/>
          <w:iCs/>
        </w:rPr>
        <w:t>Practical Approaches to Agile Project Management</w:t>
      </w:r>
      <w:r w:rsidR="0082378E">
        <w:rPr>
          <w:i/>
          <w:iCs/>
        </w:rPr>
        <w:t xml:space="preserve">. </w:t>
      </w:r>
      <w:r w:rsidR="0082378E">
        <w:t>New York: IGI Global</w:t>
      </w:r>
      <w:r w:rsidR="00496DDB">
        <w:t>.</w:t>
      </w:r>
    </w:p>
    <w:p w14:paraId="75C86ED8" w14:textId="418EDF18" w:rsidR="00ED146D" w:rsidRDefault="00ED146D" w:rsidP="005E17D7">
      <w:r w:rsidRPr="00ED146D">
        <w:t>Mittal, R. and Singh, V. (2021) 'Risk Analysis in Software Cost Estimation: A Simulation-Based Approach', </w:t>
      </w:r>
      <w:r w:rsidRPr="00ED146D">
        <w:rPr>
          <w:i/>
          <w:iCs/>
        </w:rPr>
        <w:t>Turkish Journal of Computer and Mathematics Education</w:t>
      </w:r>
      <w:r w:rsidRPr="00ED146D">
        <w:t>, 12(6), pp. 2176–2183</w:t>
      </w:r>
      <w:r w:rsidR="00496DDB">
        <w:t>.</w:t>
      </w:r>
    </w:p>
    <w:p w14:paraId="5655F475" w14:textId="6C80A541" w:rsidR="00A732D6" w:rsidRDefault="00A732D6" w:rsidP="005E17D7">
      <w:r>
        <w:t>Olmsted, O</w:t>
      </w:r>
      <w:r w:rsidR="000F748D">
        <w:t>.</w:t>
      </w:r>
      <w:r>
        <w:t xml:space="preserve"> (</w:t>
      </w:r>
      <w:r w:rsidR="000F748D">
        <w:t xml:space="preserve">2024) </w:t>
      </w:r>
      <w:r w:rsidR="000F748D">
        <w:rPr>
          <w:i/>
          <w:iCs/>
        </w:rPr>
        <w:t>Security-Driven Software Development</w:t>
      </w:r>
      <w:r w:rsidR="00DE3BF4">
        <w:rPr>
          <w:i/>
          <w:iCs/>
        </w:rPr>
        <w:t>.</w:t>
      </w:r>
      <w:r w:rsidR="00DE3BF4">
        <w:t xml:space="preserve"> Birmingham: Pack Publishing Ltd.</w:t>
      </w:r>
    </w:p>
    <w:p w14:paraId="760B62B1" w14:textId="4639F929" w:rsidR="00F712BF" w:rsidRDefault="0061060D" w:rsidP="005E17D7">
      <w:proofErr w:type="spellStart"/>
      <w:r>
        <w:lastRenderedPageBreak/>
        <w:t>Uzzafer</w:t>
      </w:r>
      <w:proofErr w:type="spellEnd"/>
      <w:r>
        <w:t>, M</w:t>
      </w:r>
      <w:r w:rsidR="003637FA">
        <w:t>. (2023). ‘</w:t>
      </w:r>
      <w:r w:rsidR="003637FA" w:rsidRPr="003637FA">
        <w:t>Strategic Management Of Software Projects: Cost, Risk, Contingency, Budget And Schedule</w:t>
      </w:r>
      <w:r w:rsidR="003637FA">
        <w:t>’</w:t>
      </w:r>
      <w:r w:rsidR="00C65CE6">
        <w:t xml:space="preserve">, </w:t>
      </w:r>
      <w:r w:rsidR="00C65CE6" w:rsidRPr="00C65CE6">
        <w:rPr>
          <w:i/>
          <w:iCs/>
        </w:rPr>
        <w:t>International Journal of Engineering Technology Research &amp; Management</w:t>
      </w:r>
      <w:r w:rsidR="00B34D64">
        <w:rPr>
          <w:i/>
          <w:iCs/>
        </w:rPr>
        <w:t xml:space="preserve">, </w:t>
      </w:r>
      <w:r w:rsidR="00B34D64" w:rsidRPr="00B34D64">
        <w:t>07(3), pp.178</w:t>
      </w:r>
      <w:r w:rsidR="00B34D64">
        <w:t>-</w:t>
      </w:r>
      <w:r w:rsidR="00496DDB">
        <w:t>219.</w:t>
      </w:r>
    </w:p>
    <w:p w14:paraId="3918619A" w14:textId="77777777" w:rsidR="00F712BF" w:rsidRDefault="00F712BF">
      <w:r>
        <w:br w:type="page"/>
      </w:r>
    </w:p>
    <w:p w14:paraId="23C46003" w14:textId="77777777" w:rsidR="00F712BF" w:rsidRDefault="00F712BF" w:rsidP="005E17D7">
      <w:pPr>
        <w:sectPr w:rsidR="00F712BF">
          <w:footerReference w:type="defaul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809752" w14:textId="3092E302" w:rsidR="0061060D" w:rsidRDefault="00612402" w:rsidP="00C23C65">
      <w:pPr>
        <w:pStyle w:val="Heading2"/>
        <w:jc w:val="center"/>
        <w:rPr>
          <w:sz w:val="28"/>
          <w:szCs w:val="28"/>
          <w:lang w:val="fr-FR"/>
        </w:rPr>
      </w:pPr>
      <w:r w:rsidRPr="00C23C65">
        <w:rPr>
          <w:sz w:val="28"/>
          <w:szCs w:val="28"/>
          <w:lang w:val="fr-FR"/>
        </w:rPr>
        <w:lastRenderedPageBreak/>
        <w:t>Appendix A – Gantt Chart</w:t>
      </w:r>
      <w:r w:rsidR="007701FD" w:rsidRPr="00C23C65">
        <w:rPr>
          <w:sz w:val="28"/>
          <w:szCs w:val="28"/>
          <w:lang w:val="fr-FR"/>
        </w:rPr>
        <w:t xml:space="preserve">: </w:t>
      </w:r>
      <w:proofErr w:type="spellStart"/>
      <w:r w:rsidR="007701FD" w:rsidRPr="00C23C65">
        <w:rPr>
          <w:sz w:val="28"/>
          <w:szCs w:val="28"/>
          <w:lang w:val="fr-FR"/>
        </w:rPr>
        <w:t>Synputer</w:t>
      </w:r>
      <w:proofErr w:type="spellEnd"/>
      <w:r w:rsidR="007701FD" w:rsidRPr="00C23C65">
        <w:rPr>
          <w:sz w:val="28"/>
          <w:szCs w:val="28"/>
          <w:lang w:val="fr-FR"/>
        </w:rPr>
        <w:t xml:space="preserve"> </w:t>
      </w:r>
      <w:r w:rsidR="00CA2C29">
        <w:rPr>
          <w:sz w:val="28"/>
          <w:szCs w:val="28"/>
          <w:lang w:val="fr-FR"/>
        </w:rPr>
        <w:t>Mark II</w:t>
      </w:r>
    </w:p>
    <w:p w14:paraId="6EA89FBA" w14:textId="7871C356" w:rsidR="00C23C65" w:rsidRPr="00C23C65" w:rsidRDefault="00C23C65" w:rsidP="00C23C65">
      <w:r w:rsidRPr="00C23C65">
        <w:t>The Gantt Chart was c</w:t>
      </w:r>
      <w:r>
        <w:t xml:space="preserve">reated </w:t>
      </w:r>
      <w:r w:rsidR="00907B89">
        <w:t>using the Lucid online app and can also be viewed at</w:t>
      </w:r>
      <w:r w:rsidR="00E65929">
        <w:t xml:space="preserve"> </w:t>
      </w:r>
      <w:hyperlink r:id="rId19" w:history="1">
        <w:r w:rsidR="00E65929" w:rsidRPr="00E65929">
          <w:rPr>
            <w:rStyle w:val="Hyperlink"/>
          </w:rPr>
          <w:t>Synputer Mark II</w:t>
        </w:r>
      </w:hyperlink>
      <w:r w:rsidR="00E65929">
        <w:t>.</w:t>
      </w:r>
      <w:r w:rsidR="00907B89">
        <w:t xml:space="preserve"> </w:t>
      </w:r>
    </w:p>
    <w:p w14:paraId="21746600" w14:textId="1BB83F93" w:rsidR="00612402" w:rsidRPr="007701FD" w:rsidRDefault="007701FD" w:rsidP="005E17D7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66BBD0D" wp14:editId="41140977">
            <wp:extent cx="8863330" cy="3235960"/>
            <wp:effectExtent l="0" t="0" r="0" b="0"/>
            <wp:docPr id="729050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50496" name="Picture 1" descr="A screenshot of a computer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402" w:rsidRPr="007701FD" w:rsidSect="00F712B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36EAC" w14:textId="77777777" w:rsidR="00132E40" w:rsidRDefault="00132E40" w:rsidP="00740DE1">
      <w:pPr>
        <w:spacing w:after="0" w:line="240" w:lineRule="auto"/>
      </w:pPr>
      <w:r>
        <w:separator/>
      </w:r>
    </w:p>
  </w:endnote>
  <w:endnote w:type="continuationSeparator" w:id="0">
    <w:p w14:paraId="4E540F8B" w14:textId="77777777" w:rsidR="00132E40" w:rsidRDefault="00132E40" w:rsidP="00740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48541330"/>
      <w:docPartObj>
        <w:docPartGallery w:val="Page Numbers (Bottom of Page)"/>
        <w:docPartUnique/>
      </w:docPartObj>
    </w:sdtPr>
    <w:sdtEndPr/>
    <w:sdtContent>
      <w:p w14:paraId="22EED7D1" w14:textId="77777777" w:rsidR="00130A85" w:rsidRDefault="00130A85" w:rsidP="00566449">
        <w:pPr>
          <w:pStyle w:val="Footer"/>
          <w:jc w:val="right"/>
        </w:pPr>
      </w:p>
      <w:tbl>
        <w:tblPr>
          <w:tblStyle w:val="TableGrid"/>
          <w:tblW w:w="5000" w:type="pct"/>
          <w:tblBorders>
            <w:top w:val="single" w:sz="12" w:space="0" w:color="156082" w:themeColor="accen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091"/>
          <w:gridCol w:w="1935"/>
        </w:tblGrid>
        <w:tr w:rsidR="00E56F56" w14:paraId="3315FBE4" w14:textId="77777777" w:rsidTr="00DA4F38">
          <w:tc>
            <w:tcPr>
              <w:tcW w:w="3928" w:type="pct"/>
            </w:tcPr>
            <w:p w14:paraId="12823C13" w14:textId="7893D3B3" w:rsidR="00E56F56" w:rsidRDefault="00E56F56" w:rsidP="00E56F56">
              <w:pPr>
                <w:pStyle w:val="Footer"/>
              </w:pPr>
              <w:r w:rsidRPr="00130A85">
                <w:rPr>
                  <w:color w:val="156082" w:themeColor="accent1"/>
                </w:rPr>
                <w:t>Synputer Mark II</w:t>
              </w:r>
              <w:r w:rsidRPr="00130A85">
                <w:t xml:space="preserve"> </w:t>
              </w:r>
              <w:r w:rsidRPr="00130A85">
                <w:rPr>
                  <w:color w:val="D9D9D9" w:themeColor="background1" w:themeShade="D9"/>
                </w:rPr>
                <w:t>|</w:t>
              </w:r>
              <w:r w:rsidRPr="00130A85">
                <w:t xml:space="preserve"> </w:t>
              </w:r>
              <w:r w:rsidRPr="00130A85">
                <w:rPr>
                  <w:i/>
                  <w:iCs/>
                  <w:color w:val="747474" w:themeColor="background2" w:themeShade="80"/>
                </w:rPr>
                <w:t>Tomorrow’s Technology Today</w:t>
              </w:r>
            </w:p>
          </w:tc>
          <w:tc>
            <w:tcPr>
              <w:tcW w:w="1072" w:type="pct"/>
            </w:tcPr>
            <w:p w14:paraId="294765B8" w14:textId="17C8EE68" w:rsidR="00E56F56" w:rsidRDefault="00E56F56" w:rsidP="00E56F56">
              <w:pPr>
                <w:pStyle w:val="Footer"/>
                <w:jc w:val="right"/>
              </w:pPr>
              <w:r>
                <w:t xml:space="preserve">Page | </w:t>
              </w:r>
              <w:r w:rsidRPr="00566449">
                <w:rPr>
                  <w:color w:val="156082" w:themeColor="accent1"/>
                </w:rPr>
                <w:fldChar w:fldCharType="begin"/>
              </w:r>
              <w:r w:rsidRPr="00566449">
                <w:rPr>
                  <w:color w:val="156082" w:themeColor="accent1"/>
                </w:rPr>
                <w:instrText xml:space="preserve"> PAGE   \* MERGEFORMAT </w:instrText>
              </w:r>
              <w:r w:rsidRPr="00566449">
                <w:rPr>
                  <w:color w:val="156082" w:themeColor="accent1"/>
                </w:rPr>
                <w:fldChar w:fldCharType="separate"/>
              </w:r>
              <w:r>
                <w:rPr>
                  <w:color w:val="156082" w:themeColor="accent1"/>
                </w:rPr>
                <w:t>1</w:t>
              </w:r>
              <w:r w:rsidRPr="00566449">
                <w:rPr>
                  <w:noProof/>
                  <w:color w:val="156082" w:themeColor="accent1"/>
                </w:rPr>
                <w:fldChar w:fldCharType="end"/>
              </w:r>
            </w:p>
          </w:tc>
        </w:tr>
      </w:tbl>
    </w:sdtContent>
  </w:sdt>
  <w:p w14:paraId="08558E50" w14:textId="75EB3ABB" w:rsidR="00740DE1" w:rsidRDefault="00740DE1" w:rsidP="00E56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6C58B" w14:textId="77777777" w:rsidR="00132E40" w:rsidRDefault="00132E40" w:rsidP="00740DE1">
      <w:pPr>
        <w:spacing w:after="0" w:line="240" w:lineRule="auto"/>
      </w:pPr>
      <w:r>
        <w:separator/>
      </w:r>
    </w:p>
  </w:footnote>
  <w:footnote w:type="continuationSeparator" w:id="0">
    <w:p w14:paraId="4A808895" w14:textId="77777777" w:rsidR="00132E40" w:rsidRDefault="00132E40" w:rsidP="00740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34F8B"/>
    <w:multiLevelType w:val="hybridMultilevel"/>
    <w:tmpl w:val="7584B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B7B28"/>
    <w:multiLevelType w:val="hybridMultilevel"/>
    <w:tmpl w:val="1A2A41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422920"/>
    <w:multiLevelType w:val="hybridMultilevel"/>
    <w:tmpl w:val="B1D60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E4A4F"/>
    <w:multiLevelType w:val="hybridMultilevel"/>
    <w:tmpl w:val="E45E9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54651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51443372">
    <w:abstractNumId w:val="1"/>
  </w:num>
  <w:num w:numId="3" w16cid:durableId="1221358790">
    <w:abstractNumId w:val="0"/>
  </w:num>
  <w:num w:numId="4" w16cid:durableId="2003000344">
    <w:abstractNumId w:val="2"/>
  </w:num>
  <w:num w:numId="5" w16cid:durableId="951743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BC"/>
    <w:rsid w:val="00000196"/>
    <w:rsid w:val="0000588F"/>
    <w:rsid w:val="0000696C"/>
    <w:rsid w:val="0001492B"/>
    <w:rsid w:val="0001579A"/>
    <w:rsid w:val="00026B6C"/>
    <w:rsid w:val="00027963"/>
    <w:rsid w:val="00043918"/>
    <w:rsid w:val="00061CBE"/>
    <w:rsid w:val="00065A1F"/>
    <w:rsid w:val="000712ED"/>
    <w:rsid w:val="0008039F"/>
    <w:rsid w:val="00081140"/>
    <w:rsid w:val="00095896"/>
    <w:rsid w:val="0009741E"/>
    <w:rsid w:val="000C07AE"/>
    <w:rsid w:val="000C2B77"/>
    <w:rsid w:val="000C441D"/>
    <w:rsid w:val="000D08E1"/>
    <w:rsid w:val="000E7AF6"/>
    <w:rsid w:val="000F6305"/>
    <w:rsid w:val="000F748D"/>
    <w:rsid w:val="00101C62"/>
    <w:rsid w:val="00104B08"/>
    <w:rsid w:val="001054FE"/>
    <w:rsid w:val="00107128"/>
    <w:rsid w:val="001140AA"/>
    <w:rsid w:val="00117F89"/>
    <w:rsid w:val="0012041C"/>
    <w:rsid w:val="00120901"/>
    <w:rsid w:val="00126790"/>
    <w:rsid w:val="00126EDE"/>
    <w:rsid w:val="00130A85"/>
    <w:rsid w:val="00132E40"/>
    <w:rsid w:val="00143A63"/>
    <w:rsid w:val="00155A4A"/>
    <w:rsid w:val="0016712B"/>
    <w:rsid w:val="00173368"/>
    <w:rsid w:val="0018258A"/>
    <w:rsid w:val="00184A5D"/>
    <w:rsid w:val="0019024A"/>
    <w:rsid w:val="00197492"/>
    <w:rsid w:val="00197E91"/>
    <w:rsid w:val="001A5113"/>
    <w:rsid w:val="001B3E4C"/>
    <w:rsid w:val="001B44C7"/>
    <w:rsid w:val="001D1F12"/>
    <w:rsid w:val="001F009F"/>
    <w:rsid w:val="001F7F91"/>
    <w:rsid w:val="002177CF"/>
    <w:rsid w:val="00220E37"/>
    <w:rsid w:val="00221926"/>
    <w:rsid w:val="00254225"/>
    <w:rsid w:val="00265CB5"/>
    <w:rsid w:val="00272C1E"/>
    <w:rsid w:val="002751E2"/>
    <w:rsid w:val="00276F39"/>
    <w:rsid w:val="0028073F"/>
    <w:rsid w:val="00291BCD"/>
    <w:rsid w:val="00296D09"/>
    <w:rsid w:val="002A11B2"/>
    <w:rsid w:val="002A2CC4"/>
    <w:rsid w:val="002B0216"/>
    <w:rsid w:val="002B744B"/>
    <w:rsid w:val="002C0488"/>
    <w:rsid w:val="002C3994"/>
    <w:rsid w:val="002D0637"/>
    <w:rsid w:val="002D5C2C"/>
    <w:rsid w:val="002E38D4"/>
    <w:rsid w:val="002E68C0"/>
    <w:rsid w:val="002F0E5D"/>
    <w:rsid w:val="0031130D"/>
    <w:rsid w:val="00314C98"/>
    <w:rsid w:val="00321F83"/>
    <w:rsid w:val="0032618D"/>
    <w:rsid w:val="00344CB8"/>
    <w:rsid w:val="003536E4"/>
    <w:rsid w:val="00353D09"/>
    <w:rsid w:val="0035455A"/>
    <w:rsid w:val="003637FA"/>
    <w:rsid w:val="00367317"/>
    <w:rsid w:val="00385296"/>
    <w:rsid w:val="00391A78"/>
    <w:rsid w:val="0039356F"/>
    <w:rsid w:val="0039563B"/>
    <w:rsid w:val="003A12A6"/>
    <w:rsid w:val="003A39FD"/>
    <w:rsid w:val="003A3CB5"/>
    <w:rsid w:val="003A642B"/>
    <w:rsid w:val="003B2292"/>
    <w:rsid w:val="003C64EF"/>
    <w:rsid w:val="003D255F"/>
    <w:rsid w:val="003E2047"/>
    <w:rsid w:val="003E35DF"/>
    <w:rsid w:val="003F143F"/>
    <w:rsid w:val="004100F0"/>
    <w:rsid w:val="004206B4"/>
    <w:rsid w:val="00420B5A"/>
    <w:rsid w:val="004245DE"/>
    <w:rsid w:val="00427B4A"/>
    <w:rsid w:val="0043069B"/>
    <w:rsid w:val="00446C5A"/>
    <w:rsid w:val="00460691"/>
    <w:rsid w:val="0048223B"/>
    <w:rsid w:val="00483210"/>
    <w:rsid w:val="00494E8C"/>
    <w:rsid w:val="00496DDB"/>
    <w:rsid w:val="004A4AA9"/>
    <w:rsid w:val="004A6A0D"/>
    <w:rsid w:val="004C15D1"/>
    <w:rsid w:val="004C29C4"/>
    <w:rsid w:val="004C389F"/>
    <w:rsid w:val="004C5D9C"/>
    <w:rsid w:val="004D0EF9"/>
    <w:rsid w:val="004D6B13"/>
    <w:rsid w:val="004F5367"/>
    <w:rsid w:val="004F738E"/>
    <w:rsid w:val="005071D2"/>
    <w:rsid w:val="00513250"/>
    <w:rsid w:val="005134BB"/>
    <w:rsid w:val="00514B24"/>
    <w:rsid w:val="00522316"/>
    <w:rsid w:val="005272D9"/>
    <w:rsid w:val="00527D2C"/>
    <w:rsid w:val="00537617"/>
    <w:rsid w:val="00541058"/>
    <w:rsid w:val="00545487"/>
    <w:rsid w:val="00545D79"/>
    <w:rsid w:val="005461FA"/>
    <w:rsid w:val="005636AE"/>
    <w:rsid w:val="005661D3"/>
    <w:rsid w:val="00566449"/>
    <w:rsid w:val="00566806"/>
    <w:rsid w:val="00573766"/>
    <w:rsid w:val="00573858"/>
    <w:rsid w:val="00576F00"/>
    <w:rsid w:val="005776AE"/>
    <w:rsid w:val="005910CB"/>
    <w:rsid w:val="00592CE9"/>
    <w:rsid w:val="0059477F"/>
    <w:rsid w:val="0059526B"/>
    <w:rsid w:val="005A5E5A"/>
    <w:rsid w:val="005B0096"/>
    <w:rsid w:val="005C5A15"/>
    <w:rsid w:val="005D0A27"/>
    <w:rsid w:val="005D6BF1"/>
    <w:rsid w:val="005E17D7"/>
    <w:rsid w:val="005E2594"/>
    <w:rsid w:val="005E4705"/>
    <w:rsid w:val="005E564E"/>
    <w:rsid w:val="005F6499"/>
    <w:rsid w:val="006102E4"/>
    <w:rsid w:val="0061060D"/>
    <w:rsid w:val="00610B1B"/>
    <w:rsid w:val="00610EB4"/>
    <w:rsid w:val="0061114F"/>
    <w:rsid w:val="00612402"/>
    <w:rsid w:val="00616617"/>
    <w:rsid w:val="00620795"/>
    <w:rsid w:val="0062164A"/>
    <w:rsid w:val="00622D76"/>
    <w:rsid w:val="00623E2F"/>
    <w:rsid w:val="00624E2B"/>
    <w:rsid w:val="006327C3"/>
    <w:rsid w:val="00637D23"/>
    <w:rsid w:val="006435E2"/>
    <w:rsid w:val="00644523"/>
    <w:rsid w:val="0066719A"/>
    <w:rsid w:val="00671900"/>
    <w:rsid w:val="00673977"/>
    <w:rsid w:val="00681E29"/>
    <w:rsid w:val="00686173"/>
    <w:rsid w:val="00691006"/>
    <w:rsid w:val="00693457"/>
    <w:rsid w:val="006A14F3"/>
    <w:rsid w:val="006A36DC"/>
    <w:rsid w:val="006B17B9"/>
    <w:rsid w:val="006C6799"/>
    <w:rsid w:val="006D0E01"/>
    <w:rsid w:val="006D0EF8"/>
    <w:rsid w:val="006D76AD"/>
    <w:rsid w:val="006D793B"/>
    <w:rsid w:val="006E321E"/>
    <w:rsid w:val="00702012"/>
    <w:rsid w:val="00704FCA"/>
    <w:rsid w:val="00715CA8"/>
    <w:rsid w:val="00716420"/>
    <w:rsid w:val="007327F2"/>
    <w:rsid w:val="007379E2"/>
    <w:rsid w:val="00737FB2"/>
    <w:rsid w:val="00740DE1"/>
    <w:rsid w:val="00745811"/>
    <w:rsid w:val="00747DA7"/>
    <w:rsid w:val="0075398F"/>
    <w:rsid w:val="00753E66"/>
    <w:rsid w:val="00760E61"/>
    <w:rsid w:val="00763603"/>
    <w:rsid w:val="0076554B"/>
    <w:rsid w:val="007701FD"/>
    <w:rsid w:val="00771E9D"/>
    <w:rsid w:val="007746B3"/>
    <w:rsid w:val="00777555"/>
    <w:rsid w:val="00781CD3"/>
    <w:rsid w:val="00787DCA"/>
    <w:rsid w:val="00794EB4"/>
    <w:rsid w:val="007A4615"/>
    <w:rsid w:val="007B4550"/>
    <w:rsid w:val="007B59B2"/>
    <w:rsid w:val="007C6425"/>
    <w:rsid w:val="007D77C8"/>
    <w:rsid w:val="007E527F"/>
    <w:rsid w:val="007F250F"/>
    <w:rsid w:val="00802AC7"/>
    <w:rsid w:val="008109C9"/>
    <w:rsid w:val="00811FD6"/>
    <w:rsid w:val="00814A02"/>
    <w:rsid w:val="0081760A"/>
    <w:rsid w:val="008207A0"/>
    <w:rsid w:val="0082378E"/>
    <w:rsid w:val="00834089"/>
    <w:rsid w:val="0083748D"/>
    <w:rsid w:val="00837B5A"/>
    <w:rsid w:val="00844DB3"/>
    <w:rsid w:val="00845496"/>
    <w:rsid w:val="008464FE"/>
    <w:rsid w:val="008501E8"/>
    <w:rsid w:val="00855C13"/>
    <w:rsid w:val="00864D42"/>
    <w:rsid w:val="00871151"/>
    <w:rsid w:val="008735EC"/>
    <w:rsid w:val="008768E6"/>
    <w:rsid w:val="008866BF"/>
    <w:rsid w:val="008911A0"/>
    <w:rsid w:val="008A1C0F"/>
    <w:rsid w:val="008A2999"/>
    <w:rsid w:val="008A57A6"/>
    <w:rsid w:val="008B04A4"/>
    <w:rsid w:val="008B1F5E"/>
    <w:rsid w:val="008D42CB"/>
    <w:rsid w:val="008E22ED"/>
    <w:rsid w:val="008E6948"/>
    <w:rsid w:val="008F54BE"/>
    <w:rsid w:val="0090650F"/>
    <w:rsid w:val="00907B89"/>
    <w:rsid w:val="00907EE0"/>
    <w:rsid w:val="009133E1"/>
    <w:rsid w:val="00924E8B"/>
    <w:rsid w:val="00935093"/>
    <w:rsid w:val="0095191C"/>
    <w:rsid w:val="00954723"/>
    <w:rsid w:val="009556F5"/>
    <w:rsid w:val="00955E87"/>
    <w:rsid w:val="009708B0"/>
    <w:rsid w:val="00981E74"/>
    <w:rsid w:val="0098398E"/>
    <w:rsid w:val="00986BCD"/>
    <w:rsid w:val="00991C24"/>
    <w:rsid w:val="0099274F"/>
    <w:rsid w:val="00993221"/>
    <w:rsid w:val="00996E4B"/>
    <w:rsid w:val="009D00D4"/>
    <w:rsid w:val="009D627D"/>
    <w:rsid w:val="009E4ACE"/>
    <w:rsid w:val="009E4F3F"/>
    <w:rsid w:val="00A02DFB"/>
    <w:rsid w:val="00A03234"/>
    <w:rsid w:val="00A1257D"/>
    <w:rsid w:val="00A1397A"/>
    <w:rsid w:val="00A2060A"/>
    <w:rsid w:val="00A21F36"/>
    <w:rsid w:val="00A441D0"/>
    <w:rsid w:val="00A44603"/>
    <w:rsid w:val="00A45DAA"/>
    <w:rsid w:val="00A521D6"/>
    <w:rsid w:val="00A54BAB"/>
    <w:rsid w:val="00A6463F"/>
    <w:rsid w:val="00A71AFF"/>
    <w:rsid w:val="00A732D6"/>
    <w:rsid w:val="00A82A87"/>
    <w:rsid w:val="00A97DC9"/>
    <w:rsid w:val="00AA0080"/>
    <w:rsid w:val="00AC00EE"/>
    <w:rsid w:val="00AC0FA8"/>
    <w:rsid w:val="00AC6B82"/>
    <w:rsid w:val="00AD5CC8"/>
    <w:rsid w:val="00AE76FC"/>
    <w:rsid w:val="00AE79DB"/>
    <w:rsid w:val="00AF400F"/>
    <w:rsid w:val="00B122F5"/>
    <w:rsid w:val="00B12878"/>
    <w:rsid w:val="00B17596"/>
    <w:rsid w:val="00B26748"/>
    <w:rsid w:val="00B31742"/>
    <w:rsid w:val="00B34D64"/>
    <w:rsid w:val="00B371E4"/>
    <w:rsid w:val="00B40A43"/>
    <w:rsid w:val="00B46AA2"/>
    <w:rsid w:val="00B51044"/>
    <w:rsid w:val="00B53611"/>
    <w:rsid w:val="00B61D92"/>
    <w:rsid w:val="00B63719"/>
    <w:rsid w:val="00B66C4D"/>
    <w:rsid w:val="00B74304"/>
    <w:rsid w:val="00B76F17"/>
    <w:rsid w:val="00B82ECC"/>
    <w:rsid w:val="00BA1BD1"/>
    <w:rsid w:val="00BA574D"/>
    <w:rsid w:val="00BA6DA0"/>
    <w:rsid w:val="00BD2E0B"/>
    <w:rsid w:val="00BD4FAC"/>
    <w:rsid w:val="00BE099C"/>
    <w:rsid w:val="00BF1BAF"/>
    <w:rsid w:val="00BF484F"/>
    <w:rsid w:val="00BF734A"/>
    <w:rsid w:val="00C04CBC"/>
    <w:rsid w:val="00C07725"/>
    <w:rsid w:val="00C07EFF"/>
    <w:rsid w:val="00C1095D"/>
    <w:rsid w:val="00C212D3"/>
    <w:rsid w:val="00C23C65"/>
    <w:rsid w:val="00C35322"/>
    <w:rsid w:val="00C370D8"/>
    <w:rsid w:val="00C54240"/>
    <w:rsid w:val="00C65CE6"/>
    <w:rsid w:val="00C70027"/>
    <w:rsid w:val="00C71D17"/>
    <w:rsid w:val="00C73361"/>
    <w:rsid w:val="00C862D2"/>
    <w:rsid w:val="00C90FC7"/>
    <w:rsid w:val="00C93F29"/>
    <w:rsid w:val="00C96B81"/>
    <w:rsid w:val="00CA2789"/>
    <w:rsid w:val="00CA2C29"/>
    <w:rsid w:val="00CB00F9"/>
    <w:rsid w:val="00CB0B90"/>
    <w:rsid w:val="00CC2EFD"/>
    <w:rsid w:val="00CC37CD"/>
    <w:rsid w:val="00CD2ACD"/>
    <w:rsid w:val="00CF0E01"/>
    <w:rsid w:val="00D02A40"/>
    <w:rsid w:val="00D077AC"/>
    <w:rsid w:val="00D12B9B"/>
    <w:rsid w:val="00D25AEA"/>
    <w:rsid w:val="00D27485"/>
    <w:rsid w:val="00D3234C"/>
    <w:rsid w:val="00D40AC0"/>
    <w:rsid w:val="00D41B87"/>
    <w:rsid w:val="00D517E4"/>
    <w:rsid w:val="00D876E5"/>
    <w:rsid w:val="00DA4F38"/>
    <w:rsid w:val="00DA5ED4"/>
    <w:rsid w:val="00DB0B2D"/>
    <w:rsid w:val="00DB1A4A"/>
    <w:rsid w:val="00DB7C85"/>
    <w:rsid w:val="00DC18EE"/>
    <w:rsid w:val="00DC1FD7"/>
    <w:rsid w:val="00DD14BD"/>
    <w:rsid w:val="00DD21A2"/>
    <w:rsid w:val="00DD2355"/>
    <w:rsid w:val="00DD4E35"/>
    <w:rsid w:val="00DE11DB"/>
    <w:rsid w:val="00DE3BF4"/>
    <w:rsid w:val="00DF0F45"/>
    <w:rsid w:val="00E02854"/>
    <w:rsid w:val="00E043E4"/>
    <w:rsid w:val="00E04D92"/>
    <w:rsid w:val="00E07881"/>
    <w:rsid w:val="00E265AB"/>
    <w:rsid w:val="00E26C09"/>
    <w:rsid w:val="00E27786"/>
    <w:rsid w:val="00E30C8C"/>
    <w:rsid w:val="00E42026"/>
    <w:rsid w:val="00E56F56"/>
    <w:rsid w:val="00E60355"/>
    <w:rsid w:val="00E60369"/>
    <w:rsid w:val="00E60C6F"/>
    <w:rsid w:val="00E62DE1"/>
    <w:rsid w:val="00E65929"/>
    <w:rsid w:val="00E71A89"/>
    <w:rsid w:val="00E73B9C"/>
    <w:rsid w:val="00E74FA7"/>
    <w:rsid w:val="00E834D1"/>
    <w:rsid w:val="00E84865"/>
    <w:rsid w:val="00E9293A"/>
    <w:rsid w:val="00E96541"/>
    <w:rsid w:val="00E965DA"/>
    <w:rsid w:val="00EA4C7A"/>
    <w:rsid w:val="00EA6997"/>
    <w:rsid w:val="00EB2E33"/>
    <w:rsid w:val="00ED02B8"/>
    <w:rsid w:val="00ED146D"/>
    <w:rsid w:val="00EE2211"/>
    <w:rsid w:val="00EF1773"/>
    <w:rsid w:val="00EF2974"/>
    <w:rsid w:val="00F026B6"/>
    <w:rsid w:val="00F04584"/>
    <w:rsid w:val="00F0747B"/>
    <w:rsid w:val="00F14583"/>
    <w:rsid w:val="00F20817"/>
    <w:rsid w:val="00F20FAB"/>
    <w:rsid w:val="00F22035"/>
    <w:rsid w:val="00F228C1"/>
    <w:rsid w:val="00F712BF"/>
    <w:rsid w:val="00F72E4B"/>
    <w:rsid w:val="00F73DBF"/>
    <w:rsid w:val="00F748AB"/>
    <w:rsid w:val="00F879F1"/>
    <w:rsid w:val="00F92A5A"/>
    <w:rsid w:val="00FA4D4C"/>
    <w:rsid w:val="00FC2367"/>
    <w:rsid w:val="00FC4084"/>
    <w:rsid w:val="00FD4C1A"/>
    <w:rsid w:val="00FD4D1B"/>
    <w:rsid w:val="00FE11E8"/>
    <w:rsid w:val="00FE15E1"/>
    <w:rsid w:val="00FE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E30E5"/>
  <w15:chartTrackingRefBased/>
  <w15:docId w15:val="{EB85FE58-B3C3-4D49-A83B-3A048F89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4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4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C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3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66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6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CB5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0323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0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E1"/>
  </w:style>
  <w:style w:type="paragraph" w:styleId="Footer">
    <w:name w:val="footer"/>
    <w:basedOn w:val="Normal"/>
    <w:link w:val="FooterChar"/>
    <w:uiPriority w:val="99"/>
    <w:unhideWhenUsed/>
    <w:rsid w:val="00740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www.fsb.org.uk/resources/article/how-to-resolve-a-contractual-dispute-MCR46ONOOLCBDFHHMO6Q2V6UCOX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techylife.com/why-did-sony-betamax-fail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uk.pcmag.com/old-desktop-pcs/75703/the-golden-age-of-ibm-pcs?p=1" TargetMode="Externa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lucid.app/lucidchart/563c3a6c-4914-4eb8-a3d4-0fa4c095f7bf/edit?viewport_loc=-9398%2C-19989%2C3698%2C1823%2C0_0&amp;invitationId=inv_6e8267f2-dff0-489d-8787-86c3ecc979d9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Mark I</c:v>
                </c:pt>
              </c:strCache>
            </c:strRef>
          </c:tx>
          <c:spPr>
            <a:solidFill>
              <a:srgbClr val="6699FF">
                <a:alpha val="50196"/>
              </a:srgbClr>
            </a:solidFill>
            <a:ln w="12700">
              <a:solidFill>
                <a:schemeClr val="bg2">
                  <a:lumMod val="50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Sheet2!$B$2:$B$8</c:f>
              <c:strCache>
                <c:ptCount val="7"/>
                <c:pt idx="0">
                  <c:v>Design</c:v>
                </c:pt>
                <c:pt idx="1">
                  <c:v>Production</c:v>
                </c:pt>
                <c:pt idx="2">
                  <c:v>Testing</c:v>
                </c:pt>
                <c:pt idx="3">
                  <c:v>Licience</c:v>
                </c:pt>
                <c:pt idx="4">
                  <c:v>Hardware</c:v>
                </c:pt>
                <c:pt idx="5">
                  <c:v>Software inc media</c:v>
                </c:pt>
                <c:pt idx="6">
                  <c:v>Management</c:v>
                </c:pt>
              </c:strCache>
            </c:strRef>
          </c:cat>
          <c:val>
            <c:numRef>
              <c:f>Sheet2!$C$2:$C$8</c:f>
              <c:numCache>
                <c:formatCode>"£"#,##0.00</c:formatCode>
                <c:ptCount val="7"/>
                <c:pt idx="0">
                  <c:v>48.13</c:v>
                </c:pt>
                <c:pt idx="1">
                  <c:v>15.75</c:v>
                </c:pt>
                <c:pt idx="2">
                  <c:v>0.93</c:v>
                </c:pt>
                <c:pt idx="3">
                  <c:v>0.25</c:v>
                </c:pt>
                <c:pt idx="4">
                  <c:v>104</c:v>
                </c:pt>
                <c:pt idx="5">
                  <c:v>33</c:v>
                </c:pt>
                <c:pt idx="6">
                  <c:v>26.14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5C-4A2F-9B4B-1609282863F5}"/>
            </c:ext>
          </c:extLst>
        </c:ser>
        <c:ser>
          <c:idx val="1"/>
          <c:order val="1"/>
          <c:tx>
            <c:strRef>
              <c:f>Sheet2!$D$1</c:f>
              <c:strCache>
                <c:ptCount val="1"/>
                <c:pt idx="0">
                  <c:v>Mark II</c:v>
                </c:pt>
              </c:strCache>
            </c:strRef>
          </c:tx>
          <c:spPr>
            <a:solidFill>
              <a:srgbClr val="156082">
                <a:alpha val="50196"/>
              </a:srgbClr>
            </a:solidFill>
            <a:ln w="12700">
              <a:solidFill>
                <a:schemeClr val="bg2">
                  <a:lumMod val="50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Sheet2!$B$2:$B$8</c:f>
              <c:strCache>
                <c:ptCount val="7"/>
                <c:pt idx="0">
                  <c:v>Design</c:v>
                </c:pt>
                <c:pt idx="1">
                  <c:v>Production</c:v>
                </c:pt>
                <c:pt idx="2">
                  <c:v>Testing</c:v>
                </c:pt>
                <c:pt idx="3">
                  <c:v>Licience</c:v>
                </c:pt>
                <c:pt idx="4">
                  <c:v>Hardware</c:v>
                </c:pt>
                <c:pt idx="5">
                  <c:v>Software inc media</c:v>
                </c:pt>
                <c:pt idx="6">
                  <c:v>Management</c:v>
                </c:pt>
              </c:strCache>
            </c:strRef>
          </c:cat>
          <c:val>
            <c:numRef>
              <c:f>Sheet2!$D$2:$D$8</c:f>
              <c:numCache>
                <c:formatCode>"£"#,##0.00</c:formatCode>
                <c:ptCount val="7"/>
                <c:pt idx="0">
                  <c:v>14.625</c:v>
                </c:pt>
                <c:pt idx="1">
                  <c:v>15.75</c:v>
                </c:pt>
                <c:pt idx="2">
                  <c:v>5.55</c:v>
                </c:pt>
                <c:pt idx="3">
                  <c:v>5.25</c:v>
                </c:pt>
                <c:pt idx="4">
                  <c:v>171</c:v>
                </c:pt>
                <c:pt idx="5">
                  <c:v>33</c:v>
                </c:pt>
                <c:pt idx="6">
                  <c:v>22.5625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55C-4A2F-9B4B-1609282863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7508047"/>
        <c:axId val="1597508527"/>
      </c:barChart>
      <c:catAx>
        <c:axId val="1597508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7508527"/>
        <c:crosses val="autoZero"/>
        <c:auto val="1"/>
        <c:lblAlgn val="ctr"/>
        <c:lblOffset val="100"/>
        <c:noMultiLvlLbl val="0"/>
      </c:catAx>
      <c:valAx>
        <c:axId val="1597508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£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7508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EC821B-741D-4A74-A851-F8B85EEAD49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8008B25F-8FE3-49F2-9788-21DF43E9B719}">
      <dgm:prSet phldrT="[Text]"/>
      <dgm:spPr/>
      <dgm:t>
        <a:bodyPr/>
        <a:lstStyle/>
        <a:p>
          <a:r>
            <a:rPr lang="en-GB" dirty="0"/>
            <a:t>Barriers</a:t>
          </a:r>
        </a:p>
      </dgm:t>
    </dgm:pt>
    <dgm:pt modelId="{CBA6E814-D423-481E-9F40-F75020D890BE}" type="parTrans" cxnId="{7B0153E6-9254-4DE7-A938-B84A6C512BDA}">
      <dgm:prSet/>
      <dgm:spPr/>
      <dgm:t>
        <a:bodyPr/>
        <a:lstStyle/>
        <a:p>
          <a:endParaRPr lang="en-GB"/>
        </a:p>
      </dgm:t>
    </dgm:pt>
    <dgm:pt modelId="{272D71AD-736A-404E-99D6-B26716F71EF2}" type="sibTrans" cxnId="{7B0153E6-9254-4DE7-A938-B84A6C512BDA}">
      <dgm:prSet/>
      <dgm:spPr/>
      <dgm:t>
        <a:bodyPr/>
        <a:lstStyle/>
        <a:p>
          <a:endParaRPr lang="en-GB"/>
        </a:p>
      </dgm:t>
    </dgm:pt>
    <dgm:pt modelId="{8CA1E9E6-5D49-4E59-AE87-993D06117CE3}">
      <dgm:prSet phldrT="[Text]"/>
      <dgm:spPr/>
      <dgm:t>
        <a:bodyPr/>
        <a:lstStyle/>
        <a:p>
          <a:r>
            <a:rPr lang="en-GB" dirty="0"/>
            <a:t>Initial Design Brief</a:t>
          </a:r>
        </a:p>
      </dgm:t>
    </dgm:pt>
    <dgm:pt modelId="{31973A22-EFB7-4371-9519-36290DA0114F}" type="parTrans" cxnId="{EE19676B-7B75-4BE0-BBF0-70B6C0C601D9}">
      <dgm:prSet/>
      <dgm:spPr/>
      <dgm:t>
        <a:bodyPr/>
        <a:lstStyle/>
        <a:p>
          <a:endParaRPr lang="en-GB"/>
        </a:p>
      </dgm:t>
    </dgm:pt>
    <dgm:pt modelId="{0AFB5C2C-021C-482E-99F4-343C336A338E}" type="sibTrans" cxnId="{EE19676B-7B75-4BE0-BBF0-70B6C0C601D9}">
      <dgm:prSet/>
      <dgm:spPr/>
      <dgm:t>
        <a:bodyPr/>
        <a:lstStyle/>
        <a:p>
          <a:endParaRPr lang="en-GB"/>
        </a:p>
      </dgm:t>
    </dgm:pt>
    <dgm:pt modelId="{1A4A9594-9E4D-42A2-8DE8-90334D88482C}">
      <dgm:prSet phldrT="[Text]"/>
      <dgm:spPr/>
      <dgm:t>
        <a:bodyPr/>
        <a:lstStyle/>
        <a:p>
          <a:r>
            <a:rPr lang="en-GB" dirty="0"/>
            <a:t>Budget</a:t>
          </a:r>
        </a:p>
      </dgm:t>
    </dgm:pt>
    <dgm:pt modelId="{F3165D8D-657A-4544-BCF4-2FFCB83F3A8A}" type="parTrans" cxnId="{4A25DF06-69AD-4AB1-A7F7-4C5A59DB4617}">
      <dgm:prSet/>
      <dgm:spPr/>
      <dgm:t>
        <a:bodyPr/>
        <a:lstStyle/>
        <a:p>
          <a:endParaRPr lang="en-GB"/>
        </a:p>
      </dgm:t>
    </dgm:pt>
    <dgm:pt modelId="{7D9AC1BA-9A4B-4E28-9F98-D01868F8CAD2}" type="sibTrans" cxnId="{4A25DF06-69AD-4AB1-A7F7-4C5A59DB4617}">
      <dgm:prSet/>
      <dgm:spPr/>
      <dgm:t>
        <a:bodyPr/>
        <a:lstStyle/>
        <a:p>
          <a:endParaRPr lang="en-GB"/>
        </a:p>
      </dgm:t>
    </dgm:pt>
    <dgm:pt modelId="{4B264546-FF34-4922-B375-6F8569E698EB}">
      <dgm:prSet phldrT="[Text]"/>
      <dgm:spPr/>
      <dgm:t>
        <a:bodyPr/>
        <a:lstStyle/>
        <a:p>
          <a:r>
            <a:rPr lang="en-GB" dirty="0"/>
            <a:t>Lack of Milestones</a:t>
          </a:r>
        </a:p>
      </dgm:t>
    </dgm:pt>
    <dgm:pt modelId="{F33258EC-7CE3-4E40-9F88-FF9153C5F394}" type="parTrans" cxnId="{F2760DA1-6921-4D4E-8559-E78891121750}">
      <dgm:prSet/>
      <dgm:spPr/>
      <dgm:t>
        <a:bodyPr/>
        <a:lstStyle/>
        <a:p>
          <a:endParaRPr lang="en-GB"/>
        </a:p>
      </dgm:t>
    </dgm:pt>
    <dgm:pt modelId="{8E729395-F746-40D4-9A78-A9E042F31DBC}" type="sibTrans" cxnId="{F2760DA1-6921-4D4E-8559-E78891121750}">
      <dgm:prSet/>
      <dgm:spPr/>
      <dgm:t>
        <a:bodyPr/>
        <a:lstStyle/>
        <a:p>
          <a:endParaRPr lang="en-GB"/>
        </a:p>
      </dgm:t>
    </dgm:pt>
    <dgm:pt modelId="{C1592C9C-3431-402F-B31F-46BBDE47C2A1}" type="pres">
      <dgm:prSet presAssocID="{AAEC821B-741D-4A74-A851-F8B85EEAD49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03E5E61-1C34-4BF6-A629-7248190FC357}" type="pres">
      <dgm:prSet presAssocID="{8008B25F-8FE3-49F2-9788-21DF43E9B719}" presName="root1" presStyleCnt="0"/>
      <dgm:spPr/>
    </dgm:pt>
    <dgm:pt modelId="{6B3F2038-7A31-43A1-B0FA-8EFF51380D5F}" type="pres">
      <dgm:prSet presAssocID="{8008B25F-8FE3-49F2-9788-21DF43E9B719}" presName="LevelOneTextNode" presStyleLbl="node0" presStyleIdx="0" presStyleCnt="1">
        <dgm:presLayoutVars>
          <dgm:chPref val="3"/>
        </dgm:presLayoutVars>
      </dgm:prSet>
      <dgm:spPr/>
    </dgm:pt>
    <dgm:pt modelId="{26125AA6-D51E-4C2B-B963-DC49C5E11BE7}" type="pres">
      <dgm:prSet presAssocID="{8008B25F-8FE3-49F2-9788-21DF43E9B719}" presName="level2hierChild" presStyleCnt="0"/>
      <dgm:spPr/>
    </dgm:pt>
    <dgm:pt modelId="{882596B1-A9B0-4DA1-9D14-64C33E0649D8}" type="pres">
      <dgm:prSet presAssocID="{31973A22-EFB7-4371-9519-36290DA0114F}" presName="conn2-1" presStyleLbl="parChTrans1D2" presStyleIdx="0" presStyleCnt="3"/>
      <dgm:spPr/>
    </dgm:pt>
    <dgm:pt modelId="{DA4CE70A-F298-4167-B691-80A471DF4CD9}" type="pres">
      <dgm:prSet presAssocID="{31973A22-EFB7-4371-9519-36290DA0114F}" presName="connTx" presStyleLbl="parChTrans1D2" presStyleIdx="0" presStyleCnt="3"/>
      <dgm:spPr/>
    </dgm:pt>
    <dgm:pt modelId="{514F7D39-E802-4384-97C6-6C17EA1D7323}" type="pres">
      <dgm:prSet presAssocID="{8CA1E9E6-5D49-4E59-AE87-993D06117CE3}" presName="root2" presStyleCnt="0"/>
      <dgm:spPr/>
    </dgm:pt>
    <dgm:pt modelId="{D45D009B-2E55-4861-94BA-9EED32651269}" type="pres">
      <dgm:prSet presAssocID="{8CA1E9E6-5D49-4E59-AE87-993D06117CE3}" presName="LevelTwoTextNode" presStyleLbl="node2" presStyleIdx="0" presStyleCnt="3">
        <dgm:presLayoutVars>
          <dgm:chPref val="3"/>
        </dgm:presLayoutVars>
      </dgm:prSet>
      <dgm:spPr/>
    </dgm:pt>
    <dgm:pt modelId="{8430BE25-B544-475A-9FDF-FE0FCE29D2D5}" type="pres">
      <dgm:prSet presAssocID="{8CA1E9E6-5D49-4E59-AE87-993D06117CE3}" presName="level3hierChild" presStyleCnt="0"/>
      <dgm:spPr/>
    </dgm:pt>
    <dgm:pt modelId="{79C02611-F970-46DE-AA2A-3BC7ECF0B074}" type="pres">
      <dgm:prSet presAssocID="{F3165D8D-657A-4544-BCF4-2FFCB83F3A8A}" presName="conn2-1" presStyleLbl="parChTrans1D2" presStyleIdx="1" presStyleCnt="3"/>
      <dgm:spPr/>
    </dgm:pt>
    <dgm:pt modelId="{C7F282EC-0259-41D9-A180-6F77E45EF9CA}" type="pres">
      <dgm:prSet presAssocID="{F3165D8D-657A-4544-BCF4-2FFCB83F3A8A}" presName="connTx" presStyleLbl="parChTrans1D2" presStyleIdx="1" presStyleCnt="3"/>
      <dgm:spPr/>
    </dgm:pt>
    <dgm:pt modelId="{3BAE97E7-4C29-4E7B-BC73-02504425B582}" type="pres">
      <dgm:prSet presAssocID="{1A4A9594-9E4D-42A2-8DE8-90334D88482C}" presName="root2" presStyleCnt="0"/>
      <dgm:spPr/>
    </dgm:pt>
    <dgm:pt modelId="{44B33514-3278-4A3A-9464-5D46672D04E6}" type="pres">
      <dgm:prSet presAssocID="{1A4A9594-9E4D-42A2-8DE8-90334D88482C}" presName="LevelTwoTextNode" presStyleLbl="node2" presStyleIdx="1" presStyleCnt="3">
        <dgm:presLayoutVars>
          <dgm:chPref val="3"/>
        </dgm:presLayoutVars>
      </dgm:prSet>
      <dgm:spPr/>
    </dgm:pt>
    <dgm:pt modelId="{29066E1A-513D-4891-9D24-A424A7BD29DC}" type="pres">
      <dgm:prSet presAssocID="{1A4A9594-9E4D-42A2-8DE8-90334D88482C}" presName="level3hierChild" presStyleCnt="0"/>
      <dgm:spPr/>
    </dgm:pt>
    <dgm:pt modelId="{5BC12B0B-FB6D-4BD8-A45A-370AB11951F4}" type="pres">
      <dgm:prSet presAssocID="{F33258EC-7CE3-4E40-9F88-FF9153C5F394}" presName="conn2-1" presStyleLbl="parChTrans1D2" presStyleIdx="2" presStyleCnt="3"/>
      <dgm:spPr/>
    </dgm:pt>
    <dgm:pt modelId="{D61FB76C-661B-403E-B190-37F20F9C03CC}" type="pres">
      <dgm:prSet presAssocID="{F33258EC-7CE3-4E40-9F88-FF9153C5F394}" presName="connTx" presStyleLbl="parChTrans1D2" presStyleIdx="2" presStyleCnt="3"/>
      <dgm:spPr/>
    </dgm:pt>
    <dgm:pt modelId="{82F8B581-E90B-467F-9E3D-CE1476DF2F5A}" type="pres">
      <dgm:prSet presAssocID="{4B264546-FF34-4922-B375-6F8569E698EB}" presName="root2" presStyleCnt="0"/>
      <dgm:spPr/>
    </dgm:pt>
    <dgm:pt modelId="{243A2C89-2CB5-470B-BEEB-025E7DCE6B1C}" type="pres">
      <dgm:prSet presAssocID="{4B264546-FF34-4922-B375-6F8569E698EB}" presName="LevelTwoTextNode" presStyleLbl="node2" presStyleIdx="2" presStyleCnt="3">
        <dgm:presLayoutVars>
          <dgm:chPref val="3"/>
        </dgm:presLayoutVars>
      </dgm:prSet>
      <dgm:spPr/>
    </dgm:pt>
    <dgm:pt modelId="{B70A5E11-5783-4D26-8B39-F07BDDFE7FF7}" type="pres">
      <dgm:prSet presAssocID="{4B264546-FF34-4922-B375-6F8569E698EB}" presName="level3hierChild" presStyleCnt="0"/>
      <dgm:spPr/>
    </dgm:pt>
  </dgm:ptLst>
  <dgm:cxnLst>
    <dgm:cxn modelId="{4A25DF06-69AD-4AB1-A7F7-4C5A59DB4617}" srcId="{8008B25F-8FE3-49F2-9788-21DF43E9B719}" destId="{1A4A9594-9E4D-42A2-8DE8-90334D88482C}" srcOrd="1" destOrd="0" parTransId="{F3165D8D-657A-4544-BCF4-2FFCB83F3A8A}" sibTransId="{7D9AC1BA-9A4B-4E28-9F98-D01868F8CAD2}"/>
    <dgm:cxn modelId="{EA3C501E-5C9D-4ED3-9D4A-88D0DD91266D}" type="presOf" srcId="{1A4A9594-9E4D-42A2-8DE8-90334D88482C}" destId="{44B33514-3278-4A3A-9464-5D46672D04E6}" srcOrd="0" destOrd="0" presId="urn:microsoft.com/office/officeart/2008/layout/HorizontalMultiLevelHierarchy"/>
    <dgm:cxn modelId="{96EF1F24-DEA0-4C44-BE25-2C2FF0B70CE1}" type="presOf" srcId="{8CA1E9E6-5D49-4E59-AE87-993D06117CE3}" destId="{D45D009B-2E55-4861-94BA-9EED32651269}" srcOrd="0" destOrd="0" presId="urn:microsoft.com/office/officeart/2008/layout/HorizontalMultiLevelHierarchy"/>
    <dgm:cxn modelId="{E02D8A36-EF7F-471C-BD7F-D4FCB3597F1D}" type="presOf" srcId="{F3165D8D-657A-4544-BCF4-2FFCB83F3A8A}" destId="{79C02611-F970-46DE-AA2A-3BC7ECF0B074}" srcOrd="0" destOrd="0" presId="urn:microsoft.com/office/officeart/2008/layout/HorizontalMultiLevelHierarchy"/>
    <dgm:cxn modelId="{439AE05D-CE54-441E-804E-EC499BE8B796}" type="presOf" srcId="{F33258EC-7CE3-4E40-9F88-FF9153C5F394}" destId="{5BC12B0B-FB6D-4BD8-A45A-370AB11951F4}" srcOrd="0" destOrd="0" presId="urn:microsoft.com/office/officeart/2008/layout/HorizontalMultiLevelHierarchy"/>
    <dgm:cxn modelId="{6A9A6667-A5EB-471E-B997-B859640E4592}" type="presOf" srcId="{AAEC821B-741D-4A74-A851-F8B85EEAD49C}" destId="{C1592C9C-3431-402F-B31F-46BBDE47C2A1}" srcOrd="0" destOrd="0" presId="urn:microsoft.com/office/officeart/2008/layout/HorizontalMultiLevelHierarchy"/>
    <dgm:cxn modelId="{EE19676B-7B75-4BE0-BBF0-70B6C0C601D9}" srcId="{8008B25F-8FE3-49F2-9788-21DF43E9B719}" destId="{8CA1E9E6-5D49-4E59-AE87-993D06117CE3}" srcOrd="0" destOrd="0" parTransId="{31973A22-EFB7-4371-9519-36290DA0114F}" sibTransId="{0AFB5C2C-021C-482E-99F4-343C336A338E}"/>
    <dgm:cxn modelId="{83899B77-6C1A-4A7F-9031-68D08D1D900C}" type="presOf" srcId="{8008B25F-8FE3-49F2-9788-21DF43E9B719}" destId="{6B3F2038-7A31-43A1-B0FA-8EFF51380D5F}" srcOrd="0" destOrd="0" presId="urn:microsoft.com/office/officeart/2008/layout/HorizontalMultiLevelHierarchy"/>
    <dgm:cxn modelId="{F2760DA1-6921-4D4E-8559-E78891121750}" srcId="{8008B25F-8FE3-49F2-9788-21DF43E9B719}" destId="{4B264546-FF34-4922-B375-6F8569E698EB}" srcOrd="2" destOrd="0" parTransId="{F33258EC-7CE3-4E40-9F88-FF9153C5F394}" sibTransId="{8E729395-F746-40D4-9A78-A9E042F31DBC}"/>
    <dgm:cxn modelId="{709662B2-F12D-42C9-BCAD-63DD871F178D}" type="presOf" srcId="{F3165D8D-657A-4544-BCF4-2FFCB83F3A8A}" destId="{C7F282EC-0259-41D9-A180-6F77E45EF9CA}" srcOrd="1" destOrd="0" presId="urn:microsoft.com/office/officeart/2008/layout/HorizontalMultiLevelHierarchy"/>
    <dgm:cxn modelId="{973EDFB5-5D46-44F3-81CF-0F98647F0DE6}" type="presOf" srcId="{31973A22-EFB7-4371-9519-36290DA0114F}" destId="{DA4CE70A-F298-4167-B691-80A471DF4CD9}" srcOrd="1" destOrd="0" presId="urn:microsoft.com/office/officeart/2008/layout/HorizontalMultiLevelHierarchy"/>
    <dgm:cxn modelId="{36D285BE-64E2-4D1E-B6CC-56F2847ADCAE}" type="presOf" srcId="{4B264546-FF34-4922-B375-6F8569E698EB}" destId="{243A2C89-2CB5-470B-BEEB-025E7DCE6B1C}" srcOrd="0" destOrd="0" presId="urn:microsoft.com/office/officeart/2008/layout/HorizontalMultiLevelHierarchy"/>
    <dgm:cxn modelId="{B8E967C2-E794-444E-8540-1DAE1C60013A}" type="presOf" srcId="{F33258EC-7CE3-4E40-9F88-FF9153C5F394}" destId="{D61FB76C-661B-403E-B190-37F20F9C03CC}" srcOrd="1" destOrd="0" presId="urn:microsoft.com/office/officeart/2008/layout/HorizontalMultiLevelHierarchy"/>
    <dgm:cxn modelId="{7B0153E6-9254-4DE7-A938-B84A6C512BDA}" srcId="{AAEC821B-741D-4A74-A851-F8B85EEAD49C}" destId="{8008B25F-8FE3-49F2-9788-21DF43E9B719}" srcOrd="0" destOrd="0" parTransId="{CBA6E814-D423-481E-9F40-F75020D890BE}" sibTransId="{272D71AD-736A-404E-99D6-B26716F71EF2}"/>
    <dgm:cxn modelId="{5244CBE6-A301-4A45-B16B-5E065A651915}" type="presOf" srcId="{31973A22-EFB7-4371-9519-36290DA0114F}" destId="{882596B1-A9B0-4DA1-9D14-64C33E0649D8}" srcOrd="0" destOrd="0" presId="urn:microsoft.com/office/officeart/2008/layout/HorizontalMultiLevelHierarchy"/>
    <dgm:cxn modelId="{0AB22E1F-9552-48B4-9B37-53FFCB0F5D15}" type="presParOf" srcId="{C1592C9C-3431-402F-B31F-46BBDE47C2A1}" destId="{303E5E61-1C34-4BF6-A629-7248190FC357}" srcOrd="0" destOrd="0" presId="urn:microsoft.com/office/officeart/2008/layout/HorizontalMultiLevelHierarchy"/>
    <dgm:cxn modelId="{1D1F53F2-1689-4A80-BB36-291E3B4E2159}" type="presParOf" srcId="{303E5E61-1C34-4BF6-A629-7248190FC357}" destId="{6B3F2038-7A31-43A1-B0FA-8EFF51380D5F}" srcOrd="0" destOrd="0" presId="urn:microsoft.com/office/officeart/2008/layout/HorizontalMultiLevelHierarchy"/>
    <dgm:cxn modelId="{F8BC40C2-8DAC-4CDF-BBFE-280067CA5614}" type="presParOf" srcId="{303E5E61-1C34-4BF6-A629-7248190FC357}" destId="{26125AA6-D51E-4C2B-B963-DC49C5E11BE7}" srcOrd="1" destOrd="0" presId="urn:microsoft.com/office/officeart/2008/layout/HorizontalMultiLevelHierarchy"/>
    <dgm:cxn modelId="{02D665CD-7CED-40E4-B077-2F777EFFDDEA}" type="presParOf" srcId="{26125AA6-D51E-4C2B-B963-DC49C5E11BE7}" destId="{882596B1-A9B0-4DA1-9D14-64C33E0649D8}" srcOrd="0" destOrd="0" presId="urn:microsoft.com/office/officeart/2008/layout/HorizontalMultiLevelHierarchy"/>
    <dgm:cxn modelId="{EE1C1B01-6045-4B5F-B2A3-BFDBC7D3C31C}" type="presParOf" srcId="{882596B1-A9B0-4DA1-9D14-64C33E0649D8}" destId="{DA4CE70A-F298-4167-B691-80A471DF4CD9}" srcOrd="0" destOrd="0" presId="urn:microsoft.com/office/officeart/2008/layout/HorizontalMultiLevelHierarchy"/>
    <dgm:cxn modelId="{635F2C07-2FBB-49CA-A409-4D3B102A643E}" type="presParOf" srcId="{26125AA6-D51E-4C2B-B963-DC49C5E11BE7}" destId="{514F7D39-E802-4384-97C6-6C17EA1D7323}" srcOrd="1" destOrd="0" presId="urn:microsoft.com/office/officeart/2008/layout/HorizontalMultiLevelHierarchy"/>
    <dgm:cxn modelId="{475AF234-0EDF-4CA3-92D6-156F13FD24C5}" type="presParOf" srcId="{514F7D39-E802-4384-97C6-6C17EA1D7323}" destId="{D45D009B-2E55-4861-94BA-9EED32651269}" srcOrd="0" destOrd="0" presId="urn:microsoft.com/office/officeart/2008/layout/HorizontalMultiLevelHierarchy"/>
    <dgm:cxn modelId="{2542F75C-7A40-4654-988E-66A1677B41A2}" type="presParOf" srcId="{514F7D39-E802-4384-97C6-6C17EA1D7323}" destId="{8430BE25-B544-475A-9FDF-FE0FCE29D2D5}" srcOrd="1" destOrd="0" presId="urn:microsoft.com/office/officeart/2008/layout/HorizontalMultiLevelHierarchy"/>
    <dgm:cxn modelId="{98EF8936-94E4-4230-AE19-014F77692417}" type="presParOf" srcId="{26125AA6-D51E-4C2B-B963-DC49C5E11BE7}" destId="{79C02611-F970-46DE-AA2A-3BC7ECF0B074}" srcOrd="2" destOrd="0" presId="urn:microsoft.com/office/officeart/2008/layout/HorizontalMultiLevelHierarchy"/>
    <dgm:cxn modelId="{18F6DFFE-FA18-48C7-A3AE-F7CD0380A88E}" type="presParOf" srcId="{79C02611-F970-46DE-AA2A-3BC7ECF0B074}" destId="{C7F282EC-0259-41D9-A180-6F77E45EF9CA}" srcOrd="0" destOrd="0" presId="urn:microsoft.com/office/officeart/2008/layout/HorizontalMultiLevelHierarchy"/>
    <dgm:cxn modelId="{CB7B62A5-6C0B-4AEA-915D-10411E0301D9}" type="presParOf" srcId="{26125AA6-D51E-4C2B-B963-DC49C5E11BE7}" destId="{3BAE97E7-4C29-4E7B-BC73-02504425B582}" srcOrd="3" destOrd="0" presId="urn:microsoft.com/office/officeart/2008/layout/HorizontalMultiLevelHierarchy"/>
    <dgm:cxn modelId="{023D4A0A-3E07-4459-B9FA-8342644CA211}" type="presParOf" srcId="{3BAE97E7-4C29-4E7B-BC73-02504425B582}" destId="{44B33514-3278-4A3A-9464-5D46672D04E6}" srcOrd="0" destOrd="0" presId="urn:microsoft.com/office/officeart/2008/layout/HorizontalMultiLevelHierarchy"/>
    <dgm:cxn modelId="{FBE069D1-5B97-4610-B68E-A11F246B9E7D}" type="presParOf" srcId="{3BAE97E7-4C29-4E7B-BC73-02504425B582}" destId="{29066E1A-513D-4891-9D24-A424A7BD29DC}" srcOrd="1" destOrd="0" presId="urn:microsoft.com/office/officeart/2008/layout/HorizontalMultiLevelHierarchy"/>
    <dgm:cxn modelId="{8B0F047F-3441-4248-9DC8-28CAA11043BC}" type="presParOf" srcId="{26125AA6-D51E-4C2B-B963-DC49C5E11BE7}" destId="{5BC12B0B-FB6D-4BD8-A45A-370AB11951F4}" srcOrd="4" destOrd="0" presId="urn:microsoft.com/office/officeart/2008/layout/HorizontalMultiLevelHierarchy"/>
    <dgm:cxn modelId="{5CA9A730-C756-481B-88BF-22A6BDCC47CC}" type="presParOf" srcId="{5BC12B0B-FB6D-4BD8-A45A-370AB11951F4}" destId="{D61FB76C-661B-403E-B190-37F20F9C03CC}" srcOrd="0" destOrd="0" presId="urn:microsoft.com/office/officeart/2008/layout/HorizontalMultiLevelHierarchy"/>
    <dgm:cxn modelId="{2EADDA47-D523-4E30-8A9D-A182A9CB669C}" type="presParOf" srcId="{26125AA6-D51E-4C2B-B963-DC49C5E11BE7}" destId="{82F8B581-E90B-467F-9E3D-CE1476DF2F5A}" srcOrd="5" destOrd="0" presId="urn:microsoft.com/office/officeart/2008/layout/HorizontalMultiLevelHierarchy"/>
    <dgm:cxn modelId="{A475C0F6-4AB8-4A83-A51E-509BB46D0B2D}" type="presParOf" srcId="{82F8B581-E90B-467F-9E3D-CE1476DF2F5A}" destId="{243A2C89-2CB5-470B-BEEB-025E7DCE6B1C}" srcOrd="0" destOrd="0" presId="urn:microsoft.com/office/officeart/2008/layout/HorizontalMultiLevelHierarchy"/>
    <dgm:cxn modelId="{4912818F-ADAC-46F8-86AB-E409917C8EC6}" type="presParOf" srcId="{82F8B581-E90B-467F-9E3D-CE1476DF2F5A}" destId="{B70A5E11-5783-4D26-8B39-F07BDDFE7FF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C12B0B-FB6D-4BD8-A45A-370AB11951F4}">
      <dsp:nvSpPr>
        <dsp:cNvPr id="0" name=""/>
        <dsp:cNvSpPr/>
      </dsp:nvSpPr>
      <dsp:spPr>
        <a:xfrm>
          <a:off x="1037747" y="934871"/>
          <a:ext cx="233044" cy="444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522" y="0"/>
              </a:lnTo>
              <a:lnTo>
                <a:pt x="116522" y="444063"/>
              </a:lnTo>
              <a:lnTo>
                <a:pt x="233044" y="444063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141732" y="1144365"/>
        <a:ext cx="25075" cy="25075"/>
      </dsp:txXfrm>
    </dsp:sp>
    <dsp:sp modelId="{79C02611-F970-46DE-AA2A-3BC7ECF0B074}">
      <dsp:nvSpPr>
        <dsp:cNvPr id="0" name=""/>
        <dsp:cNvSpPr/>
      </dsp:nvSpPr>
      <dsp:spPr>
        <a:xfrm>
          <a:off x="1037747" y="889151"/>
          <a:ext cx="2330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3044" y="45720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148444" y="929045"/>
        <a:ext cx="11652" cy="11652"/>
      </dsp:txXfrm>
    </dsp:sp>
    <dsp:sp modelId="{882596B1-A9B0-4DA1-9D14-64C33E0649D8}">
      <dsp:nvSpPr>
        <dsp:cNvPr id="0" name=""/>
        <dsp:cNvSpPr/>
      </dsp:nvSpPr>
      <dsp:spPr>
        <a:xfrm>
          <a:off x="1037747" y="490807"/>
          <a:ext cx="233044" cy="444063"/>
        </a:xfrm>
        <a:custGeom>
          <a:avLst/>
          <a:gdLst/>
          <a:ahLst/>
          <a:cxnLst/>
          <a:rect l="0" t="0" r="0" b="0"/>
          <a:pathLst>
            <a:path>
              <a:moveTo>
                <a:pt x="0" y="444063"/>
              </a:moveTo>
              <a:lnTo>
                <a:pt x="116522" y="444063"/>
              </a:lnTo>
              <a:lnTo>
                <a:pt x="116522" y="0"/>
              </a:lnTo>
              <a:lnTo>
                <a:pt x="233044" y="0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141732" y="700302"/>
        <a:ext cx="25075" cy="25075"/>
      </dsp:txXfrm>
    </dsp:sp>
    <dsp:sp modelId="{6B3F2038-7A31-43A1-B0FA-8EFF51380D5F}">
      <dsp:nvSpPr>
        <dsp:cNvPr id="0" name=""/>
        <dsp:cNvSpPr/>
      </dsp:nvSpPr>
      <dsp:spPr>
        <a:xfrm rot="16200000">
          <a:off x="-74749" y="757245"/>
          <a:ext cx="1869743" cy="3552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300" kern="1200" dirty="0"/>
            <a:t>Barriers</a:t>
          </a:r>
        </a:p>
      </dsp:txBody>
      <dsp:txXfrm>
        <a:off x="-74749" y="757245"/>
        <a:ext cx="1869743" cy="355251"/>
      </dsp:txXfrm>
    </dsp:sp>
    <dsp:sp modelId="{D45D009B-2E55-4861-94BA-9EED32651269}">
      <dsp:nvSpPr>
        <dsp:cNvPr id="0" name=""/>
        <dsp:cNvSpPr/>
      </dsp:nvSpPr>
      <dsp:spPr>
        <a:xfrm>
          <a:off x="1270792" y="313181"/>
          <a:ext cx="1165223" cy="3552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 dirty="0"/>
            <a:t>Initial Design Brief</a:t>
          </a:r>
        </a:p>
      </dsp:txBody>
      <dsp:txXfrm>
        <a:off x="1270792" y="313181"/>
        <a:ext cx="1165223" cy="355251"/>
      </dsp:txXfrm>
    </dsp:sp>
    <dsp:sp modelId="{44B33514-3278-4A3A-9464-5D46672D04E6}">
      <dsp:nvSpPr>
        <dsp:cNvPr id="0" name=""/>
        <dsp:cNvSpPr/>
      </dsp:nvSpPr>
      <dsp:spPr>
        <a:xfrm>
          <a:off x="1270792" y="757245"/>
          <a:ext cx="1165223" cy="3552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 dirty="0"/>
            <a:t>Budget</a:t>
          </a:r>
        </a:p>
      </dsp:txBody>
      <dsp:txXfrm>
        <a:off x="1270792" y="757245"/>
        <a:ext cx="1165223" cy="355251"/>
      </dsp:txXfrm>
    </dsp:sp>
    <dsp:sp modelId="{243A2C89-2CB5-470B-BEEB-025E7DCE6B1C}">
      <dsp:nvSpPr>
        <dsp:cNvPr id="0" name=""/>
        <dsp:cNvSpPr/>
      </dsp:nvSpPr>
      <dsp:spPr>
        <a:xfrm>
          <a:off x="1270792" y="1201309"/>
          <a:ext cx="1165223" cy="3552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 dirty="0"/>
            <a:t>Lack of Milestones</a:t>
          </a:r>
        </a:p>
      </dsp:txBody>
      <dsp:txXfrm>
        <a:off x="1270792" y="1201309"/>
        <a:ext cx="1165223" cy="3552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1EAF2-3FDE-493D-A5E0-722DFAD07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2283</Words>
  <Characters>13015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Jackson</dc:creator>
  <cp:keywords/>
  <dc:description/>
  <cp:lastModifiedBy>Karl Jackson</cp:lastModifiedBy>
  <cp:revision>391</cp:revision>
  <cp:lastPrinted>2025-07-14T09:24:00Z</cp:lastPrinted>
  <dcterms:created xsi:type="dcterms:W3CDTF">2025-07-10T15:13:00Z</dcterms:created>
  <dcterms:modified xsi:type="dcterms:W3CDTF">2025-07-14T09:52:00Z</dcterms:modified>
</cp:coreProperties>
</file>