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3D91"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                       </w:t>
      </w:r>
    </w:p>
    <w:p w14:paraId="11ACC037"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b/>
          <w:bCs/>
          <w:color w:val="000000"/>
        </w:rPr>
        <w:t>Genetic Characterization of Germination Traits and Their Relationship to Preharvest Sprouting in Winter and Spring Barley</w:t>
      </w:r>
    </w:p>
    <w:p w14:paraId="2B56BDF9"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w:t>
      </w:r>
      <w:r w:rsidRPr="00021E5C">
        <w:rPr>
          <w:rFonts w:ascii="Times New Roman" w:eastAsia="Times New Roman" w:hAnsi="Times New Roman" w:cs="Times New Roman"/>
          <w:b/>
          <w:bCs/>
          <w:color w:val="000000"/>
        </w:rPr>
        <w:t>Principal Investigator:</w:t>
      </w:r>
    </w:p>
    <w:p w14:paraId="39C2B194"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Mark Sorrells</w:t>
      </w:r>
    </w:p>
    <w:p w14:paraId="7D235679"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Plant Breeding and Genetics</w:t>
      </w:r>
    </w:p>
    <w:p w14:paraId="4FB96CBF"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Cornell University</w:t>
      </w:r>
    </w:p>
    <w:p w14:paraId="178DC0EB"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               </w:t>
      </w:r>
    </w:p>
    <w:p w14:paraId="342EAF92" w14:textId="77777777" w:rsidR="006D3129" w:rsidRPr="00021E5C" w:rsidRDefault="006D3129" w:rsidP="006D3129">
      <w:pPr>
        <w:shd w:val="clear" w:color="auto" w:fill="FFFFFF"/>
        <w:spacing w:after="0" w:line="240" w:lineRule="auto"/>
        <w:ind w:right="-720"/>
        <w:rPr>
          <w:rFonts w:ascii="Times New Roman" w:eastAsia="Times New Roman" w:hAnsi="Times New Roman" w:cs="Times New Roman"/>
          <w:sz w:val="24"/>
          <w:szCs w:val="24"/>
        </w:rPr>
      </w:pPr>
      <w:r w:rsidRPr="00021E5C">
        <w:rPr>
          <w:rFonts w:ascii="Times New Roman" w:eastAsia="Times New Roman" w:hAnsi="Times New Roman" w:cs="Times New Roman"/>
          <w:b/>
          <w:bCs/>
          <w:color w:val="222222"/>
          <w:u w:val="single"/>
        </w:rPr>
        <w:t>Executive summary</w:t>
      </w:r>
    </w:p>
    <w:p w14:paraId="7E12305A" w14:textId="3D286CED" w:rsidR="006D3129" w:rsidRPr="00021E5C" w:rsidRDefault="006D3129" w:rsidP="006D3129">
      <w:pPr>
        <w:shd w:val="clear" w:color="auto" w:fill="FFFFFF"/>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222222"/>
        </w:rPr>
        <w:t>This grant supported a single-year project to better understand the genetic control of preharvest sprouting (PHS),</w:t>
      </w:r>
      <w:r w:rsidR="004D673D" w:rsidRPr="00021E5C">
        <w:rPr>
          <w:rFonts w:ascii="Times New Roman" w:eastAsia="Times New Roman" w:hAnsi="Times New Roman" w:cs="Times New Roman"/>
          <w:color w:val="222222"/>
        </w:rPr>
        <w:t xml:space="preserve"> </w:t>
      </w:r>
      <w:r w:rsidRPr="00021E5C">
        <w:rPr>
          <w:rFonts w:ascii="Times New Roman" w:eastAsia="Times New Roman" w:hAnsi="Times New Roman" w:cs="Times New Roman"/>
          <w:color w:val="222222"/>
        </w:rPr>
        <w:t>seed dormancy in a winter/facultative double haploid population and the relationship of malting quality on a subset of the winter malting barley population. In the previous cycle, this project produced genome-wide Illumina 50K marker data on a population of Cornell winter and facultative breeding lines and characterized these same populations for PHS, germination rate, and germination energy from physiological maturity to 6 months post-harvest. For the 2021-2022 cycle, we have continued our work on measuring germination and PHS of our winter/facultative barley population. This award also provided funding for us to travel to the USDA CCRU to micro malt and analyze a subset of our winter malting barley population. The data collected in this study (susceptibility to PHS, germination rate, germination energy, and micro malting quality analysis) has increased understanding of winter malting barley seed dormancy and dormancy persistence and will allow for the selection of PHS resistant lines, with quick dormancy break,</w:t>
      </w:r>
      <w:r w:rsidR="00244E96" w:rsidRPr="00021E5C">
        <w:rPr>
          <w:rFonts w:ascii="Times New Roman" w:eastAsia="Times New Roman" w:hAnsi="Times New Roman" w:cs="Times New Roman"/>
          <w:color w:val="222222"/>
        </w:rPr>
        <w:t xml:space="preserve"> </w:t>
      </w:r>
      <w:r w:rsidRPr="00021E5C">
        <w:rPr>
          <w:rFonts w:ascii="Times New Roman" w:eastAsia="Times New Roman" w:hAnsi="Times New Roman" w:cs="Times New Roman"/>
          <w:color w:val="222222"/>
        </w:rPr>
        <w:t xml:space="preserve">rapid germination rate gain and understand the relationship to malting quality characteristics. </w:t>
      </w:r>
      <w:r w:rsidRPr="00021E5C">
        <w:rPr>
          <w:rFonts w:ascii="Times New Roman" w:eastAsia="Times New Roman" w:hAnsi="Times New Roman" w:cs="Times New Roman"/>
          <w:color w:val="000000"/>
        </w:rPr>
        <w:t> </w:t>
      </w:r>
    </w:p>
    <w:p w14:paraId="1AD5F55E" w14:textId="77777777" w:rsidR="006D3129" w:rsidRPr="00021E5C" w:rsidRDefault="006D3129" w:rsidP="006D3129">
      <w:pPr>
        <w:spacing w:after="0" w:line="240" w:lineRule="auto"/>
        <w:rPr>
          <w:rFonts w:ascii="Times New Roman" w:eastAsia="Times New Roman" w:hAnsi="Times New Roman" w:cs="Times New Roman"/>
        </w:rPr>
      </w:pPr>
    </w:p>
    <w:p w14:paraId="1D32D69D" w14:textId="77777777" w:rsidR="006D3129" w:rsidRPr="00021E5C" w:rsidRDefault="006D3129" w:rsidP="006D3129">
      <w:pPr>
        <w:shd w:val="clear" w:color="auto" w:fill="FFFFFF"/>
        <w:spacing w:before="240" w:after="0" w:line="240" w:lineRule="auto"/>
        <w:ind w:right="-720"/>
        <w:rPr>
          <w:rFonts w:ascii="Times New Roman" w:eastAsia="Times New Roman" w:hAnsi="Times New Roman" w:cs="Times New Roman"/>
        </w:rPr>
      </w:pPr>
      <w:r w:rsidRPr="00021E5C">
        <w:rPr>
          <w:rFonts w:ascii="Times New Roman" w:eastAsia="Times New Roman" w:hAnsi="Times New Roman" w:cs="Times New Roman"/>
          <w:b/>
          <w:bCs/>
          <w:color w:val="222222"/>
          <w:u w:val="single"/>
        </w:rPr>
        <w:t>Detailed Report on Objectives, Methodology and Results – AMBA Funded Project</w:t>
      </w:r>
    </w:p>
    <w:p w14:paraId="4260191B" w14:textId="77777777" w:rsidR="006D3129" w:rsidRPr="00021E5C" w:rsidRDefault="006D3129" w:rsidP="006D3129">
      <w:pPr>
        <w:shd w:val="clear" w:color="auto" w:fill="FFFFFF"/>
        <w:spacing w:after="0" w:line="240" w:lineRule="auto"/>
        <w:ind w:right="-720"/>
        <w:rPr>
          <w:rFonts w:ascii="Times New Roman" w:eastAsia="Times New Roman" w:hAnsi="Times New Roman" w:cs="Times New Roman"/>
        </w:rPr>
      </w:pPr>
      <w:r w:rsidRPr="00021E5C">
        <w:rPr>
          <w:rFonts w:ascii="Times New Roman" w:eastAsia="Times New Roman" w:hAnsi="Times New Roman" w:cs="Times New Roman"/>
        </w:rPr>
        <w:t> </w:t>
      </w:r>
    </w:p>
    <w:p w14:paraId="7BAFF300"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b/>
          <w:bCs/>
          <w:color w:val="000000"/>
        </w:rPr>
        <w:t>Section 1: Winter Barley</w:t>
      </w:r>
    </w:p>
    <w:p w14:paraId="280A512B" w14:textId="474BB1D3"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u w:val="single"/>
        </w:rPr>
        <w:t xml:space="preserve">Objective 1:  Continuation of genetic characterization of a winter barley double haploid population </w:t>
      </w:r>
      <w:r w:rsidR="00B43BE1" w:rsidRPr="00021E5C">
        <w:rPr>
          <w:rFonts w:ascii="Times New Roman" w:eastAsia="Times New Roman" w:hAnsi="Times New Roman" w:cs="Times New Roman"/>
          <w:color w:val="000000"/>
          <w:u w:val="single"/>
        </w:rPr>
        <w:t xml:space="preserve">for dormancy, PHS, and malting quality </w:t>
      </w:r>
      <w:r w:rsidRPr="00021E5C">
        <w:rPr>
          <w:rFonts w:ascii="Times New Roman" w:eastAsia="Times New Roman" w:hAnsi="Times New Roman" w:cs="Times New Roman"/>
          <w:color w:val="000000"/>
          <w:u w:val="single"/>
        </w:rPr>
        <w:t>using 50K Illumina sequencing marker data and KASP markers</w:t>
      </w:r>
    </w:p>
    <w:p w14:paraId="2ED8B65D"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The winter barley germplasm was developed by crosses to the common parent DH130910 (now cv. Lightning) to parents Flavia, KWS Scala, SY Tepee, and Wintmalt. At the time of crossing in fall 2017, parents KWS Scala, SY Tepee and Flavia were prominent winter barley lines that had good yield, moderate disease resistance, and high malting quality in Cornell regional trials. As of 2021, KWS Scala continues to be the most widely grown winter barley in New York state. Wintmalt was chosen as a superior malt quality donor. The common parent DH130910 was developed by Oregon State University (OSU) and was chosen for its high yield, moderate disease resistance, and facultative growth habit. F1 seed from each cross was sent to OSU for double haploidization and DH plants were returned to Ithaca in summer 2018. Two locations of headrows were planted in the 2019-2020 growing season. Checks for the 2020 populations included the parental lines for the population and Charles, a PHS and disease susceptible line in New York. Seed from 2019-2020 was used for yield plots at two locations for the 2020-2021 growing season and additional seed was sent to OSU for further collaborative projects. Two preliminary yield trials were planted for the 2021-2022 growing season. Each location consisted of 435 unique DH lines replicated once at each location. Checks for both locations included the common parent Lightning(DH130910), KWS Scala and Endeavor. Endeavor was selected over Charles due to its favorability as an AMBA recommended variety but also due to its susceptibility to PHS and foliar disease in the New York growing environment.</w:t>
      </w:r>
    </w:p>
    <w:p w14:paraId="4AD8DC29"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u w:val="single"/>
        </w:rPr>
        <w:t>Materials and methods </w:t>
      </w:r>
    </w:p>
    <w:p w14:paraId="5AA2338E" w14:textId="77777777" w:rsidR="00525653" w:rsidRPr="00021E5C" w:rsidRDefault="006D3129" w:rsidP="006D3129">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 xml:space="preserve">PHS was measured by harvesting 5 spikes per headrow at physiological maturity (PM), after-ripening for 3 days, and then misting in a greenhouse for 3 days, after which the spikes were assessed for PHS on a 0 to 9 scale. Due to labor constraints brought on by the pandemic in the 2020 field season, phenotyping capacity was limited and germination was prioritized for that year. PHS was phenotyped on a sub-sample of 100 lines from one location. The sub-sample consisted </w:t>
      </w:r>
      <w:r w:rsidRPr="00021E5C">
        <w:rPr>
          <w:rFonts w:ascii="Times New Roman" w:eastAsia="Times New Roman" w:hAnsi="Times New Roman" w:cs="Times New Roman"/>
          <w:color w:val="000000"/>
        </w:rPr>
        <w:lastRenderedPageBreak/>
        <w:t xml:space="preserve">of all facultative types across all four families, parental checks, and Charles. For 2021, both preliminary yield trials(480 plots at two locations) were measured for PHS. </w:t>
      </w:r>
    </w:p>
    <w:p w14:paraId="7C82EA95" w14:textId="47EA821F"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For germination measurements in 2020, twelve to fifteen additional spikes were sampled from headrows of 444 lines in two locations two days after 50% of the headrow reached PM for use in germination tests. Some lines were omitted due to poor winter survival and low seed quality. In 2021, fifteen to twenty spikes were sampled from one complete location</w:t>
      </w:r>
      <w:r w:rsidR="00635AE6"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(480 plots</w:t>
      </w:r>
      <w:r w:rsidR="004F4017" w:rsidRPr="00021E5C">
        <w:rPr>
          <w:rFonts w:ascii="Times New Roman" w:eastAsia="Times New Roman" w:hAnsi="Times New Roman" w:cs="Times New Roman"/>
          <w:color w:val="000000"/>
        </w:rPr>
        <w:t>)</w:t>
      </w:r>
      <w:r w:rsidRPr="00021E5C">
        <w:rPr>
          <w:rFonts w:ascii="Times New Roman" w:eastAsia="Times New Roman" w:hAnsi="Times New Roman" w:cs="Times New Roman"/>
          <w:color w:val="000000"/>
        </w:rPr>
        <w:t xml:space="preserve"> and approximately 25% at the second location</w:t>
      </w:r>
      <w:r w:rsidR="00635AE6"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(120 plots). Furthermore, a subset of 240 plots were sampled for an additional 35-40 spikes for malt quality. Of the 240 plots, 120 were selected with shared lines between both locations</w:t>
      </w:r>
      <w:r w:rsidR="004F4017"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(60 lines at both locations) and the remaining 120 plots sampled were split evenly based on seed availability after we appropriated amounts for our germination tests.</w:t>
      </w:r>
    </w:p>
    <w:p w14:paraId="456E403A" w14:textId="12C040F7" w:rsidR="006D3129" w:rsidRPr="00021E5C" w:rsidRDefault="006D3129" w:rsidP="006D3129">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Spikes were dried for 48 hours before being hand threshed and frozen at -20 C. Grain was removed from the freezer 24 hours prior to starting the assays and stored at ambient lab temperature and humidity for the duration of the experiment. Germination energy (GE) and germination index</w:t>
      </w:r>
      <w:r w:rsidR="00635AE6" w:rsidRPr="00021E5C">
        <w:rPr>
          <w:rFonts w:ascii="Times New Roman" w:eastAsia="Times New Roman" w:hAnsi="Times New Roman" w:cs="Times New Roman"/>
          <w:color w:val="000000"/>
        </w:rPr>
        <w:t xml:space="preserve"> or rate</w:t>
      </w:r>
      <w:r w:rsidRPr="00021E5C">
        <w:rPr>
          <w:rFonts w:ascii="Times New Roman" w:eastAsia="Times New Roman" w:hAnsi="Times New Roman" w:cs="Times New Roman"/>
          <w:color w:val="000000"/>
        </w:rPr>
        <w:t xml:space="preserve"> (GI) were measured at five time points for 2020: 5 (TP1), 19 (TP2), 47 (TP3), 96 (TP4), and 152 (TP5) days post PM. Germination Energy(GE) and germination index</w:t>
      </w:r>
      <w:r w:rsidR="00635AE6" w:rsidRPr="00021E5C">
        <w:rPr>
          <w:rFonts w:ascii="Times New Roman" w:eastAsia="Times New Roman" w:hAnsi="Times New Roman" w:cs="Times New Roman"/>
          <w:color w:val="000000"/>
        </w:rPr>
        <w:t xml:space="preserve"> or rate </w:t>
      </w:r>
      <w:r w:rsidRPr="00021E5C">
        <w:rPr>
          <w:rFonts w:ascii="Times New Roman" w:eastAsia="Times New Roman" w:hAnsi="Times New Roman" w:cs="Times New Roman"/>
          <w:color w:val="000000"/>
        </w:rPr>
        <w:t>(GI) were measured at eight time points for 2021: 5(TP1), 12(TP1.5), 19 (TP2), 33(TP2.5), 47(TP3), 68 (TP3.5), 96 (TP4) and 152(TP5) days post PM. Germination tests followed the American Society of Brewing Chemists (ASBC) method</w:t>
      </w:r>
      <w:r w:rsidRPr="00021E5C">
        <w:rPr>
          <w:rFonts w:ascii="Times New Roman" w:eastAsia="Times New Roman" w:hAnsi="Times New Roman" w:cs="Times New Roman"/>
          <w:color w:val="FF0000"/>
        </w:rPr>
        <w:t xml:space="preserve"> </w:t>
      </w:r>
      <w:r w:rsidRPr="00021E5C">
        <w:rPr>
          <w:rFonts w:ascii="Times New Roman" w:eastAsia="Times New Roman" w:hAnsi="Times New Roman" w:cs="Times New Roman"/>
          <w:color w:val="000000"/>
        </w:rPr>
        <w:t>for GE with two modifications. The first modification was the use of 30 kernels instead of 100 kernels. The second modification was an extended germination count from 3 days to 5 days in lieu of counting for 3 days and using H</w:t>
      </w:r>
      <w:r w:rsidRPr="00021E5C">
        <w:rPr>
          <w:rFonts w:ascii="Times New Roman" w:eastAsia="Times New Roman" w:hAnsi="Times New Roman" w:cs="Times New Roman"/>
          <w:color w:val="000000"/>
          <w:vertAlign w:val="subscript"/>
        </w:rPr>
        <w:t>2</w:t>
      </w:r>
      <w:r w:rsidRPr="00021E5C">
        <w:rPr>
          <w:rFonts w:ascii="Times New Roman" w:eastAsia="Times New Roman" w:hAnsi="Times New Roman" w:cs="Times New Roman"/>
          <w:color w:val="000000"/>
        </w:rPr>
        <w:t>O</w:t>
      </w:r>
      <w:r w:rsidRPr="00021E5C">
        <w:rPr>
          <w:rFonts w:ascii="Times New Roman" w:eastAsia="Times New Roman" w:hAnsi="Times New Roman" w:cs="Times New Roman"/>
          <w:color w:val="000000"/>
          <w:vertAlign w:val="subscript"/>
        </w:rPr>
        <w:t>2</w:t>
      </w:r>
      <w:r w:rsidRPr="00021E5C">
        <w:rPr>
          <w:rFonts w:ascii="Times New Roman" w:eastAsia="Times New Roman" w:hAnsi="Times New Roman" w:cs="Times New Roman"/>
          <w:color w:val="000000"/>
        </w:rPr>
        <w:t xml:space="preserve"> to break dormancy. In brief, GE was calculated as the percentage germinated kernels after three days and for five days. </w:t>
      </w:r>
      <w:r w:rsidR="00635AE6" w:rsidRPr="00021E5C">
        <w:rPr>
          <w:rFonts w:ascii="Times New Roman" w:eastAsia="Times New Roman" w:hAnsi="Times New Roman" w:cs="Times New Roman"/>
          <w:color w:val="000000"/>
        </w:rPr>
        <w:t>GI</w:t>
      </w:r>
      <w:r w:rsidRPr="00021E5C">
        <w:rPr>
          <w:rFonts w:ascii="Times New Roman" w:eastAsia="Times New Roman" w:hAnsi="Times New Roman" w:cs="Times New Roman"/>
          <w:color w:val="000000"/>
        </w:rPr>
        <w:t xml:space="preserve"> was calculated as: </w:t>
      </w:r>
    </w:p>
    <w:p w14:paraId="31A2D2B4" w14:textId="77777777" w:rsidR="006D3129" w:rsidRPr="00021E5C" w:rsidRDefault="006D3129" w:rsidP="006D3129">
      <w:pPr>
        <w:spacing w:before="240" w:after="0" w:line="240" w:lineRule="auto"/>
        <w:jc w:val="center"/>
        <w:rPr>
          <w:rFonts w:ascii="Times New Roman" w:eastAsia="Times New Roman" w:hAnsi="Times New Roman" w:cs="Times New Roman"/>
        </w:rPr>
      </w:pPr>
      <w:r w:rsidRPr="00021E5C">
        <w:rPr>
          <w:rFonts w:ascii="Times New Roman" w:eastAsia="Times New Roman" w:hAnsi="Times New Roman" w:cs="Times New Roman"/>
          <w:i/>
          <w:iCs/>
          <w:color w:val="000000"/>
        </w:rPr>
        <w:t>3 Day GI =10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+2N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+3N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w:t>
      </w:r>
    </w:p>
    <w:p w14:paraId="4E7A10DE" w14:textId="77777777" w:rsidR="006D3129" w:rsidRPr="00021E5C" w:rsidRDefault="006D3129" w:rsidP="006D3129">
      <w:pPr>
        <w:spacing w:before="240" w:after="0" w:line="240" w:lineRule="auto"/>
        <w:jc w:val="center"/>
        <w:rPr>
          <w:rFonts w:ascii="Times New Roman" w:eastAsia="Times New Roman" w:hAnsi="Times New Roman" w:cs="Times New Roman"/>
        </w:rPr>
      </w:pPr>
      <w:r w:rsidRPr="00021E5C">
        <w:rPr>
          <w:rFonts w:ascii="Times New Roman" w:eastAsia="Times New Roman" w:hAnsi="Times New Roman" w:cs="Times New Roman"/>
          <w:i/>
          <w:iCs/>
          <w:color w:val="000000"/>
        </w:rPr>
        <w:t>5 Day GI =10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 xml:space="preserve"> +N</w:t>
      </w:r>
      <w:r w:rsidRPr="00021E5C">
        <w:rPr>
          <w:rFonts w:ascii="Times New Roman" w:eastAsia="Times New Roman" w:hAnsi="Times New Roman" w:cs="Times New Roman"/>
          <w:i/>
          <w:iCs/>
          <w:color w:val="000000"/>
          <w:vertAlign w:val="subscript"/>
        </w:rPr>
        <w:t>96</w:t>
      </w:r>
      <w:r w:rsidRPr="00021E5C">
        <w:rPr>
          <w:rFonts w:ascii="Times New Roman" w:eastAsia="Times New Roman" w:hAnsi="Times New Roman" w:cs="Times New Roman"/>
          <w:i/>
          <w:iCs/>
          <w:color w:val="000000"/>
        </w:rPr>
        <w:t>+N</w:t>
      </w:r>
      <w:r w:rsidRPr="00021E5C">
        <w:rPr>
          <w:rFonts w:ascii="Times New Roman" w:eastAsia="Times New Roman" w:hAnsi="Times New Roman" w:cs="Times New Roman"/>
          <w:i/>
          <w:iCs/>
          <w:color w:val="000000"/>
          <w:vertAlign w:val="subscript"/>
        </w:rPr>
        <w:t>120</w:t>
      </w:r>
      <w:r w:rsidRPr="00021E5C">
        <w:rPr>
          <w:rFonts w:ascii="Times New Roman" w:eastAsia="Times New Roman" w:hAnsi="Times New Roman" w:cs="Times New Roman"/>
          <w:i/>
          <w:iCs/>
          <w:color w:val="000000"/>
        </w:rPr>
        <w:t>)/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+2N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+3N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+4N</w:t>
      </w:r>
      <w:r w:rsidRPr="00021E5C">
        <w:rPr>
          <w:rFonts w:ascii="Times New Roman" w:eastAsia="Times New Roman" w:hAnsi="Times New Roman" w:cs="Times New Roman"/>
          <w:i/>
          <w:iCs/>
          <w:color w:val="000000"/>
          <w:vertAlign w:val="subscript"/>
        </w:rPr>
        <w:t>96</w:t>
      </w:r>
      <w:r w:rsidRPr="00021E5C">
        <w:rPr>
          <w:rFonts w:ascii="Times New Roman" w:eastAsia="Times New Roman" w:hAnsi="Times New Roman" w:cs="Times New Roman"/>
          <w:i/>
          <w:iCs/>
          <w:color w:val="000000"/>
        </w:rPr>
        <w:t xml:space="preserve"> +5N</w:t>
      </w:r>
      <w:r w:rsidRPr="00021E5C">
        <w:rPr>
          <w:rFonts w:ascii="Times New Roman" w:eastAsia="Times New Roman" w:hAnsi="Times New Roman" w:cs="Times New Roman"/>
          <w:i/>
          <w:iCs/>
          <w:color w:val="000000"/>
          <w:vertAlign w:val="subscript"/>
        </w:rPr>
        <w:t>120</w:t>
      </w:r>
      <w:r w:rsidRPr="00021E5C">
        <w:rPr>
          <w:rFonts w:ascii="Times New Roman" w:eastAsia="Times New Roman" w:hAnsi="Times New Roman" w:cs="Times New Roman"/>
          <w:i/>
          <w:iCs/>
          <w:color w:val="000000"/>
        </w:rPr>
        <w:t>)</w:t>
      </w:r>
    </w:p>
    <w:p w14:paraId="3BE5E772" w14:textId="0096E768"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where N</w:t>
      </w:r>
      <w:r w:rsidRPr="00021E5C">
        <w:rPr>
          <w:rFonts w:ascii="Times New Roman" w:eastAsia="Times New Roman" w:hAnsi="Times New Roman" w:cs="Times New Roman"/>
          <w:color w:val="000000"/>
          <w:vertAlign w:val="subscript"/>
        </w:rPr>
        <w:t>24</w:t>
      </w:r>
      <w:r w:rsidRPr="00021E5C">
        <w:rPr>
          <w:rFonts w:ascii="Times New Roman" w:eastAsia="Times New Roman" w:hAnsi="Times New Roman" w:cs="Times New Roman"/>
          <w:color w:val="000000"/>
        </w:rPr>
        <w:t>, N</w:t>
      </w:r>
      <w:r w:rsidRPr="00021E5C">
        <w:rPr>
          <w:rFonts w:ascii="Times New Roman" w:eastAsia="Times New Roman" w:hAnsi="Times New Roman" w:cs="Times New Roman"/>
          <w:color w:val="000000"/>
          <w:vertAlign w:val="subscript"/>
        </w:rPr>
        <w:t>48</w:t>
      </w:r>
      <w:r w:rsidRPr="00021E5C">
        <w:rPr>
          <w:rFonts w:ascii="Times New Roman" w:eastAsia="Times New Roman" w:hAnsi="Times New Roman" w:cs="Times New Roman"/>
          <w:color w:val="000000"/>
        </w:rPr>
        <w:t>, N</w:t>
      </w:r>
      <w:r w:rsidRPr="00021E5C">
        <w:rPr>
          <w:rFonts w:ascii="Times New Roman" w:eastAsia="Times New Roman" w:hAnsi="Times New Roman" w:cs="Times New Roman"/>
          <w:color w:val="000000"/>
          <w:vertAlign w:val="subscript"/>
        </w:rPr>
        <w:t>72</w:t>
      </w:r>
      <w:r w:rsidRPr="00021E5C">
        <w:rPr>
          <w:rFonts w:ascii="Times New Roman" w:eastAsia="Times New Roman" w:hAnsi="Times New Roman" w:cs="Times New Roman"/>
          <w:color w:val="000000"/>
        </w:rPr>
        <w:t>, N</w:t>
      </w:r>
      <w:r w:rsidRPr="00021E5C">
        <w:rPr>
          <w:rFonts w:ascii="Times New Roman" w:eastAsia="Times New Roman" w:hAnsi="Times New Roman" w:cs="Times New Roman"/>
          <w:color w:val="000000"/>
          <w:vertAlign w:val="subscript"/>
        </w:rPr>
        <w:t>96</w:t>
      </w:r>
      <w:r w:rsidRPr="00021E5C">
        <w:rPr>
          <w:rFonts w:ascii="Times New Roman" w:eastAsia="Times New Roman" w:hAnsi="Times New Roman" w:cs="Times New Roman"/>
          <w:color w:val="000000"/>
        </w:rPr>
        <w:t xml:space="preserve"> and N</w:t>
      </w:r>
      <w:r w:rsidRPr="00021E5C">
        <w:rPr>
          <w:rFonts w:ascii="Times New Roman" w:eastAsia="Times New Roman" w:hAnsi="Times New Roman" w:cs="Times New Roman"/>
          <w:color w:val="000000"/>
          <w:vertAlign w:val="subscript"/>
        </w:rPr>
        <w:t xml:space="preserve">120 </w:t>
      </w:r>
      <w:r w:rsidRPr="00021E5C">
        <w:rPr>
          <w:rFonts w:ascii="Times New Roman" w:eastAsia="Times New Roman" w:hAnsi="Times New Roman" w:cs="Times New Roman"/>
          <w:color w:val="000000"/>
        </w:rPr>
        <w:t>were the number of germinated kernels at 24, 48, 72, 96 and 120 hours after the start of the assay. For analysis GI was scaled by GE as GI</w:t>
      </w:r>
      <w:r w:rsidRPr="00021E5C">
        <w:rPr>
          <w:rFonts w:ascii="Times New Roman" w:eastAsia="Times New Roman" w:hAnsi="Times New Roman" w:cs="Times New Roman"/>
          <w:color w:val="000000"/>
          <w:vertAlign w:val="subscript"/>
        </w:rPr>
        <w:t>scale</w:t>
      </w:r>
      <w:r w:rsidRPr="00021E5C">
        <w:rPr>
          <w:rFonts w:ascii="Times New Roman" w:eastAsia="Times New Roman" w:hAnsi="Times New Roman" w:cs="Times New Roman"/>
          <w:color w:val="000000"/>
        </w:rPr>
        <w:t xml:space="preserve"> = GI*GE to account for low germination at TP1 and TP2.  For TP1 in 2020, a subset of the lines (223) was phenotyped compared to the remaining timepoints (444). The TP1 subsample included for the remaining lines. For sampling in 2022, we only sampled one complete location</w:t>
      </w:r>
      <w:r w:rsidR="004F4017"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(480 plots) and 120 plots at the second location. For the second location, 60 of the 120 lines were sampled based on a range of their respective GE and GI rates measured from the previous field season. The remaining 60 samples consisted of sampling check lines and available seed.</w:t>
      </w:r>
    </w:p>
    <w:p w14:paraId="7DECCF3C" w14:textId="6580A7F3"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In addition to measuring germination, a 120 line subset previously mentioned were sent to the USDA Cereal Crops and research unit(CCRU) in Madison, WI. The small grain samples were frozen upon arrival. Each line was malted in single replicates at two different time points 67 days post PM and 152 post PM, a modification from our original plan of 47/111 days post PM due to substantial observed dormancy at 47 days post PM. Due to limits on how many tea ball samples could be malted at one time, the samples were malted in batches every week for two months. Malting procedure and analysis were performed in the methods described by </w:t>
      </w:r>
      <w:r w:rsidR="00635AE6" w:rsidRPr="00021E5C">
        <w:rPr>
          <w:rFonts w:ascii="Times New Roman" w:hAnsi="Times New Roman" w:cs="Times New Roman"/>
        </w:rPr>
        <w:t>Schmitt</w:t>
      </w:r>
      <w:r w:rsidR="00635AE6" w:rsidRPr="00021E5C">
        <w:rPr>
          <w:rFonts w:ascii="Times New Roman" w:hAnsi="Times New Roman" w:cs="Times New Roman"/>
        </w:rPr>
        <w:t xml:space="preserve"> &amp; Budde 2011</w:t>
      </w:r>
      <w:r w:rsidR="001F38AD" w:rsidRPr="00021E5C">
        <w:rPr>
          <w:rFonts w:ascii="Times New Roman" w:eastAsia="Times New Roman" w:hAnsi="Times New Roman" w:cs="Times New Roman"/>
          <w:color w:val="000000"/>
        </w:rPr>
        <w:t>.</w:t>
      </w:r>
      <w:r w:rsidRPr="00021E5C">
        <w:rPr>
          <w:rFonts w:ascii="Times New Roman" w:eastAsia="Times New Roman" w:hAnsi="Times New Roman" w:cs="Times New Roman"/>
          <w:color w:val="000000"/>
        </w:rPr>
        <w:t xml:space="preserve"> We are still waiting on the last batch to be </w:t>
      </w:r>
      <w:r w:rsidR="001F38AD" w:rsidRPr="00021E5C">
        <w:rPr>
          <w:rFonts w:ascii="Times New Roman" w:eastAsia="Times New Roman" w:hAnsi="Times New Roman" w:cs="Times New Roman"/>
          <w:color w:val="000000"/>
        </w:rPr>
        <w:t>analyzed and</w:t>
      </w:r>
      <w:r w:rsidRPr="00021E5C">
        <w:rPr>
          <w:rFonts w:ascii="Times New Roman" w:eastAsia="Times New Roman" w:hAnsi="Times New Roman" w:cs="Times New Roman"/>
          <w:color w:val="000000"/>
        </w:rPr>
        <w:t xml:space="preserve"> aim to write a supplemental report once the complete malting data for the winter barley becomes available. Preliminary results indicate that there was significant dormancy for some lines when the grain was malted at 68 days post PM, given the high beta glucan levels.</w:t>
      </w:r>
    </w:p>
    <w:p w14:paraId="00D7344D"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                   </w:t>
      </w:r>
    </w:p>
    <w:p w14:paraId="5AFE190E" w14:textId="14993897" w:rsidR="006D3129" w:rsidRPr="00021E5C" w:rsidRDefault="006D3129" w:rsidP="006D3129">
      <w:pPr>
        <w:spacing w:before="240" w:after="24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We previously reported development of a high-throughput Kompetitive Allele Specific Primer (KASP) marker AlaAT1_L214F for the causal mutation in </w:t>
      </w:r>
      <w:r w:rsidRPr="00021E5C">
        <w:rPr>
          <w:rFonts w:ascii="Times New Roman" w:eastAsia="Times New Roman" w:hAnsi="Times New Roman" w:cs="Times New Roman"/>
          <w:i/>
          <w:iCs/>
          <w:color w:val="000000"/>
        </w:rPr>
        <w:t xml:space="preserve">HvAlaAT1 </w:t>
      </w:r>
      <w:r w:rsidRPr="00021E5C">
        <w:rPr>
          <w:rFonts w:ascii="Times New Roman" w:eastAsia="Times New Roman" w:hAnsi="Times New Roman" w:cs="Times New Roman"/>
          <w:color w:val="000000"/>
        </w:rPr>
        <w:t xml:space="preserve">discovered by Sato et al. (2016). We also developed KASP assays for a SNP in the 5’ UTR of </w:t>
      </w:r>
      <w:r w:rsidRPr="00021E5C">
        <w:rPr>
          <w:rFonts w:ascii="Times New Roman" w:eastAsia="Times New Roman" w:hAnsi="Times New Roman" w:cs="Times New Roman"/>
          <w:i/>
          <w:iCs/>
          <w:color w:val="000000"/>
        </w:rPr>
        <w:t xml:space="preserve">HvGA20ox1 </w:t>
      </w:r>
      <w:r w:rsidRPr="00021E5C">
        <w:rPr>
          <w:rFonts w:ascii="Times New Roman" w:eastAsia="Times New Roman" w:hAnsi="Times New Roman" w:cs="Times New Roman"/>
          <w:color w:val="000000"/>
        </w:rPr>
        <w:t xml:space="preserve">(GA20ox1_331_5UTR), the E165Q mutation in </w:t>
      </w:r>
      <w:r w:rsidRPr="00021E5C">
        <w:rPr>
          <w:rFonts w:ascii="Times New Roman" w:eastAsia="Times New Roman" w:hAnsi="Times New Roman" w:cs="Times New Roman"/>
          <w:i/>
          <w:iCs/>
          <w:color w:val="000000"/>
        </w:rPr>
        <w:t xml:space="preserve">HvMKK3 </w:t>
      </w:r>
      <w:r w:rsidRPr="00021E5C">
        <w:rPr>
          <w:rFonts w:ascii="Times New Roman" w:eastAsia="Times New Roman" w:hAnsi="Times New Roman" w:cs="Times New Roman"/>
          <w:color w:val="000000"/>
        </w:rPr>
        <w:t xml:space="preserve">identified in Vetch et al. (2020) for both spring barley and winter barley. A summary of the </w:t>
      </w:r>
      <w:r w:rsidR="00244E96" w:rsidRPr="00021E5C">
        <w:rPr>
          <w:rFonts w:ascii="Times New Roman" w:eastAsia="Times New Roman" w:hAnsi="Times New Roman" w:cs="Times New Roman"/>
          <w:color w:val="000000"/>
        </w:rPr>
        <w:t xml:space="preserve">winter barley </w:t>
      </w:r>
      <w:r w:rsidRPr="00021E5C">
        <w:rPr>
          <w:rFonts w:ascii="Times New Roman" w:eastAsia="Times New Roman" w:hAnsi="Times New Roman" w:cs="Times New Roman"/>
          <w:color w:val="000000"/>
        </w:rPr>
        <w:t>haplotypes for the parent lines and checks are found in QTL x environment modeling of malting barley preharvest sprouting</w:t>
      </w:r>
      <w:r w:rsidR="00244E96"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 xml:space="preserve">(Sweeney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w:t>
      </w:r>
      <w:r w:rsidR="00525653" w:rsidRPr="00021E5C">
        <w:rPr>
          <w:rFonts w:ascii="Times New Roman" w:eastAsia="Times New Roman" w:hAnsi="Times New Roman" w:cs="Times New Roman"/>
          <w:color w:val="000000"/>
        </w:rPr>
        <w:t>representation</w:t>
      </w:r>
      <w:r w:rsidRPr="00021E5C">
        <w:rPr>
          <w:rFonts w:ascii="Times New Roman" w:eastAsia="Times New Roman" w:hAnsi="Times New Roman" w:cs="Times New Roman"/>
          <w:color w:val="000000"/>
        </w:rPr>
        <w:t xml:space="preserve"> in the </w:t>
      </w:r>
      <w:r w:rsidR="00244E96" w:rsidRPr="00021E5C">
        <w:rPr>
          <w:rFonts w:ascii="Times New Roman" w:eastAsia="Times New Roman" w:hAnsi="Times New Roman" w:cs="Times New Roman"/>
          <w:color w:val="000000"/>
        </w:rPr>
        <w:t xml:space="preserve">winter barley </w:t>
      </w:r>
      <w:r w:rsidRPr="00021E5C">
        <w:rPr>
          <w:rFonts w:ascii="Times New Roman" w:eastAsia="Times New Roman" w:hAnsi="Times New Roman" w:cs="Times New Roman"/>
          <w:color w:val="000000"/>
        </w:rPr>
        <w:t>population.</w:t>
      </w:r>
    </w:p>
    <w:p w14:paraId="409032D6" w14:textId="3C0F7F13" w:rsidR="006D3129" w:rsidRPr="00021E5C" w:rsidRDefault="006D3129" w:rsidP="006D3129">
      <w:pPr>
        <w:spacing w:before="240" w:after="0" w:line="240" w:lineRule="auto"/>
        <w:rPr>
          <w:rFonts w:ascii="Times New Roman" w:eastAsia="Times New Roman" w:hAnsi="Times New Roman" w:cs="Times New Roman"/>
          <w:color w:val="000000"/>
          <w:shd w:val="clear" w:color="auto" w:fill="FFFFFF"/>
        </w:rPr>
      </w:pPr>
      <w:r w:rsidRPr="00021E5C">
        <w:rPr>
          <w:rFonts w:ascii="Times New Roman" w:eastAsia="Times New Roman" w:hAnsi="Times New Roman" w:cs="Times New Roman"/>
          <w:color w:val="000000"/>
        </w:rPr>
        <w:lastRenderedPageBreak/>
        <w:t xml:space="preserve">All lines were genotyped with the </w:t>
      </w:r>
      <w:r w:rsidRPr="00021E5C">
        <w:rPr>
          <w:rFonts w:ascii="Times New Roman" w:eastAsia="Times New Roman" w:hAnsi="Times New Roman" w:cs="Times New Roman"/>
          <w:color w:val="000000"/>
          <w:shd w:val="clear" w:color="auto" w:fill="FFFFFF"/>
        </w:rPr>
        <w:t xml:space="preserve">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 </w:t>
      </w:r>
      <w:r w:rsidRPr="00021E5C">
        <w:rPr>
          <w:rFonts w:ascii="Times New Roman" w:eastAsia="Times New Roman" w:hAnsi="Times New Roman" w:cs="Times New Roman"/>
          <w:i/>
          <w:iCs/>
          <w:color w:val="000000"/>
          <w:shd w:val="clear" w:color="auto" w:fill="FFFFFF"/>
        </w:rPr>
        <w:t xml:space="preserve">GAPIT </w:t>
      </w:r>
      <w:r w:rsidRPr="00021E5C">
        <w:rPr>
          <w:rFonts w:ascii="Times New Roman" w:eastAsia="Times New Roman" w:hAnsi="Times New Roman" w:cs="Times New Roman"/>
          <w:color w:val="000000"/>
          <w:shd w:val="clear" w:color="auto" w:fill="FFFFFF"/>
        </w:rPr>
        <w:t>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w:t>
      </w:r>
      <w:r w:rsidR="00244E96" w:rsidRPr="00021E5C">
        <w:rPr>
          <w:rFonts w:ascii="Times New Roman" w:eastAsia="Times New Roman" w:hAnsi="Times New Roman" w:cs="Times New Roman"/>
          <w:color w:val="000000"/>
          <w:shd w:val="clear" w:color="auto" w:fill="FFFFFF"/>
        </w:rPr>
        <w:t xml:space="preserve"> </w:t>
      </w:r>
      <w:r w:rsidRPr="00021E5C">
        <w:rPr>
          <w:rFonts w:ascii="Times New Roman" w:eastAsia="Times New Roman" w:hAnsi="Times New Roman" w:cs="Times New Roman"/>
          <w:color w:val="000000"/>
          <w:shd w:val="clear" w:color="auto" w:fill="FFFFFF"/>
        </w:rPr>
        <w:t>In addition to single timepoint GWAS, we used time series analysis to develop models that represent dormancy breakage over time. Details of the methods can be found in</w:t>
      </w:r>
      <w:r w:rsidR="004D673D" w:rsidRPr="00021E5C">
        <w:rPr>
          <w:rFonts w:ascii="Times New Roman" w:eastAsia="Times New Roman" w:hAnsi="Times New Roman" w:cs="Times New Roman"/>
          <w:color w:val="000000"/>
          <w:shd w:val="clear" w:color="auto" w:fill="FFFFFF"/>
        </w:rPr>
        <w:t xml:space="preserve"> </w:t>
      </w:r>
      <w:r w:rsidR="00244E96" w:rsidRPr="00021E5C">
        <w:rPr>
          <w:rFonts w:ascii="Times New Roman" w:eastAsia="Times New Roman" w:hAnsi="Times New Roman" w:cs="Times New Roman"/>
          <w:color w:val="000000"/>
          <w:shd w:val="clear" w:color="auto" w:fill="FFFFFF"/>
        </w:rPr>
        <w:t>Rooney. et. al 2022</w:t>
      </w:r>
      <w:r w:rsidR="004D673D" w:rsidRPr="00021E5C">
        <w:rPr>
          <w:rFonts w:ascii="Times New Roman" w:eastAsia="Times New Roman" w:hAnsi="Times New Roman" w:cs="Times New Roman"/>
          <w:color w:val="000000"/>
          <w:shd w:val="clear" w:color="auto" w:fill="FFFFFF"/>
        </w:rPr>
        <w:t xml:space="preserve">. </w:t>
      </w:r>
      <w:r w:rsidRPr="00021E5C">
        <w:rPr>
          <w:rFonts w:ascii="Times New Roman" w:eastAsia="Times New Roman" w:hAnsi="Times New Roman" w:cs="Times New Roman"/>
          <w:color w:val="000000"/>
          <w:shd w:val="clear" w:color="auto" w:fill="FFFFFF"/>
        </w:rPr>
        <w:t xml:space="preserve">Briefly, each line </w:t>
      </w:r>
      <w:r w:rsidR="00300B40" w:rsidRPr="00021E5C">
        <w:rPr>
          <w:rFonts w:ascii="Times New Roman" w:eastAsia="Times New Roman" w:hAnsi="Times New Roman" w:cs="Times New Roman"/>
          <w:color w:val="000000"/>
          <w:shd w:val="clear" w:color="auto" w:fill="FFFFFF"/>
        </w:rPr>
        <w:t xml:space="preserve">was modelled in a logistic curve representing the </w:t>
      </w:r>
      <w:r w:rsidR="00635AE6" w:rsidRPr="00021E5C">
        <w:rPr>
          <w:rFonts w:ascii="Times New Roman" w:eastAsia="Times New Roman" w:hAnsi="Times New Roman" w:cs="Times New Roman"/>
          <w:color w:val="000000"/>
          <w:shd w:val="clear" w:color="auto" w:fill="FFFFFF"/>
        </w:rPr>
        <w:t>GE</w:t>
      </w:r>
      <w:r w:rsidR="00300B40" w:rsidRPr="00021E5C">
        <w:rPr>
          <w:rFonts w:ascii="Times New Roman" w:eastAsia="Times New Roman" w:hAnsi="Times New Roman" w:cs="Times New Roman"/>
          <w:color w:val="000000"/>
          <w:shd w:val="clear" w:color="auto" w:fill="FFFFFF"/>
        </w:rPr>
        <w:t xml:space="preserve"> and rate over time, both with years and combined years. We derived components of the logistic curve, such as time to 95% germination or time to 5.0 </w:t>
      </w:r>
      <w:r w:rsidR="00635AE6" w:rsidRPr="00021E5C">
        <w:rPr>
          <w:rFonts w:ascii="Times New Roman" w:eastAsia="Times New Roman" w:hAnsi="Times New Roman" w:cs="Times New Roman"/>
          <w:color w:val="000000"/>
          <w:shd w:val="clear" w:color="auto" w:fill="FFFFFF"/>
        </w:rPr>
        <w:t>GI</w:t>
      </w:r>
      <w:r w:rsidR="00300B40" w:rsidRPr="00021E5C">
        <w:rPr>
          <w:rFonts w:ascii="Times New Roman" w:eastAsia="Times New Roman" w:hAnsi="Times New Roman" w:cs="Times New Roman"/>
          <w:color w:val="000000"/>
          <w:shd w:val="clear" w:color="auto" w:fill="FFFFFF"/>
        </w:rPr>
        <w:t>, to determine what novel loci, if any, can be detected if we use the timepoint data as a complete model compared to conducting GWA on each timepoint independently.</w:t>
      </w:r>
    </w:p>
    <w:p w14:paraId="2D63705A" w14:textId="77777777" w:rsidR="006D3129" w:rsidRPr="00021E5C" w:rsidRDefault="006D3129" w:rsidP="006D3129">
      <w:pPr>
        <w:spacing w:after="240" w:line="240" w:lineRule="auto"/>
        <w:rPr>
          <w:rFonts w:ascii="Times New Roman" w:eastAsia="Times New Roman" w:hAnsi="Times New Roman" w:cs="Times New Roman"/>
        </w:rPr>
      </w:pPr>
    </w:p>
    <w:p w14:paraId="5AD9F287" w14:textId="77777777"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Results</w:t>
      </w:r>
    </w:p>
    <w:p w14:paraId="763A09F8" w14:textId="77777777" w:rsidR="006D3129" w:rsidRPr="00021E5C" w:rsidRDefault="006D3129" w:rsidP="006D3129">
      <w:pPr>
        <w:spacing w:after="0" w:line="240" w:lineRule="auto"/>
        <w:rPr>
          <w:rFonts w:ascii="Times New Roman" w:eastAsia="Times New Roman" w:hAnsi="Times New Roman" w:cs="Times New Roman"/>
        </w:rPr>
      </w:pPr>
    </w:p>
    <w:p w14:paraId="2B9D62A2" w14:textId="77777777"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Pre-harvest sprouting</w:t>
      </w:r>
    </w:p>
    <w:p w14:paraId="4FDDBE49" w14:textId="77777777" w:rsidR="006D3129" w:rsidRPr="00021E5C" w:rsidRDefault="006D3129" w:rsidP="006D3129">
      <w:pPr>
        <w:spacing w:after="0" w:line="240" w:lineRule="auto"/>
        <w:rPr>
          <w:rFonts w:ascii="Times New Roman" w:eastAsia="Times New Roman" w:hAnsi="Times New Roman" w:cs="Times New Roman"/>
        </w:rPr>
      </w:pPr>
    </w:p>
    <w:p w14:paraId="25F69C0A" w14:textId="551CB8FE"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w:t>
      </w:r>
      <w:r w:rsidR="004D673D" w:rsidRPr="00021E5C">
        <w:rPr>
          <w:rFonts w:ascii="Times New Roman" w:eastAsia="Times New Roman" w:hAnsi="Times New Roman" w:cs="Times New Roman"/>
        </w:rPr>
        <w:t xml:space="preserve"> </w:t>
      </w:r>
      <w:r w:rsidRPr="00021E5C">
        <w:rPr>
          <w:rFonts w:ascii="Times New Roman" w:eastAsia="Times New Roman" w:hAnsi="Times New Roman" w:cs="Times New Roman"/>
          <w:color w:val="000000"/>
        </w:rPr>
        <w:t>In our first complete year observation of the 435 unique lines in our trials, we found that 95% of our experimental lines were pre-harvest sprouting resistant</w:t>
      </w:r>
      <w:r w:rsidR="0052565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(0-2 score) across two locations. Approximately 4.4 % were somewhat resistant (2-4) and only 1.6 % of our lines were PHS susceptible</w:t>
      </w:r>
      <w:r w:rsidR="001A7A9A"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(above 4). The low mean of phs for most of the lines is encouraging, however phs needs to be tested in at least more than one year to account for different environmental effects. This is particularly important given the significant increased dormancy we observed for the 2021 year</w:t>
      </w:r>
      <w:r w:rsidR="001F38AD" w:rsidRPr="00021E5C">
        <w:rPr>
          <w:rFonts w:ascii="Times New Roman" w:eastAsia="Times New Roman" w:hAnsi="Times New Roman" w:cs="Times New Roman"/>
        </w:rPr>
        <w:t xml:space="preserve">. </w:t>
      </w:r>
      <w:r w:rsidRPr="00021E5C">
        <w:rPr>
          <w:rFonts w:ascii="Times New Roman" w:eastAsia="Times New Roman" w:hAnsi="Times New Roman" w:cs="Times New Roman"/>
          <w:color w:val="000000"/>
        </w:rPr>
        <w:t>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w:t>
      </w:r>
      <w:r w:rsidR="001F38AD" w:rsidRPr="00021E5C">
        <w:rPr>
          <w:rFonts w:ascii="Times New Roman" w:eastAsia="Times New Roman" w:hAnsi="Times New Roman" w:cs="Times New Roman"/>
        </w:rPr>
        <w:t xml:space="preserve">. </w:t>
      </w:r>
      <w:r w:rsidRPr="00021E5C">
        <w:rPr>
          <w:rFonts w:ascii="Times New Roman" w:eastAsia="Times New Roman" w:hAnsi="Times New Roman" w:cs="Times New Roman"/>
          <w:color w:val="000000"/>
        </w:rPr>
        <w:t xml:space="preserve">Broad sense </w:t>
      </w:r>
      <w:r w:rsidR="001F38AD" w:rsidRPr="00021E5C">
        <w:rPr>
          <w:rFonts w:ascii="Times New Roman" w:eastAsia="Times New Roman" w:hAnsi="Times New Roman" w:cs="Times New Roman"/>
          <w:color w:val="000000"/>
        </w:rPr>
        <w:t>heritability</w:t>
      </w:r>
      <w:r w:rsidRPr="00021E5C">
        <w:rPr>
          <w:rFonts w:ascii="Times New Roman" w:eastAsia="Times New Roman" w:hAnsi="Times New Roman" w:cs="Times New Roman"/>
          <w:color w:val="000000"/>
        </w:rPr>
        <w:t xml:space="preserve"> for all germination traits, </w:t>
      </w:r>
      <w:r w:rsidR="001F38AD" w:rsidRPr="00021E5C">
        <w:rPr>
          <w:rFonts w:ascii="Times New Roman" w:eastAsia="Times New Roman" w:hAnsi="Times New Roman" w:cs="Times New Roman"/>
          <w:color w:val="000000"/>
        </w:rPr>
        <w:t>timepoints, years</w:t>
      </w:r>
      <w:r w:rsidRPr="00021E5C">
        <w:rPr>
          <w:rFonts w:ascii="Times New Roman" w:eastAsia="Times New Roman" w:hAnsi="Times New Roman" w:cs="Times New Roman"/>
          <w:color w:val="000000"/>
        </w:rPr>
        <w:t xml:space="preserve"> and combinations were very high(0.9). Heritability dropped slight for GE at later time points due to reduced variation but still retained heritability values </w:t>
      </w:r>
      <w:r w:rsidR="00160300" w:rsidRPr="00021E5C">
        <w:rPr>
          <w:rFonts w:ascii="Times New Roman" w:eastAsia="Times New Roman" w:hAnsi="Times New Roman" w:cs="Times New Roman"/>
          <w:color w:val="000000"/>
        </w:rPr>
        <w:t>a minimum</w:t>
      </w:r>
      <w:r w:rsidRPr="00021E5C">
        <w:rPr>
          <w:rFonts w:ascii="Times New Roman" w:eastAsia="Times New Roman" w:hAnsi="Times New Roman" w:cs="Times New Roman"/>
          <w:color w:val="000000"/>
        </w:rPr>
        <w:t>~0.75. </w:t>
      </w:r>
    </w:p>
    <w:p w14:paraId="1745E1D6" w14:textId="77777777" w:rsidR="006D3129" w:rsidRPr="00021E5C" w:rsidRDefault="006D3129" w:rsidP="006D3129">
      <w:pPr>
        <w:spacing w:after="0" w:line="240" w:lineRule="auto"/>
        <w:rPr>
          <w:rFonts w:ascii="Times New Roman" w:eastAsia="Times New Roman" w:hAnsi="Times New Roman" w:cs="Times New Roman"/>
        </w:rPr>
      </w:pPr>
    </w:p>
    <w:p w14:paraId="00CCEBED" w14:textId="77777777"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Genome wide association results</w:t>
      </w:r>
    </w:p>
    <w:p w14:paraId="1420EEDA" w14:textId="5CA0DE27" w:rsidR="004F4017" w:rsidRPr="00021E5C" w:rsidRDefault="006D3129" w:rsidP="004F4017">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 xml:space="preserve">For single timepoint GWAS, we found a total of </w:t>
      </w:r>
      <w:r w:rsidR="004F4017" w:rsidRPr="00021E5C">
        <w:rPr>
          <w:rFonts w:ascii="Times New Roman" w:eastAsia="Times New Roman" w:hAnsi="Times New Roman" w:cs="Times New Roman"/>
          <w:color w:val="000000"/>
        </w:rPr>
        <w:t>37</w:t>
      </w:r>
      <w:r w:rsidRPr="00021E5C">
        <w:rPr>
          <w:rFonts w:ascii="Times New Roman" w:eastAsia="Times New Roman" w:hAnsi="Times New Roman" w:cs="Times New Roman"/>
          <w:color w:val="000000"/>
        </w:rPr>
        <w:t xml:space="preserve"> significant marker trait associations associated with GE and GI across all timepoints and years. </w:t>
      </w:r>
      <w:r w:rsidR="006C3633" w:rsidRPr="00021E5C">
        <w:rPr>
          <w:rFonts w:ascii="Times New Roman" w:eastAsia="Times New Roman" w:hAnsi="Times New Roman" w:cs="Times New Roman"/>
          <w:color w:val="000000"/>
        </w:rPr>
        <w:t>One marker per LD group of the significant single time point GWA was selected in table 1 to prevent redundancy</w:t>
      </w:r>
      <w:r w:rsidR="004F4017" w:rsidRPr="00021E5C">
        <w:rPr>
          <w:rFonts w:ascii="Times New Roman" w:eastAsia="Times New Roman" w:hAnsi="Times New Roman" w:cs="Times New Roman"/>
          <w:color w:val="000000"/>
        </w:rPr>
        <w:t xml:space="preserve">. Significant marker trait associations from the logistic models were also included. </w:t>
      </w:r>
      <w:r w:rsidRPr="00021E5C">
        <w:rPr>
          <w:rFonts w:ascii="Times New Roman" w:eastAsia="Times New Roman" w:hAnsi="Times New Roman" w:cs="Times New Roman"/>
          <w:color w:val="000000"/>
        </w:rPr>
        <w:t>The most significant association was the KASP marker for AlaAT_L214F(Qsd1) and the closely associated 50K JHI-Hv50k-2016-276836(r=0.91) marker.</w:t>
      </w:r>
      <w:r w:rsidR="001F38AD" w:rsidRPr="00021E5C">
        <w:rPr>
          <w:rFonts w:ascii="Times New Roman" w:eastAsia="Times New Roman" w:hAnsi="Times New Roman" w:cs="Times New Roman"/>
          <w:color w:val="000000"/>
        </w:rPr>
        <w:t xml:space="preserve"> Other potential hits detected in the study include </w:t>
      </w:r>
      <w:r w:rsidR="001F38AD" w:rsidRPr="00021E5C">
        <w:rPr>
          <w:rFonts w:ascii="Times New Roman" w:eastAsia="Times New Roman" w:hAnsi="Times New Roman" w:cs="Times New Roman"/>
          <w:color w:val="000000"/>
        </w:rPr>
        <w:t>Isoamylase (</w:t>
      </w:r>
      <w:r w:rsidR="001F38AD" w:rsidRPr="00021E5C">
        <w:rPr>
          <w:rFonts w:ascii="Times New Roman" w:eastAsia="Times New Roman" w:hAnsi="Times New Roman" w:cs="Times New Roman"/>
          <w:i/>
          <w:iCs/>
          <w:color w:val="000000"/>
        </w:rPr>
        <w:t>HvISA3</w:t>
      </w:r>
      <w:r w:rsidR="001F38AD" w:rsidRPr="00021E5C">
        <w:rPr>
          <w:rFonts w:ascii="Times New Roman" w:eastAsia="Times New Roman" w:hAnsi="Times New Roman" w:cs="Times New Roman"/>
          <w:color w:val="000000"/>
        </w:rPr>
        <w:t>,</w:t>
      </w:r>
      <w:r w:rsidR="001F38AD" w:rsidRPr="00021E5C">
        <w:rPr>
          <w:rFonts w:ascii="Times New Roman" w:eastAsia="Times New Roman" w:hAnsi="Times New Roman" w:cs="Times New Roman"/>
          <w:color w:val="333333"/>
          <w:shd w:val="clear" w:color="auto" w:fill="FFFFFF"/>
        </w:rPr>
        <w:t>HORVU.MOREX.r2.5HG0404420)</w:t>
      </w:r>
      <w:r w:rsidR="001F38AD" w:rsidRPr="00021E5C">
        <w:rPr>
          <w:rFonts w:ascii="Times New Roman" w:eastAsia="Times New Roman" w:hAnsi="Times New Roman" w:cs="Times New Roman"/>
          <w:color w:val="333333"/>
          <w:shd w:val="clear" w:color="auto" w:fill="FFFFFF"/>
        </w:rPr>
        <w:t xml:space="preserve"> which</w:t>
      </w:r>
      <w:r w:rsidR="001F38AD" w:rsidRPr="00021E5C">
        <w:rPr>
          <w:rFonts w:ascii="Times New Roman" w:eastAsia="Times New Roman" w:hAnsi="Times New Roman" w:cs="Times New Roman"/>
          <w:color w:val="000000"/>
        </w:rPr>
        <w:t xml:space="preserve"> is a starch-debranching enzyme located at </w:t>
      </w:r>
      <w:r w:rsidR="001F38AD" w:rsidRPr="00021E5C">
        <w:rPr>
          <w:rFonts w:ascii="Times New Roman" w:eastAsia="Times New Roman" w:hAnsi="Times New Roman" w:cs="Times New Roman"/>
          <w:color w:val="333333"/>
          <w:shd w:val="clear" w:color="auto" w:fill="FFFFFF"/>
        </w:rPr>
        <w:t xml:space="preserve">475796690-475807295 </w:t>
      </w:r>
      <w:r w:rsidR="001F38AD" w:rsidRPr="00021E5C">
        <w:rPr>
          <w:rFonts w:ascii="Times New Roman" w:eastAsia="Times New Roman" w:hAnsi="Times New Roman" w:cs="Times New Roman"/>
          <w:color w:val="000000"/>
        </w:rPr>
        <w:t xml:space="preserve">bp, </w:t>
      </w:r>
      <w:r w:rsidR="001A7A9A" w:rsidRPr="00021E5C">
        <w:rPr>
          <w:rFonts w:ascii="Times New Roman" w:eastAsia="Times New Roman" w:hAnsi="Times New Roman" w:cs="Times New Roman"/>
          <w:color w:val="000000"/>
        </w:rPr>
        <w:t>705025</w:t>
      </w:r>
      <w:r w:rsidR="001A7A9A" w:rsidRPr="00021E5C">
        <w:rPr>
          <w:rFonts w:ascii="Times New Roman" w:eastAsia="Times New Roman" w:hAnsi="Times New Roman" w:cs="Times New Roman"/>
          <w:color w:val="000000"/>
        </w:rPr>
        <w:t xml:space="preserve"> </w:t>
      </w:r>
      <w:r w:rsidR="001F38AD" w:rsidRPr="00021E5C">
        <w:rPr>
          <w:rFonts w:ascii="Times New Roman" w:eastAsia="Times New Roman" w:hAnsi="Times New Roman" w:cs="Times New Roman"/>
          <w:color w:val="000000"/>
        </w:rPr>
        <w:t xml:space="preserve">bp </w:t>
      </w:r>
      <w:r w:rsidR="001A7A9A" w:rsidRPr="00021E5C">
        <w:rPr>
          <w:rFonts w:ascii="Times New Roman" w:eastAsia="Times New Roman" w:hAnsi="Times New Roman" w:cs="Times New Roman"/>
          <w:color w:val="000000"/>
        </w:rPr>
        <w:t>distal</w:t>
      </w:r>
      <w:r w:rsidR="001F38AD" w:rsidRPr="00021E5C">
        <w:rPr>
          <w:rFonts w:ascii="Times New Roman" w:eastAsia="Times New Roman" w:hAnsi="Times New Roman" w:cs="Times New Roman"/>
          <w:color w:val="000000"/>
        </w:rPr>
        <w:t xml:space="preserve"> to marker JHI-Hv50k-2016-</w:t>
      </w:r>
      <w:r w:rsidR="001A7A9A" w:rsidRPr="00021E5C">
        <w:rPr>
          <w:rFonts w:ascii="Times New Roman" w:eastAsia="Times New Roman" w:hAnsi="Times New Roman" w:cs="Times New Roman"/>
          <w:color w:val="000000"/>
        </w:rPr>
        <w:t>311435</w:t>
      </w:r>
      <w:r w:rsidR="001F38AD" w:rsidRPr="00021E5C">
        <w:rPr>
          <w:rFonts w:ascii="Times New Roman" w:eastAsia="Times New Roman" w:hAnsi="Times New Roman" w:cs="Times New Roman"/>
          <w:color w:val="000000"/>
        </w:rPr>
        <w:t xml:space="preserve">. Isoamylases hydrolyze α-(1,6) glycosidic linkages and debranch amylopectin during grain filling (Gous and Fox, 2017). Shu and Rasmussen (2014) identified a MTA for amylose content highly associated with the contig MLOC_10776, which includes </w:t>
      </w:r>
      <w:r w:rsidR="001F38AD" w:rsidRPr="00021E5C">
        <w:rPr>
          <w:rFonts w:ascii="Times New Roman" w:eastAsia="Times New Roman" w:hAnsi="Times New Roman" w:cs="Times New Roman"/>
          <w:i/>
          <w:iCs/>
          <w:color w:val="000000"/>
        </w:rPr>
        <w:t>HvISA3</w:t>
      </w:r>
      <w:r w:rsidR="001F38AD" w:rsidRPr="00021E5C">
        <w:rPr>
          <w:rFonts w:ascii="Times New Roman" w:eastAsia="Times New Roman" w:hAnsi="Times New Roman" w:cs="Times New Roman"/>
          <w:color w:val="000000"/>
        </w:rPr>
        <w:t xml:space="preserve"> (https://ics.hutton.ac.uk/morexGenes/).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 </w:t>
      </w:r>
      <w:r w:rsidR="001F38AD" w:rsidRPr="00021E5C">
        <w:rPr>
          <w:rFonts w:ascii="Times New Roman" w:eastAsia="Times New Roman" w:hAnsi="Times New Roman" w:cs="Times New Roman"/>
          <w:i/>
          <w:iCs/>
          <w:color w:val="000000"/>
        </w:rPr>
        <w:t>HvISA3</w:t>
      </w:r>
      <w:r w:rsidR="001F38AD" w:rsidRPr="00021E5C">
        <w:rPr>
          <w:rFonts w:ascii="Times New Roman" w:eastAsia="Times New Roman" w:hAnsi="Times New Roman" w:cs="Times New Roman"/>
          <w:color w:val="000000"/>
        </w:rPr>
        <w:t xml:space="preserve"> is limited. This locus may be useful for PHS resistance but a consistent decrease in GI is not desirable. Negative impacts on starch related malting quality traits like malt extract may also be present.  Another gene of interest in this region is an abscisic acid responsive protein</w:t>
      </w:r>
      <w:r w:rsidR="001F38AD" w:rsidRPr="00021E5C">
        <w:rPr>
          <w:rFonts w:ascii="Times New Roman" w:eastAsia="Times New Roman" w:hAnsi="Times New Roman" w:cs="Times New Roman"/>
          <w:color w:val="202122"/>
          <w:shd w:val="clear" w:color="auto" w:fill="FFFFFF"/>
        </w:rPr>
        <w:t xml:space="preserve"> (Liu et al. 2013). Abscisic acid (ABA) is an important regulator of seed dormancy in barley: increases in ABA maintain seed dormancy and decreases in ABA reduce seed dormancy in barley (</w:t>
      </w:r>
      <w:r w:rsidR="001F38AD" w:rsidRPr="00021E5C">
        <w:rPr>
          <w:rFonts w:ascii="Times New Roman" w:eastAsia="Times New Roman" w:hAnsi="Times New Roman" w:cs="Times New Roman"/>
          <w:color w:val="222222"/>
        </w:rPr>
        <w:t xml:space="preserve">Gómez-Cadenas et. al 1999). Other potential novel loci include HvVP1 (Viviparous-1) which may be associated with </w:t>
      </w:r>
      <w:r w:rsidR="001A7A9A" w:rsidRPr="00021E5C">
        <w:rPr>
          <w:rFonts w:ascii="Times New Roman" w:eastAsia="Times New Roman" w:hAnsi="Times New Roman" w:cs="Times New Roman"/>
          <w:color w:val="000000"/>
        </w:rPr>
        <w:t>JHI-Hv50k-2016-165725</w:t>
      </w:r>
      <w:r w:rsidR="001A7A9A" w:rsidRPr="00021E5C">
        <w:rPr>
          <w:rFonts w:ascii="Times New Roman" w:eastAsia="Times New Roman" w:hAnsi="Times New Roman" w:cs="Times New Roman"/>
          <w:color w:val="000000"/>
        </w:rPr>
        <w:t xml:space="preserve"> </w:t>
      </w:r>
      <w:r w:rsidR="001F38AD" w:rsidRPr="00021E5C">
        <w:rPr>
          <w:rFonts w:ascii="Times New Roman" w:eastAsia="Times New Roman" w:hAnsi="Times New Roman" w:cs="Times New Roman"/>
          <w:color w:val="222222"/>
        </w:rPr>
        <w:t>on chromosome 3H and segregating in the SY Tepee family. HvVP1 is a master transcription factor regulator that controls switching between seed maturation and germination in barley (Abraham et al. 2016).</w:t>
      </w:r>
    </w:p>
    <w:p w14:paraId="65072916" w14:textId="77777777" w:rsidR="004F4017" w:rsidRPr="00021E5C" w:rsidRDefault="004F4017" w:rsidP="004F4017">
      <w:pPr>
        <w:spacing w:before="240" w:after="0" w:line="240" w:lineRule="auto"/>
        <w:rPr>
          <w:rFonts w:ascii="Times New Roman" w:eastAsia="Times New Roman" w:hAnsi="Times New Roman" w:cs="Times New Roman"/>
          <w:color w:val="000000"/>
        </w:rPr>
      </w:pPr>
    </w:p>
    <w:p w14:paraId="62695CDD" w14:textId="5426153D" w:rsidR="001F38AD" w:rsidRPr="00021E5C" w:rsidRDefault="001F38AD" w:rsidP="004F4017">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Role of</w:t>
      </w:r>
      <w:r w:rsidR="004F4017" w:rsidRPr="00021E5C">
        <w:rPr>
          <w:rFonts w:ascii="Times New Roman" w:eastAsia="Times New Roman" w:hAnsi="Times New Roman" w:cs="Times New Roman"/>
          <w:color w:val="000000"/>
        </w:rPr>
        <w:t xml:space="preserve"> alanine amino transferase</w:t>
      </w:r>
    </w:p>
    <w:p w14:paraId="545A91BD" w14:textId="77777777" w:rsidR="004D673D" w:rsidRPr="00021E5C" w:rsidRDefault="004D673D" w:rsidP="006D3129">
      <w:pPr>
        <w:spacing w:after="0" w:line="240" w:lineRule="auto"/>
        <w:rPr>
          <w:rFonts w:ascii="Times New Roman" w:eastAsia="Times New Roman" w:hAnsi="Times New Roman" w:cs="Times New Roman"/>
          <w:color w:val="000000"/>
        </w:rPr>
      </w:pPr>
    </w:p>
    <w:p w14:paraId="50891549" w14:textId="73C084A5" w:rsidR="006D3129" w:rsidRPr="00021E5C" w:rsidRDefault="004F4017"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Alanine amino transferase played a significant role in dormancy break in our winter malting barley population. </w:t>
      </w:r>
      <w:r w:rsidR="006D3129" w:rsidRPr="00021E5C">
        <w:rPr>
          <w:rFonts w:ascii="Times New Roman" w:eastAsia="Times New Roman" w:hAnsi="Times New Roman" w:cs="Times New Roman"/>
          <w:color w:val="000000"/>
        </w:rPr>
        <w:t>Figures 3a-c show germination rate and energy for each family of the population grouped by haplotype for AlaAT over years 2020, 2021, and combined analysis 2020/2021. A check “family” 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w:t>
      </w:r>
      <w:r w:rsidR="00160300" w:rsidRPr="00021E5C">
        <w:rPr>
          <w:rFonts w:ascii="Times New Roman" w:eastAsia="Times New Roman" w:hAnsi="Times New Roman" w:cs="Times New Roman"/>
          <w:color w:val="000000"/>
        </w:rPr>
        <w:t>.</w:t>
      </w:r>
      <w:r w:rsidR="006D3129" w:rsidRPr="00021E5C">
        <w:rPr>
          <w:rFonts w:ascii="Times New Roman" w:eastAsia="Times New Roman" w:hAnsi="Times New Roman" w:cs="Times New Roman"/>
          <w:color w:val="000000"/>
        </w:rPr>
        <w:t xml:space="preserve">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14:paraId="360260DF" w14:textId="362E7675"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The observed dormancy for most non dormant haplotypes at earlier post physiological maturity</w:t>
      </w:r>
      <w:r w:rsidR="001F38AD"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 xml:space="preserve">(PM) days is encouraging for balancing the selection of high germination rate and maintaining initial seed dormancy for PHS. If we assume that a malster, at the earliest, would start malting barley approximately 47 days after harvest from the field, we </w:t>
      </w:r>
      <w:r w:rsidR="001F38AD" w:rsidRPr="00021E5C">
        <w:rPr>
          <w:rFonts w:ascii="Times New Roman" w:eastAsia="Times New Roman" w:hAnsi="Times New Roman" w:cs="Times New Roman"/>
          <w:color w:val="000000"/>
        </w:rPr>
        <w:t>will</w:t>
      </w:r>
      <w:r w:rsidRPr="00021E5C">
        <w:rPr>
          <w:rFonts w:ascii="Times New Roman" w:eastAsia="Times New Roman" w:hAnsi="Times New Roman" w:cs="Times New Roman"/>
          <w:color w:val="000000"/>
        </w:rPr>
        <w:t xml:space="preserve"> want to select lines that maintain dormancy until 50-60 days post PM. Most non-dormant AlaAT haplotypes fit this profile for the 2020 and 2021 crop year. However, given the substantial dormancy we observed in 2021, we must be careful in considering how it relates to our </w:t>
      </w:r>
      <w:r w:rsidR="004F4017" w:rsidRPr="00021E5C">
        <w:rPr>
          <w:rFonts w:ascii="Times New Roman" w:eastAsia="Times New Roman" w:hAnsi="Times New Roman" w:cs="Times New Roman"/>
          <w:color w:val="000000"/>
        </w:rPr>
        <w:t>PHS</w:t>
      </w:r>
      <w:r w:rsidRPr="00021E5C">
        <w:rPr>
          <w:rFonts w:ascii="Times New Roman" w:eastAsia="Times New Roman" w:hAnsi="Times New Roman" w:cs="Times New Roman"/>
          <w:color w:val="000000"/>
        </w:rPr>
        <w:t xml:space="preserve"> values observed for that same year. PHS will need to be tested in multiple years where conditions would develop less dormant barley. If we continue to have low </w:t>
      </w:r>
      <w:r w:rsidR="004F4017" w:rsidRPr="00021E5C">
        <w:rPr>
          <w:rFonts w:ascii="Times New Roman" w:eastAsia="Times New Roman" w:hAnsi="Times New Roman" w:cs="Times New Roman"/>
          <w:color w:val="000000"/>
        </w:rPr>
        <w:t>PHS</w:t>
      </w:r>
      <w:r w:rsidRPr="00021E5C">
        <w:rPr>
          <w:rFonts w:ascii="Times New Roman" w:eastAsia="Times New Roman" w:hAnsi="Times New Roman" w:cs="Times New Roman"/>
          <w:color w:val="000000"/>
        </w:rPr>
        <w:t xml:space="preserve"> mean and variation across multiple years with potentially differing levels of dormancy per year, we can then focus the selection pressure to increase germination rate with less concern of reducing our </w:t>
      </w:r>
      <w:r w:rsidR="004F4017" w:rsidRPr="00021E5C">
        <w:rPr>
          <w:rFonts w:ascii="Times New Roman" w:eastAsia="Times New Roman" w:hAnsi="Times New Roman" w:cs="Times New Roman"/>
          <w:color w:val="000000"/>
        </w:rPr>
        <w:t xml:space="preserve">PHS </w:t>
      </w:r>
      <w:r w:rsidRPr="00021E5C">
        <w:rPr>
          <w:rFonts w:ascii="Times New Roman" w:eastAsia="Times New Roman" w:hAnsi="Times New Roman" w:cs="Times New Roman"/>
          <w:color w:val="000000"/>
        </w:rPr>
        <w:t>resistance for the given AlaAT haplotypes</w:t>
      </w:r>
      <w:r w:rsidR="00160300" w:rsidRPr="00021E5C">
        <w:rPr>
          <w:rFonts w:ascii="Times New Roman" w:eastAsia="Times New Roman" w:hAnsi="Times New Roman" w:cs="Times New Roman"/>
          <w:color w:val="000000"/>
        </w:rPr>
        <w:t>.</w:t>
      </w:r>
    </w:p>
    <w:p w14:paraId="47315802" w14:textId="12CC2466" w:rsidR="006D3129" w:rsidRPr="00021E5C" w:rsidRDefault="006D3129" w:rsidP="006C3633">
      <w:pPr>
        <w:spacing w:after="0" w:line="240" w:lineRule="auto"/>
        <w:rPr>
          <w:rFonts w:ascii="Times New Roman" w:eastAsia="Times New Roman" w:hAnsi="Times New Roman" w:cs="Times New Roman"/>
        </w:rPr>
      </w:pPr>
      <w:r w:rsidRPr="00021E5C">
        <w:rPr>
          <w:rFonts w:ascii="Times New Roman" w:eastAsia="Times New Roman" w:hAnsi="Times New Roman" w:cs="Times New Roman"/>
        </w:rPr>
        <w:br/>
      </w:r>
      <w:r w:rsidRPr="00021E5C">
        <w:rPr>
          <w:rFonts w:ascii="Times New Roman" w:eastAsia="Times New Roman" w:hAnsi="Times New Roman" w:cs="Times New Roman"/>
          <w:sz w:val="24"/>
          <w:szCs w:val="24"/>
        </w:rPr>
        <w:br/>
      </w:r>
      <w:r w:rsidRPr="00021E5C">
        <w:rPr>
          <w:rFonts w:ascii="Times New Roman" w:eastAsia="Times New Roman" w:hAnsi="Times New Roman" w:cs="Times New Roman"/>
          <w:sz w:val="24"/>
          <w:szCs w:val="24"/>
        </w:rPr>
        <w:br/>
      </w:r>
      <w:r w:rsidRPr="00021E5C">
        <w:rPr>
          <w:rFonts w:ascii="Times New Roman" w:eastAsia="Times New Roman" w:hAnsi="Times New Roman" w:cs="Times New Roman"/>
          <w:sz w:val="24"/>
          <w:szCs w:val="24"/>
        </w:rPr>
        <w:br/>
      </w:r>
      <w:r w:rsidR="006C3633" w:rsidRPr="00021E5C">
        <w:rPr>
          <w:rFonts w:ascii="Times New Roman" w:eastAsia="Times New Roman" w:hAnsi="Times New Roman" w:cs="Times New Roman"/>
        </w:rPr>
        <w:t>Table 1: Summary of number of plots sampled from for each time point. The corresponding days post physiological maturity (PM) are also included for reference.</w:t>
      </w:r>
    </w:p>
    <w:tbl>
      <w:tblPr>
        <w:tblW w:w="9360" w:type="dxa"/>
        <w:tblCellMar>
          <w:top w:w="15" w:type="dxa"/>
          <w:left w:w="15" w:type="dxa"/>
          <w:bottom w:w="15" w:type="dxa"/>
          <w:right w:w="15" w:type="dxa"/>
        </w:tblCellMar>
        <w:tblLook w:val="04A0" w:firstRow="1" w:lastRow="0" w:firstColumn="1" w:lastColumn="0" w:noHBand="0" w:noVBand="1"/>
      </w:tblPr>
      <w:tblGrid>
        <w:gridCol w:w="2938"/>
        <w:gridCol w:w="727"/>
        <w:gridCol w:w="929"/>
        <w:gridCol w:w="727"/>
        <w:gridCol w:w="929"/>
        <w:gridCol w:w="727"/>
        <w:gridCol w:w="929"/>
        <w:gridCol w:w="727"/>
        <w:gridCol w:w="727"/>
      </w:tblGrid>
      <w:tr w:rsidR="006D3129" w:rsidRPr="00021E5C" w14:paraId="7A676F3A"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2E9B" w14:textId="77777777" w:rsidR="006D3129" w:rsidRPr="00021E5C" w:rsidRDefault="006D3129" w:rsidP="006D312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CEB7"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3D97"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8E09"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FAB6"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F34E"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D358"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D946"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011D"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TP5</w:t>
            </w:r>
          </w:p>
        </w:tc>
      </w:tr>
      <w:tr w:rsidR="006D3129" w:rsidRPr="00021E5C" w14:paraId="293A181B"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FF06" w14:textId="3C9D1999"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Days post maturity</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8C3A"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816F"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5C9D"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ABFB"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97D1"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32BF"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B31C"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1E66"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152</w:t>
            </w:r>
          </w:p>
        </w:tc>
      </w:tr>
      <w:tr w:rsidR="006D3129" w:rsidRPr="00021E5C" w14:paraId="3AEA5454"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90C3"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5139"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D0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1CF7"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19C1"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DBDB"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12C3"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9123"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E4CC"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r>
      <w:tr w:rsidR="006D3129" w:rsidRPr="00021E5C" w14:paraId="591D8CB9" w14:textId="77777777" w:rsidTr="006D697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FBD9"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78BCD"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F46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6DA7"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8AE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23E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E49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DA2E"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FD71"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r>
    </w:tbl>
    <w:p w14:paraId="26F549AC" w14:textId="77777777" w:rsidR="006D6972" w:rsidRPr="00021E5C" w:rsidRDefault="006D6972" w:rsidP="006D3129">
      <w:pPr>
        <w:spacing w:after="0" w:line="240" w:lineRule="auto"/>
        <w:rPr>
          <w:rFonts w:ascii="Times New Roman" w:eastAsia="Times New Roman" w:hAnsi="Times New Roman" w:cs="Times New Roman"/>
          <w:color w:val="000000"/>
        </w:rPr>
      </w:pPr>
    </w:p>
    <w:p w14:paraId="0B03FED2" w14:textId="4952B6F1"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Figure </w:t>
      </w:r>
      <w:r w:rsidR="006D6972" w:rsidRPr="00021E5C">
        <w:rPr>
          <w:rFonts w:ascii="Times New Roman" w:eastAsia="Times New Roman" w:hAnsi="Times New Roman" w:cs="Times New Roman"/>
          <w:color w:val="000000"/>
        </w:rPr>
        <w:t>1</w:t>
      </w:r>
      <w:r w:rsidRPr="00021E5C">
        <w:rPr>
          <w:rFonts w:ascii="Times New Roman" w:eastAsia="Times New Roman" w:hAnsi="Times New Roman" w:cs="Times New Roman"/>
          <w:color w:val="000000"/>
        </w:rPr>
        <w:t>:</w:t>
      </w:r>
      <w:r w:rsidR="006D6972" w:rsidRPr="00021E5C">
        <w:rPr>
          <w:rFonts w:ascii="Times New Roman" w:eastAsia="Times New Roman" w:hAnsi="Times New Roman" w:cs="Times New Roman"/>
          <w:color w:val="000000"/>
        </w:rPr>
        <w:t xml:space="preserve"> Visualization of the per single time point</w:t>
      </w:r>
      <w:r w:rsidRPr="00021E5C">
        <w:rPr>
          <w:rFonts w:ascii="Times New Roman" w:eastAsia="Times New Roman" w:hAnsi="Times New Roman" w:cs="Times New Roman"/>
          <w:color w:val="000000"/>
        </w:rPr>
        <w:t xml:space="preserve"> </w:t>
      </w:r>
      <w:r w:rsidR="006D6972" w:rsidRPr="00021E5C">
        <w:rPr>
          <w:rFonts w:ascii="Times New Roman" w:eastAsia="Times New Roman" w:hAnsi="Times New Roman" w:cs="Times New Roman"/>
          <w:color w:val="000000"/>
        </w:rPr>
        <w:t>genome wide association</w:t>
      </w:r>
      <w:r w:rsidRPr="00021E5C">
        <w:rPr>
          <w:rFonts w:ascii="Times New Roman" w:eastAsia="Times New Roman" w:hAnsi="Times New Roman" w:cs="Times New Roman"/>
          <w:color w:val="000000"/>
        </w:rPr>
        <w:t xml:space="preserve"> of germination energy</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(GE), germination index</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(GI) across timepoints</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(TP) and years. </w:t>
      </w:r>
    </w:p>
    <w:p w14:paraId="3353737D" w14:textId="36DFE8DB"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lastRenderedPageBreak/>
        <w:drawing>
          <wp:inline distT="0" distB="0" distL="0" distR="0" wp14:anchorId="6844E509" wp14:editId="62ECF0D4">
            <wp:extent cx="4718050" cy="2660650"/>
            <wp:effectExtent l="0" t="0" r="6350" b="635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0" cy="2660650"/>
                    </a:xfrm>
                    <a:prstGeom prst="rect">
                      <a:avLst/>
                    </a:prstGeom>
                    <a:noFill/>
                    <a:ln>
                      <a:noFill/>
                    </a:ln>
                  </pic:spPr>
                </pic:pic>
              </a:graphicData>
            </a:graphic>
          </wp:inline>
        </w:drawing>
      </w:r>
    </w:p>
    <w:p w14:paraId="23825AE7" w14:textId="77777777" w:rsidR="006D3129" w:rsidRPr="00021E5C" w:rsidRDefault="006D3129" w:rsidP="006D3129">
      <w:pPr>
        <w:spacing w:after="0" w:line="240" w:lineRule="auto"/>
        <w:rPr>
          <w:rFonts w:ascii="Times New Roman" w:eastAsia="Times New Roman" w:hAnsi="Times New Roman" w:cs="Times New Roman"/>
          <w:sz w:val="24"/>
          <w:szCs w:val="24"/>
        </w:rPr>
      </w:pPr>
    </w:p>
    <w:p w14:paraId="1547A46C" w14:textId="0B71BDD3" w:rsidR="0096783E" w:rsidRPr="00021E5C" w:rsidRDefault="006D3129" w:rsidP="0096783E">
      <w:pPr>
        <w:tabs>
          <w:tab w:val="left" w:pos="3780"/>
        </w:tabs>
        <w:spacing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 </w:t>
      </w:r>
    </w:p>
    <w:p w14:paraId="15A286B6"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5AFA45F5"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0A103E54"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5B548E38"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2F89061B"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258BEF5E" w14:textId="55D7ECAC" w:rsidR="00160300" w:rsidRPr="00021E5C" w:rsidRDefault="00160300" w:rsidP="00160300">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Table 1: Marker-trait association summary for germination trait genome-wide association</w:t>
      </w:r>
      <w:r w:rsidRPr="00021E5C">
        <w:rPr>
          <w:rFonts w:ascii="Times New Roman" w:eastAsia="Times New Roman" w:hAnsi="Times New Roman" w:cs="Times New Roman"/>
          <w:color w:val="000000"/>
        </w:rPr>
        <w:t xml:space="preserve"> for both single time point and logistic time analysis.</w:t>
      </w:r>
      <w:r w:rsidRPr="00021E5C">
        <w:rPr>
          <w:rFonts w:ascii="Times New Roman" w:eastAsia="Times New Roman" w:hAnsi="Times New Roman" w:cs="Times New Roman"/>
          <w:color w:val="000000"/>
        </w:rPr>
        <w:t xml:space="preserve"> The “Genes of interest” column indicates nearby (+/- 1000000 base pairs) genes that have been implicated in seed germination or dormancy in the literature. Empty cells indicate no previously reported genes in the marker region</w:t>
      </w:r>
    </w:p>
    <w:tbl>
      <w:tblPr>
        <w:tblW w:w="9620" w:type="dxa"/>
        <w:tblLayout w:type="fixed"/>
        <w:tblCellMar>
          <w:top w:w="100" w:type="dxa"/>
          <w:left w:w="100" w:type="dxa"/>
          <w:bottom w:w="100" w:type="dxa"/>
          <w:right w:w="100" w:type="dxa"/>
        </w:tblCellMar>
        <w:tblLook w:val="04A0" w:firstRow="1" w:lastRow="0" w:firstColumn="1" w:lastColumn="0" w:noHBand="0" w:noVBand="1"/>
      </w:tblPr>
      <w:tblGrid>
        <w:gridCol w:w="1700"/>
        <w:gridCol w:w="1734"/>
        <w:gridCol w:w="580"/>
        <w:gridCol w:w="1202"/>
        <w:gridCol w:w="984"/>
        <w:gridCol w:w="1006"/>
        <w:gridCol w:w="2414"/>
      </w:tblGrid>
      <w:tr w:rsidR="0096783E" w:rsidRPr="00021E5C" w14:paraId="365CFAA8" w14:textId="77777777" w:rsidTr="009D7C2F">
        <w:trPr>
          <w:trHeight w:hRule="exact" w:val="1110"/>
        </w:trPr>
        <w:tc>
          <w:tcPr>
            <w:tcW w:w="1700" w:type="dxa"/>
            <w:tcBorders>
              <w:top w:val="single" w:sz="8" w:space="0" w:color="000000"/>
              <w:left w:val="single" w:sz="8" w:space="0" w:color="000000"/>
              <w:bottom w:val="single" w:sz="8" w:space="0" w:color="000000"/>
              <w:right w:val="single" w:sz="8" w:space="0" w:color="000000"/>
            </w:tcBorders>
            <w:vAlign w:val="center"/>
          </w:tcPr>
          <w:p w14:paraId="4C4CEB6D"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Trait*</w:t>
            </w:r>
          </w:p>
        </w:tc>
        <w:tc>
          <w:tcPr>
            <w:tcW w:w="1734" w:type="dxa"/>
            <w:tcBorders>
              <w:top w:val="single" w:sz="8" w:space="0" w:color="000000"/>
              <w:left w:val="single" w:sz="8" w:space="0" w:color="000000"/>
              <w:bottom w:val="single" w:sz="8" w:space="0" w:color="000000"/>
              <w:right w:val="single" w:sz="8" w:space="0" w:color="000000"/>
            </w:tcBorders>
            <w:vAlign w:val="center"/>
          </w:tcPr>
          <w:p w14:paraId="3DF09328"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Marker</w:t>
            </w:r>
          </w:p>
        </w:tc>
        <w:tc>
          <w:tcPr>
            <w:tcW w:w="580" w:type="dxa"/>
            <w:tcBorders>
              <w:top w:val="single" w:sz="8" w:space="0" w:color="000000"/>
              <w:left w:val="single" w:sz="8" w:space="0" w:color="000000"/>
              <w:bottom w:val="single" w:sz="8" w:space="0" w:color="000000"/>
              <w:right w:val="single" w:sz="8" w:space="0" w:color="000000"/>
            </w:tcBorders>
            <w:vAlign w:val="center"/>
          </w:tcPr>
          <w:p w14:paraId="514A4836"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Chr</w:t>
            </w:r>
          </w:p>
        </w:tc>
        <w:tc>
          <w:tcPr>
            <w:tcW w:w="1202" w:type="dxa"/>
            <w:tcBorders>
              <w:top w:val="single" w:sz="8" w:space="0" w:color="000000"/>
              <w:left w:val="single" w:sz="8" w:space="0" w:color="000000"/>
              <w:bottom w:val="single" w:sz="8" w:space="0" w:color="000000"/>
              <w:right w:val="single" w:sz="8" w:space="0" w:color="000000"/>
            </w:tcBorders>
            <w:vAlign w:val="center"/>
          </w:tcPr>
          <w:p w14:paraId="29C121ED"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Position</w:t>
            </w:r>
          </w:p>
        </w:tc>
        <w:tc>
          <w:tcPr>
            <w:tcW w:w="984" w:type="dxa"/>
            <w:tcBorders>
              <w:top w:val="single" w:sz="8" w:space="0" w:color="000000"/>
              <w:left w:val="single" w:sz="8" w:space="0" w:color="000000"/>
              <w:bottom w:val="single" w:sz="8" w:space="0" w:color="000000"/>
              <w:right w:val="single" w:sz="8" w:space="0" w:color="000000"/>
            </w:tcBorders>
            <w:vAlign w:val="center"/>
          </w:tcPr>
          <w:p w14:paraId="713F408F"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MAF**</w:t>
            </w:r>
          </w:p>
        </w:tc>
        <w:tc>
          <w:tcPr>
            <w:tcW w:w="1006" w:type="dxa"/>
            <w:tcBorders>
              <w:top w:val="single" w:sz="8" w:space="0" w:color="000000"/>
              <w:left w:val="single" w:sz="8" w:space="0" w:color="000000"/>
              <w:bottom w:val="single" w:sz="8" w:space="0" w:color="000000"/>
              <w:right w:val="single" w:sz="8" w:space="0" w:color="000000"/>
            </w:tcBorders>
            <w:vAlign w:val="center"/>
          </w:tcPr>
          <w:p w14:paraId="229CA862"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p values***</w:t>
            </w:r>
          </w:p>
        </w:tc>
        <w:tc>
          <w:tcPr>
            <w:tcW w:w="2414" w:type="dxa"/>
            <w:tcBorders>
              <w:top w:val="single" w:sz="8" w:space="0" w:color="000000"/>
              <w:left w:val="single" w:sz="8" w:space="0" w:color="000000"/>
              <w:bottom w:val="single" w:sz="8" w:space="0" w:color="000000"/>
              <w:right w:val="single" w:sz="8" w:space="0" w:color="000000"/>
            </w:tcBorders>
            <w:vAlign w:val="center"/>
          </w:tcPr>
          <w:p w14:paraId="6EF489F2"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Genes of interest</w:t>
            </w:r>
          </w:p>
        </w:tc>
      </w:tr>
      <w:tr w:rsidR="00525DBC" w:rsidRPr="00021E5C" w14:paraId="0871C68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75E82C5" w14:textId="4B7233D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2021_TP3_GI, 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FCB7BE2" w14:textId="773BFCF9"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JHI-Hv50k-2016-8002</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5C6F68" w14:textId="5364C0EF"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12ACE9D" w14:textId="5B4A80FE"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6931684</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2450ABE" w14:textId="544366E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0.36721</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DB9ED39" w14:textId="38CF11C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1.02E-06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0CE6127"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0208BF2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86BE597" w14:textId="7AE97D5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E538DDF" w14:textId="6A7A7D72"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JHI-Hv50k-2016-15198</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67690CE" w14:textId="782B6E9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D9E2526" w14:textId="353E20BF"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18049005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703F573" w14:textId="2B7B185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0.49654</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DEC2407" w14:textId="2C61194C"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172F0613"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76B35D2B"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A76B796" w14:textId="241436B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2021_TP1_GE</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76DA96B" w14:textId="3684474D"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JHI-Hv50k-2016-59425</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50942FE" w14:textId="0BB024A0"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F5BCAEF" w14:textId="7F79C4D2"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1081341</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F8529A9" w14:textId="7D809D0D"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0.49885</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29C1588" w14:textId="4A160A29"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8.16E-09</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58F2D3C7"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2E46CC95"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7F45AC9" w14:textId="4A90AC46"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44BB4FA" w14:textId="2B2DCA0E"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SCRI_RS_204158</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6A9A23" w14:textId="16AD3FA6"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FA7F6DA" w14:textId="0F6F7E80"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12096571</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9B5BD46" w14:textId="4354BB02"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0.49726</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C2AE320" w14:textId="249712A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3.56E-14</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3457FB0C"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1F2FA8BC"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393F5CB" w14:textId="52B31264"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lastRenderedPageBreak/>
              <w:t>Logistic GE 2020_Rate</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E495C76" w14:textId="3AD566FC"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JHI-Hv50k-2016-77653</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F6D1467" w14:textId="27DCB787"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6B47EDE" w14:textId="597971AF"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40257373</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574077B" w14:textId="230B36E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0.23148</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4FC4B0" w14:textId="0045AD63"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1.15E-10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723966F5"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6D302AB9"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66546E7" w14:textId="0C19594E"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GE 2020_Rate</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65DEEC0" w14:textId="4383AA80"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JHI-Hv50k-2016-77964</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C9D05A1" w14:textId="2D30DC50"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EDCF13" w14:textId="4680C23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41814315</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2DE0B9" w14:textId="54A80AC1"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0.22917</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F12E45D" w14:textId="4DB1663A"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2.24E-09</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02CF7E62"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7A14B0EF"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0FE17FE" w14:textId="29ABB04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EEB2B09" w14:textId="3A96CBF8"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JHI-Hv50k-2016-77945</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EDEE837" w14:textId="461BAEB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87F47D7" w14:textId="2F09FF6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41820733</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5F3F658" w14:textId="2D985F0C"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0.4988</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B3E75BF" w14:textId="49832B8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2.06E-09</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1637E9E5"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04BC3E1A"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F38E3CB" w14:textId="32D3C28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2021_TP1_GI, 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4879374" w14:textId="5C0161C3"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JHI-Hv50k-2016-165725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0307F2A" w14:textId="5C9657C3"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3</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F8B46AC" w14:textId="54B3979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66720210</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D231B36" w14:textId="0DFC4C0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0.5</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6D7C195" w14:textId="63E6E36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5.73E-11</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C557E83"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HvVP1</w:t>
            </w:r>
          </w:p>
          <w:p w14:paraId="0E2A383D"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65E694D7"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808CEAF" w14:textId="76C3C6B4"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2021_TP3_GI</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4EDC645" w14:textId="4FAADBC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JHI-Hv50k-2016-228126</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0DC35D5" w14:textId="68BD586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BF8B71" w14:textId="42F5205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5948962</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B555E11" w14:textId="50E76B6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0.47344</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506A138" w14:textId="5910EDB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1.31E-06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0303ED0"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7F1605BF"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9E8EFCB" w14:textId="797B88D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2020/2021_TimeTo5.0</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A0AE629" w14:textId="133ED09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JHI-Hv50k-2016-228195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F2C8F49" w14:textId="6BD51B2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553E8C5" w14:textId="698083E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6032545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F15822A" w14:textId="02505CB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0.49043</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25131F1" w14:textId="60022D6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2.06E-06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863FE0E"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EE009A5" w14:textId="77777777" w:rsidTr="009D7C2F">
        <w:trPr>
          <w:trHeight w:hRule="exact" w:val="1497"/>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AE7661A" w14:textId="4E9590F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2020_TP1_GE, 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8D5659C" w14:textId="5AE7CA9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JHI-Hv50k-2016-273301</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DA7F40D" w14:textId="0954FC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8A45544" w14:textId="1C6D195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618718558</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367E447" w14:textId="2071D87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0.39238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3AD31B7" w14:textId="4A89964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1.86E-06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7658FC9D" w14:textId="7D426B5F"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p>
        </w:tc>
      </w:tr>
      <w:tr w:rsidR="00525DBC" w:rsidRPr="00021E5C" w14:paraId="352B2BE6"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3DEED77" w14:textId="1B58291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2020/2021_TP3_GE</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EFA93BA" w14:textId="202C5F3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JHI-Hv50k-2016-273434</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E022F79" w14:textId="614EC73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80DA857" w14:textId="263D157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618750390</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EFFDE68" w14:textId="106E696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0.48998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9041C97" w14:textId="76CF4E9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9.79E-11</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6CEC028F"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C4BC442" w14:textId="77777777" w:rsidTr="009D7C2F">
        <w:trPr>
          <w:trHeight w:hRule="exact" w:val="867"/>
        </w:trPr>
        <w:tc>
          <w:tcPr>
            <w:tcW w:w="1700" w:type="dxa"/>
            <w:tcBorders>
              <w:top w:val="single" w:sz="8" w:space="0" w:color="000000"/>
              <w:left w:val="single" w:sz="8" w:space="0" w:color="000000"/>
              <w:bottom w:val="single" w:sz="8" w:space="0" w:color="000000"/>
              <w:right w:val="single" w:sz="8" w:space="0" w:color="000000"/>
            </w:tcBorders>
            <w:vAlign w:val="bottom"/>
          </w:tcPr>
          <w:p w14:paraId="543FEB73" w14:textId="0A06E87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2020/2021_TP3_GI, Logistic GI 2020/2021_TimeTo5.0</w:t>
            </w:r>
          </w:p>
        </w:tc>
        <w:tc>
          <w:tcPr>
            <w:tcW w:w="1734" w:type="dxa"/>
            <w:tcBorders>
              <w:top w:val="single" w:sz="8" w:space="0" w:color="000000"/>
              <w:left w:val="single" w:sz="8" w:space="0" w:color="000000"/>
              <w:bottom w:val="single" w:sz="8" w:space="0" w:color="000000"/>
              <w:right w:val="single" w:sz="8" w:space="0" w:color="000000"/>
            </w:tcBorders>
            <w:vAlign w:val="bottom"/>
          </w:tcPr>
          <w:p w14:paraId="74CE2830" w14:textId="4610455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JHI-Hv50k-2016-276836</w:t>
            </w:r>
          </w:p>
        </w:tc>
        <w:tc>
          <w:tcPr>
            <w:tcW w:w="580" w:type="dxa"/>
            <w:tcBorders>
              <w:top w:val="single" w:sz="8" w:space="0" w:color="000000"/>
              <w:left w:val="single" w:sz="8" w:space="0" w:color="000000"/>
              <w:bottom w:val="single" w:sz="8" w:space="0" w:color="000000"/>
              <w:right w:val="single" w:sz="8" w:space="0" w:color="000000"/>
            </w:tcBorders>
            <w:vAlign w:val="bottom"/>
          </w:tcPr>
          <w:p w14:paraId="23E8ADCE" w14:textId="7940F1F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7E85E7C8" w14:textId="4B8FAF5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622826452</w:t>
            </w:r>
          </w:p>
        </w:tc>
        <w:tc>
          <w:tcPr>
            <w:tcW w:w="984" w:type="dxa"/>
            <w:tcBorders>
              <w:top w:val="single" w:sz="8" w:space="0" w:color="000000"/>
              <w:left w:val="single" w:sz="8" w:space="0" w:color="000000"/>
              <w:bottom w:val="single" w:sz="8" w:space="0" w:color="000000"/>
              <w:right w:val="single" w:sz="8" w:space="0" w:color="000000"/>
            </w:tcBorders>
            <w:vAlign w:val="bottom"/>
          </w:tcPr>
          <w:p w14:paraId="7219E5A7" w14:textId="6246FE10"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0.48998</w:t>
            </w:r>
          </w:p>
        </w:tc>
        <w:tc>
          <w:tcPr>
            <w:tcW w:w="1006" w:type="dxa"/>
            <w:tcBorders>
              <w:top w:val="single" w:sz="8" w:space="0" w:color="000000"/>
              <w:left w:val="single" w:sz="8" w:space="0" w:color="000000"/>
              <w:bottom w:val="single" w:sz="8" w:space="0" w:color="000000"/>
              <w:right w:val="single" w:sz="8" w:space="0" w:color="000000"/>
            </w:tcBorders>
            <w:vAlign w:val="bottom"/>
          </w:tcPr>
          <w:p w14:paraId="668C3D90" w14:textId="588D9B0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3.10E-15</w:t>
            </w:r>
          </w:p>
        </w:tc>
        <w:tc>
          <w:tcPr>
            <w:tcW w:w="2414" w:type="dxa"/>
            <w:vMerge w:val="restart"/>
            <w:tcBorders>
              <w:top w:val="single" w:sz="8" w:space="0" w:color="000000"/>
              <w:left w:val="single" w:sz="8" w:space="0" w:color="000000"/>
              <w:bottom w:val="single" w:sz="8" w:space="0" w:color="000000"/>
              <w:right w:val="single" w:sz="8" w:space="0" w:color="000000"/>
            </w:tcBorders>
          </w:tcPr>
          <w:p w14:paraId="26775D87"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18F5EA6F" w14:textId="77777777" w:rsidTr="009D7C2F">
        <w:trPr>
          <w:trHeight w:hRule="exact" w:val="1020"/>
        </w:trPr>
        <w:tc>
          <w:tcPr>
            <w:tcW w:w="1700" w:type="dxa"/>
            <w:tcBorders>
              <w:top w:val="single" w:sz="8" w:space="0" w:color="000000"/>
              <w:left w:val="single" w:sz="8" w:space="0" w:color="000000"/>
              <w:bottom w:val="single" w:sz="8" w:space="0" w:color="000000"/>
              <w:right w:val="single" w:sz="8" w:space="0" w:color="000000"/>
            </w:tcBorders>
            <w:vAlign w:val="bottom"/>
          </w:tcPr>
          <w:p w14:paraId="11B4E502" w14:textId="4B80647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2020_TP3_GE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2A53FBAB" w14:textId="179BAAD6"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JHI-Hv50k-2016-276707</w:t>
            </w:r>
          </w:p>
        </w:tc>
        <w:tc>
          <w:tcPr>
            <w:tcW w:w="580" w:type="dxa"/>
            <w:tcBorders>
              <w:top w:val="single" w:sz="8" w:space="0" w:color="000000"/>
              <w:left w:val="single" w:sz="8" w:space="0" w:color="000000"/>
              <w:bottom w:val="single" w:sz="8" w:space="0" w:color="000000"/>
              <w:right w:val="single" w:sz="8" w:space="0" w:color="000000"/>
            </w:tcBorders>
            <w:vAlign w:val="bottom"/>
          </w:tcPr>
          <w:p w14:paraId="72EAAA02" w14:textId="49F599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34349E7E" w14:textId="6E146133"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623071816</w:t>
            </w:r>
          </w:p>
        </w:tc>
        <w:tc>
          <w:tcPr>
            <w:tcW w:w="984" w:type="dxa"/>
            <w:tcBorders>
              <w:top w:val="single" w:sz="8" w:space="0" w:color="000000"/>
              <w:left w:val="single" w:sz="8" w:space="0" w:color="000000"/>
              <w:bottom w:val="single" w:sz="8" w:space="0" w:color="000000"/>
              <w:right w:val="single" w:sz="8" w:space="0" w:color="000000"/>
            </w:tcBorders>
            <w:vAlign w:val="bottom"/>
          </w:tcPr>
          <w:p w14:paraId="61B11B3E" w14:textId="1EE1D0F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0.4955</w:t>
            </w:r>
          </w:p>
        </w:tc>
        <w:tc>
          <w:tcPr>
            <w:tcW w:w="1006" w:type="dxa"/>
            <w:tcBorders>
              <w:top w:val="single" w:sz="8" w:space="0" w:color="000000"/>
              <w:left w:val="single" w:sz="8" w:space="0" w:color="000000"/>
              <w:bottom w:val="single" w:sz="8" w:space="0" w:color="000000"/>
              <w:right w:val="single" w:sz="8" w:space="0" w:color="000000"/>
            </w:tcBorders>
            <w:vAlign w:val="bottom"/>
          </w:tcPr>
          <w:p w14:paraId="626F00B3" w14:textId="5819B1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2.58E-10</w:t>
            </w:r>
          </w:p>
        </w:tc>
        <w:tc>
          <w:tcPr>
            <w:tcW w:w="2414" w:type="dxa"/>
            <w:vMerg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7AB170" w14:textId="77777777" w:rsidR="00525DBC" w:rsidRPr="00021E5C" w:rsidRDefault="00525DBC" w:rsidP="00525DBC">
            <w:pPr>
              <w:widowControl w:val="0"/>
              <w:spacing w:after="0" w:line="240" w:lineRule="auto"/>
              <w:jc w:val="center"/>
              <w:rPr>
                <w:rFonts w:ascii="Times New Roman" w:eastAsia="Times New Roman" w:hAnsi="Times New Roman" w:cs="Times New Roman"/>
                <w:sz w:val="20"/>
                <w:szCs w:val="20"/>
              </w:rPr>
            </w:pPr>
          </w:p>
        </w:tc>
      </w:tr>
      <w:tr w:rsidR="00525DBC" w:rsidRPr="00021E5C" w14:paraId="5EB059FE"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2D2F6883" w14:textId="6CC1100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2020/2021_TP1.5_GI</w:t>
            </w:r>
          </w:p>
        </w:tc>
        <w:tc>
          <w:tcPr>
            <w:tcW w:w="1734" w:type="dxa"/>
            <w:tcBorders>
              <w:top w:val="single" w:sz="8" w:space="0" w:color="000000"/>
              <w:left w:val="single" w:sz="8" w:space="0" w:color="000000"/>
              <w:bottom w:val="single" w:sz="8" w:space="0" w:color="000000"/>
              <w:right w:val="single" w:sz="8" w:space="0" w:color="000000"/>
            </w:tcBorders>
            <w:vAlign w:val="bottom"/>
          </w:tcPr>
          <w:p w14:paraId="561C1373" w14:textId="4591F8B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JHI-Hv50k-2016-276688</w:t>
            </w:r>
          </w:p>
        </w:tc>
        <w:tc>
          <w:tcPr>
            <w:tcW w:w="580" w:type="dxa"/>
            <w:tcBorders>
              <w:top w:val="single" w:sz="8" w:space="0" w:color="000000"/>
              <w:left w:val="single" w:sz="8" w:space="0" w:color="000000"/>
              <w:bottom w:val="single" w:sz="8" w:space="0" w:color="000000"/>
              <w:right w:val="single" w:sz="8" w:space="0" w:color="000000"/>
            </w:tcBorders>
            <w:vAlign w:val="bottom"/>
          </w:tcPr>
          <w:p w14:paraId="0E22F7D3" w14:textId="0BFFB2F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421511ED" w14:textId="6B826F5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623232032</w:t>
            </w:r>
          </w:p>
        </w:tc>
        <w:tc>
          <w:tcPr>
            <w:tcW w:w="984" w:type="dxa"/>
            <w:tcBorders>
              <w:top w:val="single" w:sz="8" w:space="0" w:color="000000"/>
              <w:left w:val="single" w:sz="8" w:space="0" w:color="000000"/>
              <w:bottom w:val="single" w:sz="8" w:space="0" w:color="000000"/>
              <w:right w:val="single" w:sz="8" w:space="0" w:color="000000"/>
            </w:tcBorders>
            <w:vAlign w:val="bottom"/>
          </w:tcPr>
          <w:p w14:paraId="3D5D8DC9" w14:textId="05F58DB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0.49654</w:t>
            </w:r>
          </w:p>
        </w:tc>
        <w:tc>
          <w:tcPr>
            <w:tcW w:w="1006" w:type="dxa"/>
            <w:tcBorders>
              <w:top w:val="single" w:sz="8" w:space="0" w:color="000000"/>
              <w:left w:val="single" w:sz="8" w:space="0" w:color="000000"/>
              <w:bottom w:val="single" w:sz="8" w:space="0" w:color="000000"/>
              <w:right w:val="single" w:sz="8" w:space="0" w:color="000000"/>
            </w:tcBorders>
            <w:vAlign w:val="bottom"/>
          </w:tcPr>
          <w:p w14:paraId="491525F2" w14:textId="384A286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9.50E-07</w:t>
            </w:r>
          </w:p>
        </w:tc>
        <w:tc>
          <w:tcPr>
            <w:tcW w:w="2414" w:type="dxa"/>
            <w:tcBorders>
              <w:top w:val="single" w:sz="8" w:space="0" w:color="000000"/>
              <w:left w:val="single" w:sz="8" w:space="0" w:color="000000"/>
              <w:bottom w:val="single" w:sz="8" w:space="0" w:color="000000"/>
              <w:right w:val="single" w:sz="8" w:space="0" w:color="000000"/>
            </w:tcBorders>
          </w:tcPr>
          <w:p w14:paraId="4B5D8B28"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4B29EB1" w14:textId="77777777" w:rsidTr="009D7C2F">
        <w:trPr>
          <w:trHeight w:hRule="exact" w:val="1272"/>
        </w:trPr>
        <w:tc>
          <w:tcPr>
            <w:tcW w:w="1700" w:type="dxa"/>
            <w:tcBorders>
              <w:top w:val="single" w:sz="8" w:space="0" w:color="000000"/>
              <w:left w:val="single" w:sz="8" w:space="0" w:color="000000"/>
              <w:bottom w:val="single" w:sz="8" w:space="0" w:color="000000"/>
              <w:right w:val="single" w:sz="8" w:space="0" w:color="000000"/>
            </w:tcBorders>
            <w:vAlign w:val="bottom"/>
          </w:tcPr>
          <w:p w14:paraId="75327B1F" w14:textId="0FFCD47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2021_TP1_GE, Logistic GE 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2CAA4841" w14:textId="71703D1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JHI-Hv50k-2016-276604</w:t>
            </w:r>
          </w:p>
        </w:tc>
        <w:tc>
          <w:tcPr>
            <w:tcW w:w="580" w:type="dxa"/>
            <w:tcBorders>
              <w:top w:val="single" w:sz="8" w:space="0" w:color="000000"/>
              <w:left w:val="single" w:sz="8" w:space="0" w:color="000000"/>
              <w:bottom w:val="single" w:sz="8" w:space="0" w:color="000000"/>
              <w:right w:val="single" w:sz="8" w:space="0" w:color="000000"/>
            </w:tcBorders>
            <w:vAlign w:val="bottom"/>
          </w:tcPr>
          <w:p w14:paraId="1BA29FFC" w14:textId="79E45CF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48E04D21" w14:textId="48D05A9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623528344</w:t>
            </w:r>
          </w:p>
        </w:tc>
        <w:tc>
          <w:tcPr>
            <w:tcW w:w="984" w:type="dxa"/>
            <w:tcBorders>
              <w:top w:val="single" w:sz="8" w:space="0" w:color="000000"/>
              <w:left w:val="single" w:sz="8" w:space="0" w:color="000000"/>
              <w:bottom w:val="single" w:sz="8" w:space="0" w:color="000000"/>
              <w:right w:val="single" w:sz="8" w:space="0" w:color="000000"/>
            </w:tcBorders>
            <w:vAlign w:val="bottom"/>
          </w:tcPr>
          <w:p w14:paraId="5FFBC8DF" w14:textId="7C30E08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0.49885</w:t>
            </w:r>
          </w:p>
        </w:tc>
        <w:tc>
          <w:tcPr>
            <w:tcW w:w="1006" w:type="dxa"/>
            <w:tcBorders>
              <w:top w:val="single" w:sz="8" w:space="0" w:color="000000"/>
              <w:left w:val="single" w:sz="8" w:space="0" w:color="000000"/>
              <w:bottom w:val="single" w:sz="8" w:space="0" w:color="000000"/>
              <w:right w:val="single" w:sz="8" w:space="0" w:color="000000"/>
            </w:tcBorders>
            <w:vAlign w:val="bottom"/>
          </w:tcPr>
          <w:p w14:paraId="595603B4" w14:textId="7A2243F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2.41E-07</w:t>
            </w:r>
          </w:p>
        </w:tc>
        <w:tc>
          <w:tcPr>
            <w:tcW w:w="2414" w:type="dxa"/>
            <w:tcBorders>
              <w:top w:val="single" w:sz="8" w:space="0" w:color="000000"/>
              <w:left w:val="single" w:sz="8" w:space="0" w:color="000000"/>
              <w:bottom w:val="single" w:sz="8" w:space="0" w:color="000000"/>
              <w:right w:val="single" w:sz="8" w:space="0" w:color="000000"/>
            </w:tcBorders>
          </w:tcPr>
          <w:p w14:paraId="53D8F16C"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26F77213"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12E6993" w14:textId="1AC00D5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All germination traits</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C950CFC" w14:textId="3570174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Qsd1</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D1FFE8F" w14:textId="283A97D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F7573B7" w14:textId="6AE0467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442160000</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7E4FD0F" w14:textId="38FCD70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0.35189</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6CD1087" w14:textId="56D28C4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1.04E-59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23FFCA0F" w14:textId="55D52B9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i/>
                <w:iCs/>
                <w:sz w:val="20"/>
                <w:szCs w:val="20"/>
              </w:rPr>
              <w:t>HvAlaAT</w:t>
            </w:r>
            <w:r w:rsidRPr="00021E5C">
              <w:rPr>
                <w:rFonts w:ascii="Times New Roman" w:eastAsia="Times New Roman" w:hAnsi="Times New Roman" w:cs="Times New Roman"/>
                <w:sz w:val="20"/>
                <w:szCs w:val="20"/>
              </w:rPr>
              <w:t xml:space="preserve"> (Qsd1)</w:t>
            </w:r>
          </w:p>
        </w:tc>
      </w:tr>
      <w:tr w:rsidR="00525DBC" w:rsidRPr="00021E5C" w14:paraId="7BF4DD4D"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92728E6" w14:textId="665D2E80"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lastRenderedPageBreak/>
              <w:t>2020/2021_TP2_GI, Logistic GI 2020/2021_TimeTo5.0</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E58DE57" w14:textId="1FCDDE1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JHI-Hv50k-2016-308652</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25680D4" w14:textId="37CEAA7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B991AF5" w14:textId="0E6D9BD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446691785</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BAC0FF5" w14:textId="1DFFC14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0.36526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2ECF382" w14:textId="77A6692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8.79E-14</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746A355"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1F89A036"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0B27DFA" w14:textId="461DDFE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2020/2021_TP4_GE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A979278" w14:textId="0322906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JHI-Hv50k-2016-308712</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3DAFDB5" w14:textId="6009CAA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343C2D3" w14:textId="72B14F3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446936428</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995E9B9" w14:textId="17384E2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0.22717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7344C95" w14:textId="661A833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6.86E-07</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7C6A92AB"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72E8024F" w14:textId="77777777" w:rsidTr="002F07D7">
        <w:trPr>
          <w:trHeight w:hRule="exact" w:val="179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AA25C7C" w14:textId="22296B9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1C2E3CD" w14:textId="2A105A3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JHI-Hv50k-2016-308862</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CAA18BF" w14:textId="5060CC5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484392C" w14:textId="2C8BE47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447841431</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F920208" w14:textId="0DC8B8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0.31781</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F64DDD2" w14:textId="68605EB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2.40E-11</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B9EB73A" w14:textId="4B3B1ED1" w:rsidR="00525DBC" w:rsidRPr="00021E5C" w:rsidRDefault="002F07D7" w:rsidP="002F07D7">
            <w:pPr>
              <w:widowControl w:val="0"/>
              <w:spacing w:before="240" w:after="0" w:line="240" w:lineRule="auto"/>
              <w:rPr>
                <w:rFonts w:ascii="Times New Roman" w:eastAsia="Times New Roman" w:hAnsi="Times New Roman" w:cs="Times New Roman"/>
                <w:sz w:val="20"/>
                <w:szCs w:val="20"/>
              </w:rPr>
            </w:pPr>
            <w:r w:rsidRPr="00021E5C">
              <w:rPr>
                <w:rFonts w:ascii="Times New Roman" w:hAnsi="Times New Roman" w:cs="Times New Roman"/>
                <w:sz w:val="20"/>
                <w:szCs w:val="20"/>
              </w:rPr>
              <w:t>HORVU.MOREX.r2.5HG0399930.1</w:t>
            </w:r>
            <w:r w:rsidRPr="00021E5C">
              <w:rPr>
                <w:rFonts w:ascii="Times New Roman" w:hAnsi="Times New Roman" w:cs="Times New Roman"/>
                <w:sz w:val="20"/>
                <w:szCs w:val="20"/>
              </w:rPr>
              <w:t xml:space="preserve">, </w:t>
            </w:r>
            <w:r w:rsidRPr="00021E5C">
              <w:rPr>
                <w:rFonts w:ascii="Times New Roman" w:eastAsia="Times New Roman" w:hAnsi="Times New Roman" w:cs="Times New Roman"/>
                <w:sz w:val="20"/>
                <w:szCs w:val="20"/>
              </w:rPr>
              <w:t>S-adenosylmethionine decarboxylas</w:t>
            </w:r>
            <w:r w:rsidRPr="00021E5C">
              <w:rPr>
                <w:rFonts w:ascii="Times New Roman" w:eastAsia="Times New Roman" w:hAnsi="Times New Roman" w:cs="Times New Roman"/>
                <w:sz w:val="20"/>
                <w:szCs w:val="20"/>
              </w:rPr>
              <w:t>e</w:t>
            </w:r>
          </w:p>
        </w:tc>
      </w:tr>
      <w:tr w:rsidR="00525DBC" w:rsidRPr="00021E5C" w14:paraId="337D3DB5"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EAF03B1" w14:textId="541F7FD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2020_TP1_GE, Logistic GE 2020/2021_Lower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B2D55F2" w14:textId="5777DBE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JHI-Hv50k-2016-308899</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5470B0B" w14:textId="2C3D133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17F6EA6" w14:textId="3E1762C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448089400</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0C4C55A" w14:textId="2235237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0.30717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7D3C884" w14:textId="6B9D73E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2.17E-11</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2C039FB"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2699A556"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B64653B" w14:textId="1274343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2021_TP1_GE, 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58C35C4" w14:textId="0F031C8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JHI-Hv50k-2016-309905</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EF775ED" w14:textId="056A7A5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673B0C8" w14:textId="60E4AC9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458001626</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F51BE86" w14:textId="3FBD9A7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0.24249</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E06FAA9" w14:textId="67DB5B8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3.05E-12</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CCB1962"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328529A3"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C4AD68F" w14:textId="6553793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2020/2021_TP5_GE, Logistic GE 2020_rTimeTo95</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E15F8BF" w14:textId="4E5E737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JHI-Hv50k-2016-311435</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BF4BE8F" w14:textId="1880B4C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73F417F" w14:textId="1CA455F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475091665</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0C0A545" w14:textId="6782C17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0.10245</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990EC67" w14:textId="1E45D3A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2.27E-12</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156FB166"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GRAM-containing/ABA-responsive protein, ISA3</w:t>
            </w:r>
          </w:p>
          <w:p w14:paraId="47CA2F4B"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ABE7680"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AD9E670" w14:textId="77D6193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2021_TP1_GE, 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46A4EA7" w14:textId="6B933C5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JHI-Hv50k-2016-311700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D5808CD" w14:textId="0A7F715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55679CA" w14:textId="562CAB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475995048</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18B01A4" w14:textId="0ABAD44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0.10393</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CCAC073" w14:textId="3C6EEF7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6.85E-16</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6D90CE4F"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GRAM-containing/ABA-responsive protein, ISA3</w:t>
            </w:r>
          </w:p>
          <w:p w14:paraId="3945EDBE"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706B51C"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F4C2615" w14:textId="06E5F7E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75DD58F" w14:textId="3F6552C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JHI-Hv50k-2016-312060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5D6B84D" w14:textId="2D259D0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9692448" w14:textId="1705A4E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477830016</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1A1D4D9" w14:textId="4E9414D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0.1036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86F3185" w14:textId="21EFB38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3.78E-13</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1CCB86FF" w14:textId="77777777" w:rsidR="00525DBC" w:rsidRPr="00021E5C" w:rsidRDefault="00525DBC" w:rsidP="00525653">
            <w:pPr>
              <w:widowControl w:val="0"/>
              <w:spacing w:before="240" w:after="240" w:line="240" w:lineRule="auto"/>
              <w:jc w:val="center"/>
              <w:rPr>
                <w:rFonts w:ascii="Times New Roman" w:eastAsia="Times New Roman" w:hAnsi="Times New Roman" w:cs="Times New Roman"/>
                <w:sz w:val="20"/>
                <w:szCs w:val="20"/>
              </w:rPr>
            </w:pPr>
          </w:p>
        </w:tc>
      </w:tr>
      <w:tr w:rsidR="00525DBC" w:rsidRPr="00021E5C" w14:paraId="7C6EDABA"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F1C89B7" w14:textId="03C60EF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GE 2020_rTimeTo95</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4DC16B5" w14:textId="6038EEE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JHI-Hv50k-2016-316773</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A6006CE" w14:textId="0332C1B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0F1D9A3" w14:textId="4D3EEF4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493655229</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9372306" w14:textId="026EA0E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0.09259</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3476ABC" w14:textId="691ED50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5D661B3" w14:textId="492E98A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Altered Abscisic acid signaling and drought</w:t>
            </w:r>
          </w:p>
        </w:tc>
      </w:tr>
      <w:tr w:rsidR="00525DBC" w:rsidRPr="00021E5C" w14:paraId="07E1F4D4"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30D4A6C" w14:textId="5EDEEF4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GE 2020_rTimeTo95</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FECEED3" w14:textId="298DFB5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JHI-Hv50k-2016-316958</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F92C31C" w14:textId="46F0FBB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C53D454" w14:textId="25F4BE7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497027186</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705551D" w14:textId="393CD80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0.09028</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29EEEA8" w14:textId="6E37EF0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6369AEA" w14:textId="51FF460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Altered Abscisic acid signaling and drought</w:t>
            </w:r>
          </w:p>
        </w:tc>
      </w:tr>
      <w:tr w:rsidR="009D7C2F" w:rsidRPr="00021E5C" w14:paraId="3B043DDB"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C9D2F2E" w14:textId="465ECABA"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527C15D" w14:textId="3D942407"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JHI-Hv50k-2016-336814</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131FBD4" w14:textId="7736EDF1"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596D533" w14:textId="115328BF"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538533757</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67DCFA2" w14:textId="3E4ED3F8"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0.21396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39345FB" w14:textId="7126ADDA"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1.39E-09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03F076A5" w14:textId="7777777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p>
        </w:tc>
      </w:tr>
      <w:tr w:rsidR="009D7C2F" w:rsidRPr="00021E5C" w14:paraId="3D08522E"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DC87BCA" w14:textId="73E87F73"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F41D7AA" w14:textId="396E5756"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JHI-Hv50k-2016-337656</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BFB6228" w14:textId="5919621F"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5F18AB9" w14:textId="3DD61DF9"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540818357</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E63AE27" w14:textId="5A48A3B6"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0.35586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11CEAEE" w14:textId="2FBD572F"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1.37E-14</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0D6D815C" w14:textId="7777777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p>
        </w:tc>
      </w:tr>
      <w:tr w:rsidR="009D7C2F" w:rsidRPr="00021E5C" w14:paraId="2B3DBE5C"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2E30611" w14:textId="539CD065"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61A854D" w14:textId="41F3A183"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JHI-Hv50k-2016-380542</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2789C76" w14:textId="3A87EADE"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BE3A5B9" w14:textId="0B4A1D0B"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27552556</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5971C4" w14:textId="3548F308"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0.46544</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D6E3197" w14:textId="4AA0510C"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14:paraId="577128F9" w14:textId="77777777" w:rsidR="009D7C2F" w:rsidRPr="00021E5C" w:rsidRDefault="009D7C2F" w:rsidP="009D7C2F">
            <w:pPr>
              <w:widowControl w:val="0"/>
              <w:spacing w:after="0" w:line="240" w:lineRule="auto"/>
              <w:jc w:val="center"/>
              <w:rPr>
                <w:rFonts w:ascii="Times New Roman" w:eastAsia="Times New Roman" w:hAnsi="Times New Roman" w:cs="Times New Roman"/>
                <w:sz w:val="20"/>
                <w:szCs w:val="20"/>
              </w:rPr>
            </w:pPr>
          </w:p>
        </w:tc>
      </w:tr>
      <w:tr w:rsidR="009D7C2F" w:rsidRPr="00021E5C" w14:paraId="7C15DB0F"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ABCAA75" w14:textId="03521CB8"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lastRenderedPageBreak/>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B1CA4E4" w14:textId="00246CC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JHI-Hv50k-2016-380636</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4EEBD3C" w14:textId="106DCF09"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0B264A6" w14:textId="5FAC5458"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27999396</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6CC1BC8" w14:textId="712C99DE"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0.45968</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F529B93" w14:textId="5717DB0C"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0FF66F3B" w14:textId="7777777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p>
        </w:tc>
      </w:tr>
      <w:tr w:rsidR="009D7C2F" w:rsidRPr="00021E5C" w14:paraId="4E0DB0E9" w14:textId="77777777" w:rsidTr="00160300">
        <w:trPr>
          <w:trHeight w:hRule="exact" w:val="597"/>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D81CA3A" w14:textId="493B4FDF"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DAFB186" w14:textId="0374092A"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JHI-Hv50k-2016-435773</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83A20C5" w14:textId="159039FF"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287CE55" w14:textId="590DA5C8"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1396559</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F0374CF" w14:textId="7B9DC1B2"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0.47947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2A5128C" w14:textId="6E1CB3E9"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4.66E-10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1C56DAF" w14:textId="7777777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p>
        </w:tc>
      </w:tr>
      <w:tr w:rsidR="009D7C2F" w:rsidRPr="00021E5C" w14:paraId="5323C1DD"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E48A86B" w14:textId="5E2EE15C"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471FF8A" w14:textId="47888008"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JHI-Hv50k-2016-435980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46535E9" w14:textId="5AA4852D"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9D21140" w14:textId="7495FA1E"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1493018</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AEC836B" w14:textId="38A94AE2"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0.47705</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E7A5811" w14:textId="51AA8EDA"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5.25E-09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69166DB" w14:textId="7777777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p>
        </w:tc>
      </w:tr>
      <w:tr w:rsidR="009D7C2F" w:rsidRPr="00021E5C" w14:paraId="29E181CD" w14:textId="77777777" w:rsidTr="00160300">
        <w:trPr>
          <w:trHeight w:hRule="exact" w:val="957"/>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DD1211D" w14:textId="1737175E"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2020_TP1_GI</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AF0299A" w14:textId="3788204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JHI-Hv50k-2016-507370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A78F181" w14:textId="7C4B274B"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CD5C5BE" w14:textId="6A2F70D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611934447</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D603E8D" w14:textId="3908C70A"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0.15138</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04C815C" w14:textId="20C8A9CB"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3.03E-11</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1385A00" w14:textId="7777777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p>
        </w:tc>
      </w:tr>
    </w:tbl>
    <w:p w14:paraId="1EEF229B" w14:textId="1F92BB6A" w:rsidR="006D3129" w:rsidRPr="00021E5C" w:rsidRDefault="006D3129" w:rsidP="00160300">
      <w:pPr>
        <w:tabs>
          <w:tab w:val="left" w:pos="3780"/>
        </w:tabs>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sz w:val="18"/>
          <w:szCs w:val="18"/>
        </w:rPr>
        <w:t>Trait abbreviations: Preharvest sprouting (PHS), germination energy (GE), germination index (GI), time point 1 (TP1),</w:t>
      </w:r>
      <w:r w:rsidR="00BC0B61" w:rsidRPr="00021E5C">
        <w:rPr>
          <w:rFonts w:ascii="Times New Roman" w:eastAsia="Times New Roman" w:hAnsi="Times New Roman" w:cs="Times New Roman"/>
          <w:color w:val="000000"/>
          <w:sz w:val="18"/>
          <w:szCs w:val="18"/>
        </w:rPr>
        <w:t xml:space="preserve"> time point 1.5(TP1.5)</w:t>
      </w:r>
      <w:r w:rsidRPr="00021E5C">
        <w:rPr>
          <w:rFonts w:ascii="Times New Roman" w:eastAsia="Times New Roman" w:hAnsi="Times New Roman" w:cs="Times New Roman"/>
          <w:color w:val="000000"/>
          <w:sz w:val="18"/>
          <w:szCs w:val="18"/>
        </w:rPr>
        <w:t xml:space="preserve"> time point 2 (TP2),</w:t>
      </w:r>
      <w:r w:rsidR="00BC0B61" w:rsidRPr="00021E5C">
        <w:rPr>
          <w:rFonts w:ascii="Times New Roman" w:eastAsia="Times New Roman" w:hAnsi="Times New Roman" w:cs="Times New Roman"/>
          <w:color w:val="000000"/>
          <w:sz w:val="18"/>
          <w:szCs w:val="18"/>
        </w:rPr>
        <w:t xml:space="preserve"> timepoint 2.5(TP2.5),</w:t>
      </w:r>
      <w:r w:rsidRPr="00021E5C">
        <w:rPr>
          <w:rFonts w:ascii="Times New Roman" w:eastAsia="Times New Roman" w:hAnsi="Times New Roman" w:cs="Times New Roman"/>
          <w:color w:val="000000"/>
          <w:sz w:val="18"/>
          <w:szCs w:val="18"/>
        </w:rPr>
        <w:t xml:space="preserve"> time point 3 (TP3),</w:t>
      </w:r>
      <w:r w:rsidR="00BC0B61" w:rsidRPr="00021E5C">
        <w:rPr>
          <w:rFonts w:ascii="Times New Roman" w:eastAsia="Times New Roman" w:hAnsi="Times New Roman" w:cs="Times New Roman"/>
          <w:color w:val="000000"/>
          <w:sz w:val="18"/>
          <w:szCs w:val="18"/>
        </w:rPr>
        <w:t xml:space="preserve"> timepoint 3.5(TP3.5)</w:t>
      </w:r>
      <w:r w:rsidRPr="00021E5C">
        <w:rPr>
          <w:rFonts w:ascii="Times New Roman" w:eastAsia="Times New Roman" w:hAnsi="Times New Roman" w:cs="Times New Roman"/>
          <w:color w:val="000000"/>
          <w:sz w:val="18"/>
          <w:szCs w:val="18"/>
        </w:rPr>
        <w:t xml:space="preserve"> time point 4 (TP4), time point 5 (TP5)</w:t>
      </w:r>
    </w:p>
    <w:p w14:paraId="570F55B8" w14:textId="77777777" w:rsidR="006D3129" w:rsidRPr="00021E5C" w:rsidRDefault="006D3129" w:rsidP="006D3129">
      <w:pPr>
        <w:spacing w:before="240"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sz w:val="18"/>
          <w:szCs w:val="18"/>
        </w:rPr>
        <w:t>**MAF: Minor allele frequency</w:t>
      </w:r>
    </w:p>
    <w:p w14:paraId="025863A4" w14:textId="77777777" w:rsidR="006D3129" w:rsidRPr="00021E5C" w:rsidRDefault="006D3129" w:rsidP="006D3129">
      <w:pPr>
        <w:spacing w:before="240"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sz w:val="18"/>
          <w:szCs w:val="18"/>
        </w:rPr>
        <w:t>***</w:t>
      </w:r>
      <w:r w:rsidRPr="00021E5C">
        <w:rPr>
          <w:rFonts w:ascii="Times New Roman" w:eastAsia="Times New Roman" w:hAnsi="Times New Roman" w:cs="Times New Roman"/>
          <w:color w:val="000000"/>
          <w:sz w:val="18"/>
          <w:szCs w:val="18"/>
          <w:shd w:val="clear" w:color="auto" w:fill="FFFFFF"/>
        </w:rPr>
        <w:t>P-values below the Bonferroni cutoff (p=0.05) of 3.57x10</w:t>
      </w:r>
      <w:r w:rsidRPr="00021E5C">
        <w:rPr>
          <w:rFonts w:ascii="Times New Roman" w:eastAsia="Times New Roman" w:hAnsi="Times New Roman" w:cs="Times New Roman"/>
          <w:color w:val="000000"/>
          <w:sz w:val="18"/>
          <w:szCs w:val="18"/>
          <w:shd w:val="clear" w:color="auto" w:fill="FFFFFF"/>
          <w:vertAlign w:val="superscript"/>
        </w:rPr>
        <w:t>-6</w:t>
      </w:r>
      <w:r w:rsidRPr="00021E5C">
        <w:rPr>
          <w:rFonts w:ascii="Times New Roman" w:eastAsia="Times New Roman" w:hAnsi="Times New Roman" w:cs="Times New Roman"/>
          <w:color w:val="000000"/>
          <w:sz w:val="18"/>
          <w:szCs w:val="18"/>
          <w:shd w:val="clear" w:color="auto" w:fill="FFFFFF"/>
        </w:rPr>
        <w:t xml:space="preserve"> were considered significant</w:t>
      </w:r>
    </w:p>
    <w:p w14:paraId="13F33E5B"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              </w:t>
      </w:r>
    </w:p>
    <w:p w14:paraId="75ABF03D" w14:textId="77777777" w:rsidR="006D3129" w:rsidRPr="00021E5C" w:rsidRDefault="006D3129" w:rsidP="006D3129">
      <w:pPr>
        <w:spacing w:after="0" w:line="240" w:lineRule="auto"/>
        <w:rPr>
          <w:rFonts w:ascii="Times New Roman" w:eastAsia="Times New Roman" w:hAnsi="Times New Roman" w:cs="Times New Roman"/>
          <w:sz w:val="24"/>
          <w:szCs w:val="24"/>
        </w:rPr>
      </w:pPr>
    </w:p>
    <w:p w14:paraId="547FDF50" w14:textId="77777777" w:rsidR="006D6972" w:rsidRPr="00021E5C" w:rsidRDefault="006D6972" w:rsidP="006D3129">
      <w:pPr>
        <w:spacing w:after="0" w:line="240" w:lineRule="auto"/>
        <w:rPr>
          <w:rFonts w:ascii="Times New Roman" w:eastAsia="Times New Roman" w:hAnsi="Times New Roman" w:cs="Times New Roman"/>
          <w:color w:val="000000"/>
        </w:rPr>
      </w:pPr>
    </w:p>
    <w:p w14:paraId="057ABE84" w14:textId="2B180B8D"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Figure 3a-c: Display of germination rates based on lines with the dormant/don-dormant Qsd1 haplotype across the time points measured for each year. Each right facet represents germination index(GI) and germination energy(GE) Charles/Endeavor was included as a check comparison.</w:t>
      </w:r>
    </w:p>
    <w:p w14:paraId="50EB8686" w14:textId="0CF3EBAF"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drawing>
          <wp:inline distT="0" distB="0" distL="0" distR="0" wp14:anchorId="361374E5" wp14:editId="544C44B0">
            <wp:extent cx="5562600" cy="42481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248150"/>
                    </a:xfrm>
                    <a:prstGeom prst="rect">
                      <a:avLst/>
                    </a:prstGeom>
                    <a:noFill/>
                    <a:ln>
                      <a:noFill/>
                    </a:ln>
                  </pic:spPr>
                </pic:pic>
              </a:graphicData>
            </a:graphic>
          </wp:inline>
        </w:drawing>
      </w:r>
    </w:p>
    <w:p w14:paraId="7694A1D6" w14:textId="5111A6D2"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lastRenderedPageBreak/>
        <w:drawing>
          <wp:inline distT="0" distB="0" distL="0" distR="0" wp14:anchorId="23783AE0" wp14:editId="5468BC6E">
            <wp:extent cx="5302250" cy="40703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070350"/>
                    </a:xfrm>
                    <a:prstGeom prst="rect">
                      <a:avLst/>
                    </a:prstGeom>
                    <a:noFill/>
                    <a:ln>
                      <a:noFill/>
                    </a:ln>
                  </pic:spPr>
                </pic:pic>
              </a:graphicData>
            </a:graphic>
          </wp:inline>
        </w:drawing>
      </w:r>
    </w:p>
    <w:p w14:paraId="3F1182CE" w14:textId="2D853FFD"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drawing>
          <wp:inline distT="0" distB="0" distL="0" distR="0" wp14:anchorId="56777A5E" wp14:editId="7B518884">
            <wp:extent cx="5245100" cy="401320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4013200"/>
                    </a:xfrm>
                    <a:prstGeom prst="rect">
                      <a:avLst/>
                    </a:prstGeom>
                    <a:noFill/>
                    <a:ln>
                      <a:noFill/>
                    </a:ln>
                  </pic:spPr>
                </pic:pic>
              </a:graphicData>
            </a:graphic>
          </wp:inline>
        </w:drawing>
      </w:r>
    </w:p>
    <w:p w14:paraId="62F96216" w14:textId="77777777" w:rsidR="00B43BE1" w:rsidRPr="00021E5C" w:rsidRDefault="00B43BE1" w:rsidP="00B43BE1">
      <w:pPr>
        <w:shd w:val="clear" w:color="auto" w:fill="FFFFFF"/>
        <w:spacing w:after="0" w:line="240" w:lineRule="auto"/>
        <w:rPr>
          <w:rFonts w:ascii="Times New Roman" w:eastAsia="Times New Roman" w:hAnsi="Times New Roman" w:cs="Times New Roman"/>
        </w:rPr>
      </w:pPr>
      <w:r w:rsidRPr="00021E5C">
        <w:rPr>
          <w:rFonts w:ascii="Times New Roman" w:eastAsia="Times New Roman" w:hAnsi="Times New Roman" w:cs="Times New Roman"/>
          <w:b/>
          <w:bCs/>
          <w:color w:val="222222"/>
          <w:u w:val="single"/>
        </w:rPr>
        <w:t>Other Barley Research</w:t>
      </w:r>
    </w:p>
    <w:p w14:paraId="1434D231" w14:textId="77777777" w:rsidR="00B43BE1" w:rsidRPr="00021E5C" w:rsidRDefault="00B43BE1" w:rsidP="00B43BE1">
      <w:pPr>
        <w:shd w:val="clear" w:color="auto" w:fill="FFFFFF"/>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222222"/>
        </w:rPr>
        <w:t>-Two-row winter malting barley breeding program evaluating winter double haploid population and RIL population in augmented design in yield plots at two locations</w:t>
      </w:r>
    </w:p>
    <w:p w14:paraId="4970605E" w14:textId="77777777" w:rsidR="00B43BE1" w:rsidRPr="00021E5C" w:rsidRDefault="00B43BE1" w:rsidP="00B43BE1">
      <w:pPr>
        <w:shd w:val="clear" w:color="auto" w:fill="FFFFFF"/>
        <w:spacing w:after="0" w:line="240" w:lineRule="auto"/>
        <w:rPr>
          <w:rFonts w:ascii="Times New Roman" w:eastAsia="Times New Roman" w:hAnsi="Times New Roman" w:cs="Times New Roman"/>
          <w:color w:val="222222"/>
        </w:rPr>
      </w:pPr>
      <w:r w:rsidRPr="00021E5C">
        <w:rPr>
          <w:rFonts w:ascii="Times New Roman" w:eastAsia="Times New Roman" w:hAnsi="Times New Roman" w:cs="Times New Roman"/>
          <w:color w:val="222222"/>
        </w:rPr>
        <w:t>-Multi-purpose organic naked barley research NAM F</w:t>
      </w:r>
      <w:r w:rsidRPr="00021E5C">
        <w:rPr>
          <w:rFonts w:ascii="Times New Roman" w:eastAsia="Times New Roman" w:hAnsi="Times New Roman" w:cs="Times New Roman"/>
          <w:color w:val="222222"/>
          <w:vertAlign w:val="subscript"/>
        </w:rPr>
        <w:t>2</w:t>
      </w:r>
      <w:r w:rsidRPr="00021E5C">
        <w:rPr>
          <w:rFonts w:ascii="Times New Roman" w:eastAsia="Times New Roman" w:hAnsi="Times New Roman" w:cs="Times New Roman"/>
          <w:color w:val="222222"/>
        </w:rPr>
        <w:t xml:space="preserve"> selection experiment funded by Organic Research and Education Initiative (OREI) </w:t>
      </w:r>
    </w:p>
    <w:p w14:paraId="772DC352" w14:textId="77777777" w:rsidR="00B43BE1" w:rsidRPr="00021E5C" w:rsidRDefault="00B43BE1" w:rsidP="00B43BE1">
      <w:pPr>
        <w:shd w:val="clear" w:color="auto" w:fill="FFFFFF"/>
        <w:spacing w:after="0" w:line="240" w:lineRule="auto"/>
        <w:rPr>
          <w:rFonts w:ascii="Times New Roman" w:eastAsia="Times New Roman" w:hAnsi="Times New Roman" w:cs="Times New Roman"/>
          <w:color w:val="222222"/>
        </w:rPr>
      </w:pPr>
      <w:r w:rsidRPr="00021E5C">
        <w:rPr>
          <w:rFonts w:ascii="Times New Roman" w:eastAsia="Times New Roman" w:hAnsi="Times New Roman" w:cs="Times New Roman"/>
          <w:color w:val="222222"/>
        </w:rPr>
        <w:t>-Value added grains experiment funded by the Organic Research and Education Initiative (OREI) lead by Mark Sorrells</w:t>
      </w:r>
    </w:p>
    <w:p w14:paraId="15CC27EB" w14:textId="77777777" w:rsidR="00B43BE1" w:rsidRPr="00021E5C" w:rsidRDefault="00B43BE1" w:rsidP="006D3129">
      <w:pPr>
        <w:spacing w:after="0" w:line="240" w:lineRule="auto"/>
        <w:rPr>
          <w:rFonts w:ascii="Times New Roman" w:eastAsia="Times New Roman" w:hAnsi="Times New Roman" w:cs="Times New Roman"/>
          <w:sz w:val="24"/>
          <w:szCs w:val="24"/>
          <w:u w:val="single"/>
        </w:rPr>
      </w:pPr>
    </w:p>
    <w:p w14:paraId="6BF49A75" w14:textId="0193951D" w:rsidR="006C3633" w:rsidRPr="00021E5C" w:rsidRDefault="006C3633" w:rsidP="006D3129">
      <w:pPr>
        <w:spacing w:after="0" w:line="240" w:lineRule="auto"/>
        <w:rPr>
          <w:rFonts w:ascii="Times New Roman" w:eastAsia="Times New Roman" w:hAnsi="Times New Roman" w:cs="Times New Roman"/>
          <w:sz w:val="24"/>
          <w:szCs w:val="24"/>
          <w:u w:val="single"/>
        </w:rPr>
      </w:pPr>
      <w:r w:rsidRPr="00021E5C">
        <w:rPr>
          <w:rFonts w:ascii="Times New Roman" w:eastAsia="Times New Roman" w:hAnsi="Times New Roman" w:cs="Times New Roman"/>
          <w:sz w:val="24"/>
          <w:szCs w:val="24"/>
          <w:u w:val="single"/>
        </w:rPr>
        <w:t>References</w:t>
      </w:r>
    </w:p>
    <w:p w14:paraId="484DCF35" w14:textId="6C12F27A" w:rsidR="006C3633" w:rsidRPr="00021E5C" w:rsidRDefault="006C3633" w:rsidP="006D3129">
      <w:pPr>
        <w:spacing w:after="0" w:line="240" w:lineRule="auto"/>
        <w:rPr>
          <w:rFonts w:ascii="Times New Roman" w:eastAsia="Times New Roman" w:hAnsi="Times New Roman" w:cs="Times New Roman"/>
          <w:sz w:val="24"/>
          <w:szCs w:val="24"/>
          <w:u w:val="single"/>
        </w:rPr>
      </w:pPr>
    </w:p>
    <w:p w14:paraId="0AE69FFC" w14:textId="77777777" w:rsidR="006C3633" w:rsidRPr="00021E5C" w:rsidRDefault="006C3633" w:rsidP="006C3633">
      <w:pPr>
        <w:spacing w:before="240" w:after="240" w:line="240" w:lineRule="auto"/>
        <w:ind w:left="720" w:hanging="720"/>
        <w:rPr>
          <w:rFonts w:ascii="Times New Roman" w:eastAsia="Times New Roman" w:hAnsi="Times New Roman" w:cs="Times New Roman"/>
          <w:color w:val="000000"/>
        </w:rPr>
      </w:pPr>
      <w:r w:rsidRPr="00021E5C">
        <w:rPr>
          <w:rFonts w:ascii="Times New Roman" w:eastAsia="Times New Roman" w:hAnsi="Times New Roman" w:cs="Times New Roman"/>
          <w:color w:val="000000"/>
        </w:rPr>
        <w:t>Abraham, Z., Raquel Iglesias Fernández, Manuel Martinez, Isabel Diaz, Pilar Carbonero, Jesus Vicente-Carbajosa 2016. Plant Physiology pp.00092.2016; DOI: 10.1104/pp.16.00092</w:t>
      </w:r>
    </w:p>
    <w:p w14:paraId="4C944A48" w14:textId="77777777" w:rsidR="006C3633" w:rsidRPr="00021E5C" w:rsidRDefault="006C3633" w:rsidP="006C3633">
      <w:pPr>
        <w:pStyle w:val="NormalWeb"/>
        <w:spacing w:before="280" w:after="280"/>
        <w:ind w:left="480" w:hanging="480"/>
        <w:rPr>
          <w:sz w:val="22"/>
          <w:szCs w:val="22"/>
        </w:rPr>
      </w:pPr>
      <w:r w:rsidRPr="00021E5C">
        <w:rPr>
          <w:sz w:val="22"/>
          <w:szCs w:val="22"/>
        </w:rPr>
        <w:t>Bayer, M.M., P. Rapazote-Flores, M. Ganal, P.E. Hedley, M. Macaulay, et al. 2017. Development and evaluation of a barley 50k iSelect SNP array. Front. Plant Sci. 8. doi: 10.3389/fpls.2017.01792.</w:t>
      </w:r>
    </w:p>
    <w:p w14:paraId="6FF28DC9" w14:textId="77777777" w:rsidR="006C3633" w:rsidRPr="00021E5C" w:rsidRDefault="006C3633" w:rsidP="006C3633">
      <w:pPr>
        <w:shd w:val="clear" w:color="auto" w:fill="FFFFFF"/>
        <w:spacing w:after="0" w:line="240" w:lineRule="auto"/>
        <w:ind w:left="720" w:hanging="720"/>
        <w:rPr>
          <w:rFonts w:ascii="Times New Roman" w:eastAsia="Times New Roman" w:hAnsi="Times New Roman" w:cs="Times New Roman"/>
        </w:rPr>
      </w:pPr>
      <w:r w:rsidRPr="00021E5C">
        <w:rPr>
          <w:rFonts w:ascii="Times New Roman" w:eastAsia="Times New Roman" w:hAnsi="Times New Roman" w:cs="Times New Roman"/>
          <w:color w:val="222222"/>
        </w:rPr>
        <w:t>Gómez-Cadenas, A., Steven D. Verhey, Lynn D. Holappa, Qingxi Shen, Tuan-Hua David Ho, M. K. Walker-Simmons. 1999. An abscisic acid-induced protein kinase, PKABA1, mediates abscisic acid-suppressed gene expression in barley aleurone layers. Proceedings of the National Academy of Sciences. 96 (4) 1767-1772; DOI: 10.1073/pnas.96.4.1767</w:t>
      </w:r>
    </w:p>
    <w:p w14:paraId="47364BDC" w14:textId="77777777" w:rsidR="006C3633" w:rsidRPr="00021E5C" w:rsidRDefault="006C3633" w:rsidP="006C3633">
      <w:pPr>
        <w:pStyle w:val="NormalWeb"/>
        <w:spacing w:before="280" w:after="280"/>
        <w:ind w:left="480" w:hanging="480"/>
        <w:rPr>
          <w:sz w:val="22"/>
          <w:szCs w:val="22"/>
        </w:rPr>
      </w:pPr>
      <w:r w:rsidRPr="00021E5C">
        <w:rPr>
          <w:sz w:val="22"/>
          <w:szCs w:val="22"/>
        </w:rPr>
        <w:t>Jayakodi, M., S. Padmarasu, G. Haberer, V.S. Bonthala, H. Gundlach, et al. 2020. The barley pan-genome reveals the hidden legacy of mutation breeding. Nature 588(7837): 284–289. doi: 10.1038/s41586-020-2947-8.</w:t>
      </w:r>
    </w:p>
    <w:p w14:paraId="090909DF" w14:textId="3E4A3F48" w:rsidR="006C3633" w:rsidRPr="00021E5C" w:rsidRDefault="006C3633" w:rsidP="006C3633">
      <w:pPr>
        <w:spacing w:before="240" w:after="240" w:line="240" w:lineRule="auto"/>
        <w:ind w:left="720" w:hanging="720"/>
        <w:rPr>
          <w:rFonts w:ascii="Times New Roman" w:eastAsia="Times New Roman" w:hAnsi="Times New Roman" w:cs="Times New Roman"/>
        </w:rPr>
      </w:pPr>
      <w:r w:rsidRPr="00021E5C">
        <w:rPr>
          <w:rFonts w:ascii="Times New Roman" w:eastAsia="Times New Roman" w:hAnsi="Times New Roman" w:cs="Times New Roman"/>
          <w:color w:val="222222"/>
          <w:shd w:val="clear" w:color="auto" w:fill="FFFFFF"/>
        </w:rPr>
        <w:t xml:space="preserve">Liu, L., Li, N., Yao, C. et al. 2013. Functional analysis of the ABA-responsive protein family in ABA and stress signal transduction in Arabidopsis. Chin. Sci. Bull. 58, 3721–3730 </w:t>
      </w:r>
      <w:hyperlink r:id="rId9">
        <w:r w:rsidRPr="00021E5C">
          <w:rPr>
            <w:rStyle w:val="Hyperlink"/>
            <w:rFonts w:ascii="Times New Roman" w:eastAsia="Times New Roman" w:hAnsi="Times New Roman" w:cs="Times New Roman"/>
            <w:shd w:val="clear" w:color="auto" w:fill="FFFFFF"/>
          </w:rPr>
          <w:t xml:space="preserve"> https://doi.org/10.1007/s11434-013-5941-9</w:t>
        </w:r>
      </w:hyperlink>
    </w:p>
    <w:p w14:paraId="3ACC6669" w14:textId="77777777" w:rsidR="006C3633" w:rsidRPr="00021E5C" w:rsidRDefault="006C3633" w:rsidP="006C3633">
      <w:pPr>
        <w:pStyle w:val="NormalWeb"/>
        <w:spacing w:before="280" w:after="280"/>
        <w:ind w:left="480" w:hanging="480"/>
        <w:rPr>
          <w:sz w:val="22"/>
          <w:szCs w:val="22"/>
        </w:rPr>
      </w:pPr>
      <w:r w:rsidRPr="00021E5C">
        <w:rPr>
          <w:sz w:val="22"/>
          <w:szCs w:val="22"/>
        </w:rPr>
        <w:t>Nagel, M., A.M. Alqudah, M. Bailly, L. Rajjou, S. Pistrick, et al. 2019. Novel loci and a role for nitric oxide for seed dormancy and preharvest sprouting in barley. Plant. Cell Environ. doi: 10.1111/pce.13483.</w:t>
      </w:r>
    </w:p>
    <w:p w14:paraId="4E819F0A" w14:textId="72BD0534" w:rsidR="006C3633" w:rsidRPr="00021E5C" w:rsidRDefault="006C3633" w:rsidP="006C3633">
      <w:pPr>
        <w:pStyle w:val="NormalWeb"/>
        <w:spacing w:before="280" w:after="280"/>
        <w:ind w:left="480" w:hanging="480"/>
        <w:rPr>
          <w:sz w:val="22"/>
          <w:szCs w:val="22"/>
        </w:rPr>
      </w:pPr>
      <w:r w:rsidRPr="00021E5C">
        <w:rPr>
          <w:sz w:val="22"/>
          <w:szCs w:val="22"/>
        </w:rPr>
        <w:t>Nakamura, S., M. Pourkheirandish, H. Morishige, Y. Kubo, M. Nakamura, et al. 2016. Mitogen-Activated Protein Kinase Kinase 3 Regulates Seed Dormancy in Barley. Curr. Biol. 26(6): 775–781. doi: 10.1016/J.CUB.2016.01.024.</w:t>
      </w:r>
    </w:p>
    <w:p w14:paraId="587D8F94" w14:textId="4C2F955E" w:rsidR="00244E96" w:rsidRPr="00021E5C" w:rsidRDefault="00244E96" w:rsidP="006C3633">
      <w:pPr>
        <w:pStyle w:val="NormalWeb"/>
        <w:spacing w:before="280" w:after="280"/>
        <w:ind w:left="480" w:hanging="480"/>
        <w:rPr>
          <w:sz w:val="22"/>
          <w:szCs w:val="22"/>
        </w:rPr>
      </w:pPr>
      <w:r w:rsidRPr="00021E5C">
        <w:rPr>
          <w:sz w:val="22"/>
          <w:szCs w:val="22"/>
        </w:rPr>
        <w:t xml:space="preserve">Rooney, T. E., Sweeney, D. W., &amp; Sorrells, M. E. (2022). Time series barley germination is predictable and associated with known seed dormancy loci. </w:t>
      </w:r>
      <w:r w:rsidRPr="00021E5C">
        <w:rPr>
          <w:i/>
          <w:iCs/>
          <w:sz w:val="22"/>
          <w:szCs w:val="22"/>
        </w:rPr>
        <w:t>Crop Science</w:t>
      </w:r>
      <w:r w:rsidRPr="00021E5C">
        <w:rPr>
          <w:sz w:val="22"/>
          <w:szCs w:val="22"/>
        </w:rPr>
        <w:t xml:space="preserve">, </w:t>
      </w:r>
      <w:r w:rsidRPr="00021E5C">
        <w:rPr>
          <w:i/>
          <w:iCs/>
          <w:sz w:val="22"/>
          <w:szCs w:val="22"/>
        </w:rPr>
        <w:t>62</w:t>
      </w:r>
      <w:r w:rsidRPr="00021E5C">
        <w:rPr>
          <w:sz w:val="22"/>
          <w:szCs w:val="22"/>
        </w:rPr>
        <w:t>(1), 100-119.</w:t>
      </w:r>
    </w:p>
    <w:p w14:paraId="5DBF14C1" w14:textId="1FC4B31A" w:rsidR="006C3633" w:rsidRPr="00021E5C" w:rsidRDefault="006C3633" w:rsidP="006C3633">
      <w:pPr>
        <w:pStyle w:val="NormalWeb"/>
        <w:spacing w:before="280" w:after="280"/>
        <w:ind w:left="480" w:hanging="480"/>
        <w:rPr>
          <w:sz w:val="22"/>
          <w:szCs w:val="22"/>
        </w:rPr>
      </w:pPr>
      <w:r w:rsidRPr="00021E5C">
        <w:rPr>
          <w:sz w:val="22"/>
          <w:szCs w:val="22"/>
        </w:rPr>
        <w:t>Sato, K., M. Yamane, N. Yamaji, H. Kanamori, A. Tagiri, et al. 2016. Alanine aminotransferase controls seed dormancy in barley. Nat. Commun. 7(1): 11625. doi: 10.1038/ncomms11625.</w:t>
      </w:r>
    </w:p>
    <w:p w14:paraId="5817BE31" w14:textId="5A6CA4B1" w:rsidR="00635AE6" w:rsidRPr="00021E5C" w:rsidRDefault="00635AE6" w:rsidP="006C3633">
      <w:pPr>
        <w:pStyle w:val="NormalWeb"/>
        <w:spacing w:before="280" w:after="280"/>
        <w:ind w:left="480" w:hanging="480"/>
        <w:rPr>
          <w:sz w:val="22"/>
          <w:szCs w:val="22"/>
        </w:rPr>
      </w:pPr>
      <w:r w:rsidRPr="00021E5C">
        <w:rPr>
          <w:sz w:val="22"/>
          <w:szCs w:val="22"/>
        </w:rPr>
        <w:t xml:space="preserve">Schmitt, M. R., &amp; Budde, A. D. (2011). Malting extremely small quantities of barley. </w:t>
      </w:r>
      <w:r w:rsidRPr="00021E5C">
        <w:rPr>
          <w:i/>
          <w:iCs/>
          <w:sz w:val="22"/>
          <w:szCs w:val="22"/>
        </w:rPr>
        <w:t>Journal of the American Society of Brewing Chemists</w:t>
      </w:r>
      <w:r w:rsidRPr="00021E5C">
        <w:rPr>
          <w:sz w:val="22"/>
          <w:szCs w:val="22"/>
        </w:rPr>
        <w:t xml:space="preserve">, </w:t>
      </w:r>
      <w:r w:rsidRPr="00021E5C">
        <w:rPr>
          <w:i/>
          <w:iCs/>
          <w:sz w:val="22"/>
          <w:szCs w:val="22"/>
        </w:rPr>
        <w:t>69</w:t>
      </w:r>
      <w:r w:rsidRPr="00021E5C">
        <w:rPr>
          <w:sz w:val="22"/>
          <w:szCs w:val="22"/>
        </w:rPr>
        <w:t>(4), 191-199.</w:t>
      </w:r>
    </w:p>
    <w:p w14:paraId="068C0CF4" w14:textId="53C5324B" w:rsidR="006C3633" w:rsidRPr="00021E5C" w:rsidRDefault="006C3633" w:rsidP="006C3633">
      <w:pPr>
        <w:pStyle w:val="NormalWeb"/>
        <w:spacing w:before="280" w:after="280"/>
        <w:ind w:left="480" w:hanging="480"/>
        <w:rPr>
          <w:sz w:val="22"/>
          <w:szCs w:val="22"/>
        </w:rPr>
      </w:pPr>
      <w:r w:rsidRPr="00021E5C">
        <w:rPr>
          <w:sz w:val="22"/>
          <w:szCs w:val="22"/>
        </w:rPr>
        <w:t>Spielmeyer, W., M. Ellis, M. Robertson, S. Ali, J.R. Lenton, et al. 2004. Isolation of gibberellin metabolic pathway genes from barley and comparative mapping in barley, wheat and rice. Theor. Appl. Genet. 109(4): 847–855. doi: 10.1007/s00122-004-1689-6.</w:t>
      </w:r>
    </w:p>
    <w:p w14:paraId="4F275AA3" w14:textId="410FEFE1" w:rsidR="00244E96" w:rsidRPr="00021E5C" w:rsidRDefault="00244E96" w:rsidP="004D673D">
      <w:pPr>
        <w:pStyle w:val="NormalWeb"/>
        <w:spacing w:before="280" w:after="280"/>
        <w:rPr>
          <w:sz w:val="22"/>
          <w:szCs w:val="22"/>
        </w:rPr>
      </w:pPr>
      <w:r w:rsidRPr="00021E5C">
        <w:rPr>
          <w:sz w:val="22"/>
          <w:szCs w:val="22"/>
        </w:rPr>
        <w:t xml:space="preserve">Sweeney, D. W., Kunze, K. H., &amp; Sorrells, M. E. (2021). QTL x environment modeling of malting barley preharvest sprouting. </w:t>
      </w:r>
      <w:r w:rsidRPr="00021E5C">
        <w:rPr>
          <w:i/>
          <w:iCs/>
          <w:sz w:val="22"/>
          <w:szCs w:val="22"/>
        </w:rPr>
        <w:t>Theoretical and Applied Genetics</w:t>
      </w:r>
      <w:r w:rsidRPr="00021E5C">
        <w:rPr>
          <w:sz w:val="22"/>
          <w:szCs w:val="22"/>
        </w:rPr>
        <w:t>, 1-16.</w:t>
      </w:r>
    </w:p>
    <w:p w14:paraId="46912B20" w14:textId="025955E1" w:rsidR="00244E96" w:rsidRPr="00021E5C" w:rsidRDefault="00244E96" w:rsidP="00244E96">
      <w:pPr>
        <w:spacing w:after="0" w:line="240" w:lineRule="auto"/>
        <w:rPr>
          <w:rFonts w:ascii="Times New Roman" w:eastAsia="Times New Roman" w:hAnsi="Times New Roman" w:cs="Times New Roman"/>
        </w:rPr>
      </w:pPr>
      <w:r w:rsidRPr="00244E96">
        <w:rPr>
          <w:rFonts w:ascii="Times New Roman" w:eastAsia="Times New Roman" w:hAnsi="Times New Roman" w:cs="Times New Roman"/>
        </w:rPr>
        <w:t xml:space="preserve">Sweeney, D. W., Rooney, T. E., Walling, J. G., &amp; Sorrells, M. E. (2022). Interactions of the barley SD1 and SD2 seed dormancy loci influence preharvest sprouting, seed dormancy, and malting quality. </w:t>
      </w:r>
      <w:r w:rsidRPr="00244E96">
        <w:rPr>
          <w:rFonts w:ascii="Times New Roman" w:eastAsia="Times New Roman" w:hAnsi="Times New Roman" w:cs="Times New Roman"/>
          <w:i/>
          <w:iCs/>
        </w:rPr>
        <w:t>Crop Science</w:t>
      </w:r>
      <w:r w:rsidRPr="00244E96">
        <w:rPr>
          <w:rFonts w:ascii="Times New Roman" w:eastAsia="Times New Roman" w:hAnsi="Times New Roman" w:cs="Times New Roman"/>
        </w:rPr>
        <w:t xml:space="preserve">, </w:t>
      </w:r>
      <w:r w:rsidRPr="00244E96">
        <w:rPr>
          <w:rFonts w:ascii="Times New Roman" w:eastAsia="Times New Roman" w:hAnsi="Times New Roman" w:cs="Times New Roman"/>
          <w:i/>
          <w:iCs/>
        </w:rPr>
        <w:t>62</w:t>
      </w:r>
      <w:r w:rsidRPr="00244E96">
        <w:rPr>
          <w:rFonts w:ascii="Times New Roman" w:eastAsia="Times New Roman" w:hAnsi="Times New Roman" w:cs="Times New Roman"/>
        </w:rPr>
        <w:t>(1), 120-138.</w:t>
      </w:r>
    </w:p>
    <w:p w14:paraId="45D9A224" w14:textId="77777777" w:rsidR="006C3633" w:rsidRPr="00021E5C" w:rsidRDefault="006C3633" w:rsidP="004D673D">
      <w:pPr>
        <w:pStyle w:val="NormalWeb"/>
        <w:spacing w:before="280" w:after="280"/>
        <w:rPr>
          <w:sz w:val="22"/>
          <w:szCs w:val="22"/>
        </w:rPr>
      </w:pPr>
      <w:r w:rsidRPr="00021E5C">
        <w:rPr>
          <w:sz w:val="22"/>
          <w:szCs w:val="22"/>
        </w:rPr>
        <w:t>Vetch, J.M., J.G. Walling, J. Sherman, J.M. Martin, and M.J. Giroux. 2020. Mutations in the HvMKK3 and HvAlaAT1 genes affect barley preharvest sprouting and after-ripened seed dormancy. Crop Sci. doi: 10.1002/csc2.20178.</w:t>
      </w:r>
    </w:p>
    <w:p w14:paraId="2DED2470" w14:textId="77777777" w:rsidR="006C3633" w:rsidRPr="00021E5C" w:rsidRDefault="006C3633" w:rsidP="006D3129">
      <w:pPr>
        <w:spacing w:after="0" w:line="240" w:lineRule="auto"/>
        <w:rPr>
          <w:rFonts w:ascii="Times New Roman" w:eastAsia="Times New Roman" w:hAnsi="Times New Roman" w:cs="Times New Roman"/>
          <w:sz w:val="24"/>
          <w:szCs w:val="24"/>
        </w:rPr>
      </w:pPr>
    </w:p>
    <w:sectPr w:rsidR="006C3633" w:rsidRPr="00021E5C" w:rsidSect="00021E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4A04"/>
    <w:multiLevelType w:val="hybridMultilevel"/>
    <w:tmpl w:val="8D5CA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AD"/>
    <w:rsid w:val="00021E5C"/>
    <w:rsid w:val="000370AB"/>
    <w:rsid w:val="00154051"/>
    <w:rsid w:val="00160300"/>
    <w:rsid w:val="001A7A9A"/>
    <w:rsid w:val="001F38AD"/>
    <w:rsid w:val="00244E96"/>
    <w:rsid w:val="002F07D7"/>
    <w:rsid w:val="00300B40"/>
    <w:rsid w:val="004B762D"/>
    <w:rsid w:val="004D673D"/>
    <w:rsid w:val="004F4017"/>
    <w:rsid w:val="00525653"/>
    <w:rsid w:val="00525DBC"/>
    <w:rsid w:val="00557FC9"/>
    <w:rsid w:val="006022A5"/>
    <w:rsid w:val="00635AE6"/>
    <w:rsid w:val="006C3633"/>
    <w:rsid w:val="006D3129"/>
    <w:rsid w:val="006D6972"/>
    <w:rsid w:val="0096783E"/>
    <w:rsid w:val="0097104E"/>
    <w:rsid w:val="009D7C2F"/>
    <w:rsid w:val="00B43BE1"/>
    <w:rsid w:val="00BC0B61"/>
    <w:rsid w:val="00D76E08"/>
    <w:rsid w:val="00EF6BAD"/>
    <w:rsid w:val="00E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840D"/>
  <w15:chartTrackingRefBased/>
  <w15:docId w15:val="{6B44FBC6-3433-4A19-8CAE-2E3CAC2C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6D3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3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39490">
      <w:bodyDiv w:val="1"/>
      <w:marLeft w:val="0"/>
      <w:marRight w:val="0"/>
      <w:marTop w:val="0"/>
      <w:marBottom w:val="0"/>
      <w:divBdr>
        <w:top w:val="none" w:sz="0" w:space="0" w:color="auto"/>
        <w:left w:val="none" w:sz="0" w:space="0" w:color="auto"/>
        <w:bottom w:val="none" w:sz="0" w:space="0" w:color="auto"/>
        <w:right w:val="none" w:sz="0" w:space="0" w:color="auto"/>
      </w:divBdr>
    </w:div>
    <w:div w:id="1719476151">
      <w:bodyDiv w:val="1"/>
      <w:marLeft w:val="0"/>
      <w:marRight w:val="0"/>
      <w:marTop w:val="0"/>
      <w:marBottom w:val="0"/>
      <w:divBdr>
        <w:top w:val="none" w:sz="0" w:space="0" w:color="auto"/>
        <w:left w:val="none" w:sz="0" w:space="0" w:color="auto"/>
        <w:bottom w:val="none" w:sz="0" w:space="0" w:color="auto"/>
        <w:right w:val="none" w:sz="0" w:space="0" w:color="auto"/>
      </w:divBdr>
    </w:div>
    <w:div w:id="2049256388">
      <w:bodyDiv w:val="1"/>
      <w:marLeft w:val="0"/>
      <w:marRight w:val="0"/>
      <w:marTop w:val="0"/>
      <w:marBottom w:val="0"/>
      <w:divBdr>
        <w:top w:val="none" w:sz="0" w:space="0" w:color="auto"/>
        <w:left w:val="none" w:sz="0" w:space="0" w:color="auto"/>
        <w:bottom w:val="none" w:sz="0" w:space="0" w:color="auto"/>
        <w:right w:val="none" w:sz="0" w:space="0" w:color="auto"/>
      </w:divBdr>
      <w:divsChild>
        <w:div w:id="691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kars8\Downloads\%20https:\doi.org\10.1007\s11434-013-59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Hans Kunze</dc:creator>
  <cp:keywords/>
  <dc:description/>
  <cp:lastModifiedBy>Karl Hans Kunze</cp:lastModifiedBy>
  <cp:revision>2</cp:revision>
  <dcterms:created xsi:type="dcterms:W3CDTF">2022-02-26T15:04:00Z</dcterms:created>
  <dcterms:modified xsi:type="dcterms:W3CDTF">2022-02-26T15:04:00Z</dcterms:modified>
</cp:coreProperties>
</file>