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w:t>
      </w:r>
    </w:p>
    <w:p>
      <w:pPr>
        <w:pStyle w:val="BodyText"/>
      </w:pPr>
      <w:r>
        <w:t xml:space="preserve">##Two step analysis for Logistic modeling</w:t>
      </w:r>
    </w:p>
    <w:p>
      <w:pPr>
        <w:pStyle w:val="BodyText"/>
      </w:pPr>
      <w:r>
        <w:t xml:space="preserve">In addition to single timepoint GWAS, modeling dormancy loss over time can provide novel information than by just using a single timepoint alone. We</w:t>
      </w:r>
    </w:p>
    <w:p>
      <w:pPr>
        <w:pStyle w:val="BodyText"/>
      </w:pPr>
      <w:r>
        <w:t xml:space="preserve">Fixed effect components were determined per timepoint using wald tests. Residual effects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w:t>
      </w:r>
      <w:r>
        <w:t xml:space="preserve"> </w:t>
      </w:r>
      <w:r>
        <w:rPr>
          <w:iCs/>
          <w:i/>
        </w:rPr>
        <w:t xml:space="preserve">GAPIT</w:t>
      </w:r>
      <w:r>
        <w:t xml:space="preserve"> </w:t>
      </w:r>
      <w:r>
        <w:t xml:space="preserve">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 In addition to single timepoint GWAS, we used time series analysis to develop models that represent dormancy breakage over time. Details of the methods can be found in Rooney. et. al 2022. Briefly, each line was modelled in a logistic curve representing the GE and rate over time, both with years and combined years. We derived components of the logistic curve, such as time to 95% germination or time to 5.0 GI, to determine what novel loci, if any, can be detected if we use the timepoint data as a complete model compared to conducting GWA on each timepoint independently</w:t>
      </w:r>
    </w:p>
    <w:bookmarkEnd w:id="26"/>
    <w:bookmarkEnd w:id="27"/>
    <w:bookmarkStart w:id="29" w:name="results"/>
    <w:p>
      <w:pPr>
        <w:pStyle w:val="Heading1"/>
      </w:pPr>
      <w:r>
        <w:t xml:space="preserve">Results</w:t>
      </w:r>
    </w:p>
    <w:p>
      <w:pPr>
        <w:pStyle w:val="FirstParagraph"/>
      </w:pPr>
      <w:r>
        <w:t xml:space="preserve">Pre-harvest sprouting</w:t>
      </w:r>
    </w:p>
    <w:p>
      <w:pPr>
        <w:pStyle w:val="BodyText"/>
      </w:pPr>
      <w:r>
        <w:t xml:space="preserve"> </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w:t>
      </w:r>
    </w:p>
    <w:p>
      <w:pPr>
        <w:pStyle w:val="BodyText"/>
      </w:pPr>
      <w:r>
        <w:t xml:space="preserve">#making a table for significant effects</w:t>
      </w:r>
    </w:p>
    <w:p>
      <w:pPr>
        <w:pStyle w:val="SourceCode"/>
      </w:pPr>
      <w:r>
        <w:rPr>
          <w:rStyle w:val="NormalTok"/>
        </w:rPr>
        <w:t xml:space="preserve">model_2020_GI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 + Rep"</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br/>
      </w:r>
      <w:r>
        <w:br/>
      </w:r>
      <w:r>
        <w:rPr>
          <w:rStyle w:val="NormalTok"/>
        </w:rPr>
        <w:t xml:space="preserve">model_2020_GE</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"GE"</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StringTok"/>
        </w:rPr>
        <w:t xml:space="preserve">"Location:Rep + Location + Rep"</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NormalTok"/>
        </w:rPr>
        <w:t xml:space="preserve">models2020</w:t>
      </w:r>
      <w:r>
        <w:rPr>
          <w:rStyle w:val="OtherTok"/>
        </w:rPr>
        <w:t xml:space="preserve">=</w:t>
      </w:r>
      <w:r>
        <w:rPr>
          <w:rStyle w:val="FunctionTok"/>
        </w:rPr>
        <w:t xml:space="preserve">rbind</w:t>
      </w:r>
      <w:r>
        <w:rPr>
          <w:rStyle w:val="NormalTok"/>
        </w:rPr>
        <w:t xml:space="preserve">(model_2020_GI,model_2020_GE)</w:t>
      </w:r>
      <w:r>
        <w:br/>
      </w:r>
      <w:r>
        <w:rPr>
          <w:rStyle w:val="DocumentationTok"/>
        </w:rPr>
        <w:t xml:space="preserve">##</w:t>
      </w:r>
      <w:r>
        <w:br/>
      </w:r>
      <w:r>
        <w:rPr>
          <w:rStyle w:val="NormalTok"/>
        </w:rPr>
        <w:t xml:space="preserve">model_2021_GI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"2021"</w:t>
      </w:r>
      <w:r>
        <w:rPr>
          <w:rStyle w:val="NormalTok"/>
        </w:rPr>
        <w:t xml:space="preserve">,</w:t>
      </w:r>
      <w:r>
        <w:rPr>
          <w:rStyle w:val="DecValTok"/>
        </w:rPr>
        <w:t xml:space="preserve">8</w:t>
      </w:r>
      <w:r>
        <w:rPr>
          <w:rStyle w:val="NormalTok"/>
        </w:rPr>
        <w:t xml:space="preserve">),</w:t>
      </w:r>
      <w:r>
        <w:rPr>
          <w:rStyle w:val="AttributeTok"/>
        </w:rPr>
        <w:t xml:space="preserve">trait=</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6</w:t>
      </w:r>
      <w:r>
        <w:rPr>
          <w:rStyle w:val="NormalTok"/>
        </w:rPr>
        <w:t xml:space="preserve">),</w:t>
      </w:r>
      <w:r>
        <w:rPr>
          <w:rStyle w:val="FunctionTok"/>
        </w:rPr>
        <w:t xml:space="preserve">rep</w:t>
      </w:r>
      <w:r>
        <w:rPr>
          <w:rStyle w:val="NormalTok"/>
        </w:rPr>
        <w:t xml:space="preserve">(</w:t>
      </w:r>
      <w:r>
        <w:rPr>
          <w:rStyle w:val="StringTok"/>
        </w:rPr>
        <w:t xml:space="preserve">"GI_base"</w:t>
      </w:r>
      <w:r>
        <w:rPr>
          <w:rStyle w:val="NormalTok"/>
        </w:rPr>
        <w:t xml:space="preserve">,</w:t>
      </w:r>
      <w:r>
        <w:rPr>
          <w:rStyle w:val="DecValTok"/>
        </w:rPr>
        <w:t xml:space="preserve">2</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19</w:t>
      </w:r>
      <w:r>
        <w:rPr>
          <w:rStyle w:val="NormalTok"/>
        </w:rPr>
        <w:t xml:space="preserve">,</w:t>
      </w:r>
      <w:r>
        <w:rPr>
          <w:rStyle w:val="DecValTok"/>
        </w:rPr>
        <w:t xml:space="preserve">33</w:t>
      </w:r>
      <w:r>
        <w:rPr>
          <w:rStyle w:val="NormalTok"/>
        </w:rPr>
        <w:t xml:space="preserve">,</w:t>
      </w:r>
      <w:r>
        <w:rPr>
          <w:rStyle w:val="DecValTok"/>
        </w:rPr>
        <w:t xml:space="preserve">47</w:t>
      </w:r>
      <w:r>
        <w:rPr>
          <w:rStyle w:val="NormalTok"/>
        </w:rPr>
        <w:t xml:space="preserve">,</w:t>
      </w:r>
      <w:r>
        <w:rPr>
          <w:rStyle w:val="DecValTok"/>
        </w:rPr>
        <w:t xml:space="preserve">68</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8</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8</w:t>
      </w:r>
      <w:r>
        <w:rPr>
          <w:rStyle w:val="NormalTok"/>
        </w:rPr>
        <w:t xml:space="preserve">),</w:t>
      </w:r>
      <w:r>
        <w:rPr>
          <w:rStyle w:val="AttributeTok"/>
        </w:rPr>
        <w:t xml:space="preserve">Fixed=</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"replication"</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StringTok"/>
        </w:rPr>
        <w:t xml:space="preserve">"Location:Row + replication"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8</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StringTok"/>
        </w:rPr>
        <w:t xml:space="preserve">"replication"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"Row"</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p>
    <w:p>
      <w:pPr>
        <w:pStyle w:val="FirstParagraph"/>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Significant marker trait associations from the logistic models were also included. The most significant association was the KASP marker for AlaAT_L214F(Qsd1) and the closely associated 50K_JHI-Hv50k-2016-276836(r=0.91)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w:t>
      </w:r>
    </w:p>
    <w:bookmarkStart w:id="28"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28"/>
    <w:bookmarkEnd w:id="29"/>
    <w:bookmarkStart w:id="30" w:name="discussion"/>
    <w:p>
      <w:pPr>
        <w:pStyle w:val="Heading1"/>
      </w:pPr>
      <w:r>
        <w:t xml:space="preserve">Discussion</w:t>
      </w:r>
    </w:p>
    <w:p>
      <w:pPr>
        <w:pStyle w:val="FirstParagraph"/>
      </w:pPr>
      <w:r>
        <w:t xml:space="preserve">Important point- cooler temperatures during grainfill for winter barley could be a pereptual inducment of longer dormancy</w:t>
      </w:r>
      <w:r>
        <w:t xml:space="preserve"> </w:t>
      </w:r>
      <w:r>
        <w:t xml:space="preserve">JHI_Hv50k_2016_454168 7(24882997) cm(24.21875) 1.23526E-05 0.233 0.12072 Alpha amylase inhibitor protein,,,, HORVU.MOREX.r2.7HG0538600 7H location(24968345 24968677)</w:t>
      </w:r>
    </w:p>
    <w:bookmarkEnd w:id="30"/>
    <w:bookmarkStart w:id="31" w:name="conclusion"/>
    <w:p>
      <w:pPr>
        <w:pStyle w:val="Heading1"/>
      </w:pPr>
      <w:r>
        <w:t xml:space="preserve">Conclusion</w:t>
      </w:r>
    </w:p>
    <w:bookmarkEnd w:id="31"/>
    <w:bookmarkStart w:id="76" w:name="section"/>
    <w:p>
      <w:pPr>
        <w:pStyle w:val="Heading1"/>
      </w:pPr>
    </w:p>
    <w:bookmarkStart w:id="75" w:name="refs"/>
    <w:bookmarkStart w:id="33"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2">
        <w:r>
          <w:rPr>
            <w:rStyle w:val="Hyperlink"/>
          </w:rPr>
          <w:t xml:space="preserve">https://doi.org/10.2135/cropsci1993.0011183X003300030008x</w:t>
        </w:r>
      </w:hyperlink>
      <w:r>
        <w:t xml:space="preserve">.</w:t>
      </w:r>
    </w:p>
    <w:bookmarkEnd w:id="33"/>
    <w:bookmarkStart w:id="35"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4">
        <w:r>
          <w:rPr>
            <w:rStyle w:val="Hyperlink"/>
          </w:rPr>
          <w:t xml:space="preserve">https://www.frontiersin.org/articles/10.3389/fpls.2017.01792</w:t>
        </w:r>
      </w:hyperlink>
      <w:r>
        <w:t xml:space="preserve">.</w:t>
      </w:r>
    </w:p>
    <w:bookmarkEnd w:id="35"/>
    <w:bookmarkStart w:id="37"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6">
        <w:r>
          <w:rPr>
            <w:rStyle w:val="Hyperlink"/>
          </w:rPr>
          <w:t xml:space="preserve">https://doi.org/10.1007/978-1-4614-4693-4_6</w:t>
        </w:r>
      </w:hyperlink>
      <w:r>
        <w:t xml:space="preserve">.</w:t>
      </w:r>
    </w:p>
    <w:bookmarkEnd w:id="37"/>
    <w:bookmarkStart w:id="39"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38">
        <w:r>
          <w:rPr>
            <w:rStyle w:val="Hyperlink"/>
          </w:rPr>
          <w:t xml:space="preserve">https://doi.org/10.17221/314/2010-CJFS</w:t>
        </w:r>
      </w:hyperlink>
      <w:r>
        <w:t xml:space="preserve">.</w:t>
      </w:r>
    </w:p>
    <w:bookmarkEnd w:id="39"/>
    <w:bookmarkStart w:id="40"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0"/>
    <w:bookmarkStart w:id="42"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1">
        <w:r>
          <w:rPr>
            <w:rStyle w:val="Hyperlink"/>
          </w:rPr>
          <w:t xml:space="preserve">https://doi.org/10.1016/j.pbi.2005.01.011</w:t>
        </w:r>
      </w:hyperlink>
      <w:r>
        <w:t xml:space="preserve">.</w:t>
      </w:r>
    </w:p>
    <w:bookmarkEnd w:id="42"/>
    <w:bookmarkStart w:id="44"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3">
        <w:r>
          <w:rPr>
            <w:rStyle w:val="Hyperlink"/>
          </w:rPr>
          <w:t xml:space="preserve">https://doi.org/10.1007/BF00222956</w:t>
        </w:r>
      </w:hyperlink>
      <w:r>
        <w:t xml:space="preserve">.</w:t>
      </w:r>
    </w:p>
    <w:bookmarkEnd w:id="44"/>
    <w:bookmarkStart w:id="46"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5">
        <w:r>
          <w:rPr>
            <w:rStyle w:val="Hyperlink"/>
          </w:rPr>
          <w:t xml:space="preserve">https://doi.org/10.1002/plr2.20129</w:t>
        </w:r>
      </w:hyperlink>
      <w:r>
        <w:t xml:space="preserve">.</w:t>
      </w:r>
    </w:p>
    <w:bookmarkEnd w:id="46"/>
    <w:bookmarkStart w:id="48"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7">
        <w:r>
          <w:rPr>
            <w:rStyle w:val="Hyperlink"/>
          </w:rPr>
          <w:t xml:space="preserve">https://doi.org/10.1111/pbi.13692</w:t>
        </w:r>
      </w:hyperlink>
      <w:r>
        <w:t xml:space="preserve">.</w:t>
      </w:r>
    </w:p>
    <w:bookmarkEnd w:id="48"/>
    <w:bookmarkStart w:id="50"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49">
        <w:r>
          <w:rPr>
            <w:rStyle w:val="Hyperlink"/>
          </w:rPr>
          <w:t xml:space="preserve">https://doi.org/10.1094/ASBCJ-55-0179</w:t>
        </w:r>
      </w:hyperlink>
      <w:r>
        <w:t xml:space="preserve">.</w:t>
      </w:r>
    </w:p>
    <w:bookmarkEnd w:id="50"/>
    <w:bookmarkStart w:id="52"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1">
        <w:r>
          <w:rPr>
            <w:rStyle w:val="Hyperlink"/>
          </w:rPr>
          <w:t xml:space="preserve">https://doi.org/10.2135/cropsci2008.05.0269</w:t>
        </w:r>
      </w:hyperlink>
      <w:r>
        <w:t xml:space="preserve">.</w:t>
      </w:r>
    </w:p>
    <w:bookmarkEnd w:id="52"/>
    <w:bookmarkStart w:id="54"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3">
        <w:r>
          <w:rPr>
            <w:rStyle w:val="Hyperlink"/>
          </w:rPr>
          <w:t xml:space="preserve">https://doi.org/10.1093/plcell/koab077</w:t>
        </w:r>
      </w:hyperlink>
      <w:r>
        <w:t xml:space="preserve">.</w:t>
      </w:r>
    </w:p>
    <w:bookmarkEnd w:id="54"/>
    <w:bookmarkStart w:id="56"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5">
        <w:r>
          <w:rPr>
            <w:rStyle w:val="Hyperlink"/>
          </w:rPr>
          <w:t xml:space="preserve">https://doi.org/10.21105/joss.04530</w:t>
        </w:r>
      </w:hyperlink>
      <w:r>
        <w:t xml:space="preserve">.</w:t>
      </w:r>
    </w:p>
    <w:bookmarkEnd w:id="56"/>
    <w:bookmarkStart w:id="58"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7">
        <w:r>
          <w:rPr>
            <w:rStyle w:val="Hyperlink"/>
          </w:rPr>
          <w:t xml:space="preserve">https://doi.org/10.1111/pce.13483</w:t>
        </w:r>
      </w:hyperlink>
      <w:r>
        <w:t xml:space="preserve">.</w:t>
      </w:r>
    </w:p>
    <w:bookmarkEnd w:id="58"/>
    <w:bookmarkStart w:id="60"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59">
        <w:r>
          <w:rPr>
            <w:rStyle w:val="Hyperlink"/>
          </w:rPr>
          <w:t xml:space="preserve">https://doi.org/10.1016/j.cub.2016.01.024</w:t>
        </w:r>
      </w:hyperlink>
      <w:r>
        <w:t xml:space="preserve">.</w:t>
      </w:r>
    </w:p>
    <w:bookmarkEnd w:id="60"/>
    <w:bookmarkStart w:id="62" w:name="ref-PricePrincipalComponents"/>
    <w:p>
      <w:pPr>
        <w:pStyle w:val="Bibliography"/>
      </w:pPr>
      <w:r>
        <w:t xml:space="preserve">“Price: Principal Components Analysis Corrects for... - Google Scholar.”</w:t>
      </w:r>
      <w:r>
        <w:t xml:space="preserve"> </w:t>
      </w:r>
      <w:r>
        <w:t xml:space="preserve">n.d.</w:t>
      </w:r>
      <w:r>
        <w:t xml:space="preserve"> </w:t>
      </w:r>
      <w:hyperlink r:id="rId61">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2"/>
    <w:bookmarkStart w:id="64"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3">
        <w:r>
          <w:rPr>
            <w:rStyle w:val="Hyperlink"/>
          </w:rPr>
          <w:t xml:space="preserve">https://doi.org/10.1038/ncomms11625</w:t>
        </w:r>
      </w:hyperlink>
      <w:r>
        <w:t xml:space="preserve">.</w:t>
      </w:r>
    </w:p>
    <w:bookmarkEnd w:id="64"/>
    <w:bookmarkStart w:id="66"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5">
        <w:r>
          <w:rPr>
            <w:rStyle w:val="Hyperlink"/>
          </w:rPr>
          <w:t xml:space="preserve">https://doi.org/10.1094/ASBCJ-2011-0728-01</w:t>
        </w:r>
      </w:hyperlink>
      <w:r>
        <w:t xml:space="preserve">.</w:t>
      </w:r>
    </w:p>
    <w:bookmarkEnd w:id="66"/>
    <w:bookmarkStart w:id="68"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7">
        <w:r>
          <w:rPr>
            <w:rStyle w:val="Hyperlink"/>
          </w:rPr>
          <w:t xml:space="preserve">https://doi.org/10.1007/s00122-021-03961-5</w:t>
        </w:r>
      </w:hyperlink>
      <w:r>
        <w:t xml:space="preserve">.</w:t>
      </w:r>
    </w:p>
    <w:bookmarkEnd w:id="68"/>
    <w:bookmarkStart w:id="70"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69">
        <w:r>
          <w:rPr>
            <w:rStyle w:val="Hyperlink"/>
          </w:rPr>
          <w:t xml:space="preserve">https://doi.org/10.1002/csc2.20641</w:t>
        </w:r>
      </w:hyperlink>
      <w:r>
        <w:t xml:space="preserve">.</w:t>
      </w:r>
    </w:p>
    <w:bookmarkEnd w:id="70"/>
    <w:bookmarkStart w:id="72"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1">
        <w:r>
          <w:rPr>
            <w:rStyle w:val="Hyperlink"/>
          </w:rPr>
          <w:t xml:space="preserve">https://doi.org/10.1002/csc2.20178</w:t>
        </w:r>
      </w:hyperlink>
      <w:r>
        <w:t xml:space="preserve">.</w:t>
      </w:r>
    </w:p>
    <w:bookmarkEnd w:id="72"/>
    <w:bookmarkStart w:id="74"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3">
        <w:r>
          <w:rPr>
            <w:rStyle w:val="Hyperlink"/>
          </w:rPr>
          <w:t xml:space="preserve">https://doi.org/10.1016/j.copbio.2006.02.003</w:t>
        </w:r>
      </w:hyperlink>
      <w:r>
        <w:t xml:space="preserve">.</w:t>
      </w:r>
    </w:p>
    <w:bookmarkEnd w:id="74"/>
    <w:bookmarkEnd w:id="75"/>
    <w:bookmarkEnd w:id="76"/>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2023-03-29T00:28:59Z</dcterms:created>
  <dcterms:modified xsi:type="dcterms:W3CDTF">2023-03-29T00:28:59Z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