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9.png" ContentType="image/png"/>
  <Override PartName="/word/media/rId29.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SD1</w:t>
      </w:r>
      <w:r>
        <w:t xml:space="preserve"> </w:t>
      </w:r>
      <w:r>
        <w:t xml:space="preserve">seed</w:t>
      </w:r>
      <w:r>
        <w:t xml:space="preserve"> </w:t>
      </w:r>
      <w:r>
        <w:t xml:space="preserve">dormancy</w:t>
      </w:r>
      <w:r>
        <w:t xml:space="preserve"> </w:t>
      </w:r>
      <w:r>
        <w:t xml:space="preserve">locus</w:t>
      </w:r>
      <w:r>
        <w:t xml:space="preserve"> </w:t>
      </w:r>
      <w:r>
        <w:t xml:space="preserve">influence</w:t>
      </w:r>
      <w:r>
        <w:t xml:space="preserve"> </w:t>
      </w:r>
      <w:r>
        <w:t xml:space="preserve">of</w:t>
      </w:r>
      <w:r>
        <w:t xml:space="preserve"> </w:t>
      </w:r>
      <w:r>
        <w:t xml:space="preserve">pre-harvest</w:t>
      </w:r>
      <w:r>
        <w:t xml:space="preserve"> </w:t>
      </w:r>
      <w:r>
        <w:t xml:space="preserve">sprouting</w:t>
      </w:r>
      <w:r>
        <w:t xml:space="preserve"> </w:t>
      </w:r>
      <w:r>
        <w:t xml:space="preserve">resistance</w:t>
      </w:r>
      <w:r>
        <w:t xml:space="preserve"> </w:t>
      </w:r>
      <w:r>
        <w:t xml:space="preserve">and</w:t>
      </w:r>
      <w:r>
        <w:t xml:space="preserve"> </w:t>
      </w:r>
      <w:r>
        <w:t xml:space="preserve">seed</w:t>
      </w:r>
      <w:r>
        <w:t xml:space="preserve"> </w:t>
      </w:r>
      <w:r>
        <w:t xml:space="preserve">dormancy</w:t>
      </w:r>
      <w:r>
        <w:t xml:space="preserve"> </w:t>
      </w:r>
      <w:r>
        <w:t xml:space="preserve">loss</w:t>
      </w:r>
      <w:r>
        <w:t xml:space="preserve"> </w:t>
      </w:r>
      <w:r>
        <w:t xml:space="preserve">over</w:t>
      </w:r>
      <w:r>
        <w:t xml:space="preserve"> </w:t>
      </w:r>
      <w:r>
        <w:t xml:space="preserve">time</w:t>
      </w:r>
    </w:p>
    <w:p>
      <w:pPr>
        <w:pStyle w:val="Author"/>
      </w:pPr>
      <w:r>
        <w:t xml:space="preserve">Karl</w:t>
      </w:r>
      <w:r>
        <w:t xml:space="preserve"> </w:t>
      </w:r>
      <w:r>
        <w:t xml:space="preserve">Kunze</w:t>
      </w:r>
    </w:p>
    <w:p>
      <w:pPr>
        <w:pStyle w:val="Author"/>
      </w:pPr>
      <w:r>
        <w:t xml:space="preserve">Travis</w:t>
      </w:r>
      <w:r>
        <w:t xml:space="preserve"> </w:t>
      </w:r>
      <w:r>
        <w:t xml:space="preserve">Rooney</w:t>
      </w:r>
    </w:p>
    <w:p>
      <w:pPr>
        <w:pStyle w:val="Author"/>
      </w:pPr>
      <w:r>
        <w:t xml:space="preserve">Daniel</w:t>
      </w:r>
      <w:r>
        <w:t xml:space="preserve"> </w:t>
      </w:r>
      <w:r>
        <w:t xml:space="preserve">Sweeney</w:t>
      </w:r>
    </w:p>
    <w:p>
      <w:pPr>
        <w:pStyle w:val="Author"/>
      </w:pPr>
      <w:r>
        <w:t xml:space="preserve">Mark</w:t>
      </w:r>
      <w:r>
        <w:t xml:space="preserve"> </w:t>
      </w:r>
      <w:r>
        <w:t xml:space="preserve">Sorrells</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Barley(</w:t>
      </w:r>
      <w:r>
        <w:rPr>
          <w:iCs/>
          <w:i/>
        </w:rPr>
        <w:t xml:space="preserve">Hordeum vulagare L</w:t>
      </w:r>
      <w:r>
        <w:t xml:space="preserve">) is grown worldwide for food consumption, animal feed and malt for brewing and distilling. A significant portion of barley acreage in United States and Canada is grown for malting and distilling purposes due to the high premiums compared to animal feed and food consumption. Winter malting barley, where the barley is sown in the fall, is becoming of greater interest to growers, malsters, and brewers. Changes in climate, shifting cropping systems and demand for locally farmed products are pushing the adoption of winter malting barley to be grown in non traditional environments. Growing malting barley in novel environments is challenging, particularly if there is wet and humid conditions during grain fill or at harvest. Selection of malting barley for non traditional enviroments requires a delicate balance to select for grain that does not sprout at harvest but can also provide high quality malt within minimal storage time.</w:t>
      </w:r>
    </w:p>
    <w:p>
      <w:pPr>
        <w:pStyle w:val="BodyText"/>
      </w:pPr>
      <w:r>
        <w:t xml:space="preserve">Seed dormancy and pre harvest sprouting(PHS) are critical traits for the production of malting barley. Seed dormancy is defined as the inability of a seed to germinate under favorable conditions</w:t>
      </w:r>
      <w:r>
        <w:t xml:space="preserve"> </w:t>
      </w:r>
      <w:r>
        <w:t xml:space="preserve">(</w:t>
      </w:r>
      <w:hyperlink w:anchor="ref-bewley2013">
        <w:r>
          <w:rPr>
            <w:rStyle w:val="Hyperlink"/>
          </w:rPr>
          <w:t xml:space="preserve">Bewley et al. 2013</w:t>
        </w:r>
      </w:hyperlink>
      <w:r>
        <w:t xml:space="preserve">)</w:t>
      </w:r>
      <w:r>
        <w:t xml:space="preserve"> </w:t>
      </w:r>
      <w:r>
        <w:t xml:space="preserve">and developed as an evolutionary mechanism to avoid stress environments. Dormancy in barley is induced during seed development and is influenced by genetic and environmental factors such as temperature, water context, oxygen availability and light</w:t>
      </w:r>
      <w:r>
        <w:t xml:space="preserve">(</w:t>
      </w:r>
      <w:hyperlink w:anchor="ref-gubler2005">
        <w:r>
          <w:rPr>
            <w:rStyle w:val="Hyperlink"/>
          </w:rPr>
          <w:t xml:space="preserve">Gubler, Millar, and Jacobsen 2005</w:t>
        </w:r>
      </w:hyperlink>
      <w:r>
        <w:t xml:space="preserve">)</w:t>
      </w:r>
      <w:r>
        <w:t xml:space="preserve">. Seed dormancy is regulated by the ratio of Abscisic acid (ABA) to Giberillic acid(GA) in the barley grain.</w:t>
      </w:r>
    </w:p>
    <w:p>
      <w:pPr>
        <w:pStyle w:val="BodyText"/>
      </w:pPr>
      <w:r>
        <w:t xml:space="preserve">Peak ABA content occurs in the middle of seed development and decreases as physiological maturity approaches</w:t>
      </w:r>
      <w:r>
        <w:t xml:space="preserve"> </w:t>
      </w:r>
      <w:r>
        <w:t xml:space="preserve">Benech-Arnold et al. (</w:t>
      </w:r>
      <w:hyperlink w:anchor="X217593c0e77bf7dc326969337dcb6159ba0b853">
        <w:r>
          <w:rPr>
            <w:rStyle w:val="Hyperlink"/>
          </w:rPr>
          <w:t xml:space="preserve">2006</w:t>
        </w:r>
      </w:hyperlink>
      <w:r>
        <w:t xml:space="preserve">)</w:t>
      </w:r>
      <w:r>
        <w:t xml:space="preserve">. The ratio of ABA/GA is the key determinent of dormancy status in barley grain, not the absoulute content of ABA.</w:t>
      </w:r>
      <w:r>
        <w:t xml:space="preserve"> </w:t>
      </w:r>
      <w:r>
        <w:t xml:space="preserve">Finch-Savage and Leubner-Metzger (</w:t>
      </w:r>
      <w:hyperlink w:anchor="ref-finch-savageSeedDormancyControl2006">
        <w:r>
          <w:rPr>
            <w:rStyle w:val="Hyperlink"/>
          </w:rPr>
          <w:t xml:space="preserve">2006</w:t>
        </w:r>
      </w:hyperlink>
      <w:r>
        <w:t xml:space="preserve">)</w:t>
      </w:r>
      <w:r>
        <w:t xml:space="preserve"> </w:t>
      </w:r>
      <w:r>
        <w:t xml:space="preserve">.High ABA/GA ratio maintains dormancy and a decreasing amount of ABA to GA over time results in a loss of dormancy</w:t>
      </w:r>
      <w:r>
        <w:t xml:space="preserve"> </w:t>
      </w:r>
      <w:r>
        <w:t xml:space="preserve">(</w:t>
      </w:r>
      <w:hyperlink w:anchor="Xc886f86a13171cb4eeb304f3ac45b93c587c62b">
        <w:r>
          <w:rPr>
            <w:rStyle w:val="Hyperlink"/>
          </w:rPr>
          <w:t xml:space="preserve">Gómez-Cadenas et al. 1999</w:t>
        </w:r>
      </w:hyperlink>
      <w:r>
        <w:t xml:space="preserve">;</w:t>
      </w:r>
      <w:r>
        <w:t xml:space="preserve"> </w:t>
      </w:r>
      <w:hyperlink w:anchor="X7b94c8d9d24d92511a00d56afd2bc4242f4d1d0">
        <w:r>
          <w:rPr>
            <w:rStyle w:val="Hyperlink"/>
          </w:rPr>
          <w:t xml:space="preserve">Piskurewicz et al. 2008</w:t>
        </w:r>
      </w:hyperlink>
      <w:r>
        <w:t xml:space="preserve">)</w:t>
      </w:r>
      <w:r>
        <w:t xml:space="preserve"> </w:t>
      </w:r>
      <w:r>
        <w:t xml:space="preserve">Dormancy peaks at physiological maturity(PM) where the last photosynate leaves the grain</w:t>
      </w:r>
      <w:r>
        <w:t xml:space="preserve"> </w:t>
      </w:r>
      <w:r>
        <w:t xml:space="preserve">(</w:t>
      </w:r>
      <w:hyperlink w:anchor="Xae1ec155daf9e45d97994ff3abfc0314146d93f">
        <w:r>
          <w:rPr>
            <w:rStyle w:val="Hyperlink"/>
          </w:rPr>
          <w:t xml:space="preserve">Copeland and Crookston 1985</w:t>
        </w:r>
      </w:hyperlink>
      <w:r>
        <w:t xml:space="preserve">)</w:t>
      </w:r>
      <w:r>
        <w:t xml:space="preserve"> </w:t>
      </w:r>
      <w:r>
        <w:t xml:space="preserve">, and degrades over a period of time after harvest. The rate of dormancy loss varies widely from days to months based on genotype and environmental conditions during grainfill</w:t>
      </w:r>
      <w:r>
        <w:t xml:space="preserve"> </w:t>
      </w:r>
      <w:r>
        <w:t xml:space="preserve">Rodríguez et al. (</w:t>
      </w:r>
      <w:hyperlink w:anchor="ref-rodriguezDormancyCerealsNot2015">
        <w:r>
          <w:rPr>
            <w:rStyle w:val="Hyperlink"/>
          </w:rPr>
          <w:t xml:space="preserve">2015</w:t>
        </w:r>
      </w:hyperlink>
      <w:r>
        <w:t xml:space="preserve">)</w:t>
      </w:r>
      <w:r>
        <w:t xml:space="preserve"> </w:t>
      </w:r>
      <w:r>
        <w:t xml:space="preserve">Gong et al. (</w:t>
      </w:r>
      <w:hyperlink w:anchor="ref-gongSeedDormancyBarley2014">
        <w:r>
          <w:rPr>
            <w:rStyle w:val="Hyperlink"/>
          </w:rPr>
          <w:t xml:space="preserve">2014</w:t>
        </w:r>
      </w:hyperlink>
      <w:r>
        <w:t xml:space="preserve">)</w:t>
      </w:r>
      <w:r>
        <w:t xml:space="preserve"> </w:t>
      </w:r>
      <w:r>
        <w:t xml:space="preserve">Sweeney, Kunze, and Sorrells (</w:t>
      </w:r>
      <w:hyperlink w:anchor="ref-sweeney2021_QTL">
        <w:r>
          <w:rPr>
            <w:rStyle w:val="Hyperlink"/>
          </w:rPr>
          <w:t xml:space="preserve">2021</w:t>
        </w:r>
      </w:hyperlink>
      <w:r>
        <w:t xml:space="preserve">)</w:t>
      </w:r>
      <w:r>
        <w:t xml:space="preserve">. Prolonged seed dormancy is undesirable for malting as germination is uneven, has low vigor and and is expensive to store for long periods of time. Barley that has little to no dormancy at physiological maturity is prone to PHS, where wet and humid conditions induce starch degredation and germination in the field before harvest</w:t>
      </w:r>
      <w:r>
        <w:t xml:space="preserve"> </w:t>
      </w:r>
      <w:r>
        <w:t xml:space="preserve">(</w:t>
      </w:r>
      <w:hyperlink w:anchor="Xe49deafe0f2bb39033b5ebd9db7f8a7c2a1371e">
        <w:r>
          <w:rPr>
            <w:rStyle w:val="Hyperlink"/>
          </w:rPr>
          <w:t xml:space="preserve">Bradford 1995</w:t>
        </w:r>
      </w:hyperlink>
      <w:r>
        <w:t xml:space="preserve">)</w:t>
      </w:r>
      <w:r>
        <w:t xml:space="preserve"> </w:t>
      </w:r>
      <w:r>
        <w:t xml:space="preserve">. PHS can be visible in the form of visible radicle and collectible emergence or in pre germination where starch in the grain begins to degrade</w:t>
      </w:r>
      <w:r>
        <w:t xml:space="preserve"> </w:t>
      </w:r>
      <w:r>
        <w:t xml:space="preserve">Li et al. (</w:t>
      </w:r>
      <w:hyperlink w:anchor="ref-liMajorQTLControlling2003">
        <w:r>
          <w:rPr>
            <w:rStyle w:val="Hyperlink"/>
          </w:rPr>
          <w:t xml:space="preserve">2003</w:t>
        </w:r>
      </w:hyperlink>
      <w:r>
        <w:t xml:space="preserve">)</w:t>
      </w:r>
    </w:p>
    <w:p>
      <w:pPr>
        <w:pStyle w:val="BodyText"/>
      </w:pPr>
      <w:r>
        <w:t xml:space="preserve">Acheiving the balance between PHS resistance and high quality malt is a key breed target for barley breeding. Genetic sources of PHS resistance and seed dormancy have been well characterized in barley. The large effect QTL loci of SD1 on chromosome 5H have been mapped extensively in a wide range of 3 barley germplasm.</w:t>
      </w:r>
      <w:r>
        <w:t xml:space="preserve"> </w:t>
      </w:r>
      <w:r>
        <w:t xml:space="preserve">Lin et al. (</w:t>
      </w:r>
      <w:hyperlink w:anchor="ref-linQTLMappingDormancy2009">
        <w:r>
          <w:rPr>
            <w:rStyle w:val="Hyperlink"/>
          </w:rPr>
          <w:t xml:space="preserve">2009</w:t>
        </w:r>
      </w:hyperlink>
      <w:r>
        <w:t xml:space="preserve">)</w:t>
      </w:r>
      <w:r>
        <w:t xml:space="preserve"> </w:t>
      </w:r>
      <w:r>
        <w:t xml:space="preserve">(</w:t>
      </w:r>
      <w:hyperlink w:anchor="ref-gaoMolecularDissectionDormancy2003">
        <w:r>
          <w:rPr>
            <w:rStyle w:val="Hyperlink"/>
          </w:rPr>
          <w:t xml:space="preserve">Gao et al. 2003</w:t>
        </w:r>
      </w:hyperlink>
      <w:r>
        <w:t xml:space="preserve">)</w:t>
      </w:r>
      <w:r>
        <w:t xml:space="preserve">Genes have been cloned at each locus: alanine aminotransferase at SD1 HvAlaT1</w:t>
      </w:r>
      <w:r>
        <w:t xml:space="preserve"> </w:t>
      </w:r>
      <w:r>
        <w:t xml:space="preserve">(</w:t>
      </w:r>
      <w:hyperlink w:anchor="Xa619781977bcc33d8759a173a2a841e3d9c5a82">
        <w:r>
          <w:rPr>
            <w:rStyle w:val="Hyperlink"/>
          </w:rPr>
          <w:t xml:space="preserve">Sato et al. 2016</w:t>
        </w:r>
      </w:hyperlink>
      <w:r>
        <w:t xml:space="preserve">)</w:t>
      </w:r>
      <w:r>
        <w:t xml:space="preserve"> </w:t>
      </w:r>
      <w:r>
        <w:t xml:space="preserve">and a mitogen-actived protein kinase kinase 3 at SD2 HvMKK3</w:t>
      </w:r>
      <w:r>
        <w:t xml:space="preserve"> </w:t>
      </w:r>
      <w:r>
        <w:t xml:space="preserve">(</w:t>
      </w:r>
      <w:hyperlink w:anchor="ref-nakamura2016">
        <w:r>
          <w:rPr>
            <w:rStyle w:val="Hyperlink"/>
          </w:rPr>
          <w:t xml:space="preserve">Nakamura et al. 2016</w:t>
        </w:r>
      </w:hyperlink>
      <w:r>
        <w:t xml:space="preserve">)</w:t>
      </w:r>
      <w:r>
        <w:t xml:space="preserve">. Alleles for both AlaAT and MKK3 have been identified by</w:t>
      </w:r>
      <w:r>
        <w:t xml:space="preserve"> </w:t>
      </w:r>
      <w:r>
        <w:t xml:space="preserve">(</w:t>
      </w:r>
      <w:hyperlink w:anchor="ref-vetchMutationsHvMKK3HvAlaAT12020">
        <w:r>
          <w:rPr>
            <w:rStyle w:val="Hyperlink"/>
          </w:rPr>
          <w:t xml:space="preserve">Vetch et al. 2020</w:t>
        </w:r>
      </w:hyperlink>
      <w:r>
        <w:t xml:space="preserve">)</w:t>
      </w:r>
      <w:r>
        <w:t xml:space="preserve"> </w:t>
      </w:r>
      <w:r>
        <w:t xml:space="preserve">for spring and winter barley germplasm. The mutation L214F in AlaAT results in a loss of dormancy and an increased reduction of ABA/GI. ALaAT has been one of the first targets of Cas9-induced mutagenesis in barley prolonging dormancy in mutant types</w:t>
      </w:r>
      <w:r>
        <w:t xml:space="preserve"> </w:t>
      </w:r>
      <w:r>
        <w:t xml:space="preserve">(</w:t>
      </w:r>
      <w:hyperlink w:anchor="ref-hisano2022">
        <w:r>
          <w:rPr>
            <w:rStyle w:val="Hyperlink"/>
          </w:rPr>
          <w:t xml:space="preserve">Hisano et al. 2022</w:t>
        </w:r>
      </w:hyperlink>
      <w:r>
        <w:t xml:space="preserve">)</w:t>
      </w:r>
      <w:r>
        <w:t xml:space="preserve"> </w:t>
      </w:r>
      <w:r>
        <w:t xml:space="preserve">Despite the known effect of AlaAT on the role of long term primary seed dormancy, little is known about the exact mechanism.</w:t>
      </w:r>
      <w:r>
        <w:t xml:space="preserve"> </w:t>
      </w:r>
      <w:r>
        <w:t xml:space="preserve">(</w:t>
      </w:r>
      <w:hyperlink w:anchor="X0ebe6e6e2c674cc3ee45acc5e93d8a19c2c8a1c">
        <w:r>
          <w:rPr>
            <w:rStyle w:val="Hyperlink"/>
          </w:rPr>
          <w:t xml:space="preserve">Wei et al. 2019</w:t>
        </w:r>
      </w:hyperlink>
      <w:r>
        <w:t xml:space="preserve">)</w:t>
      </w:r>
    </w:p>
    <w:p>
      <w:pPr>
        <w:pStyle w:val="BodyText"/>
      </w:pPr>
      <w:r>
        <w:t xml:space="preserve">Genome wide associations studies(GWAS) have become the standard practice to identify traits of interest in various types of breeding populations. Advances in barley marker platforms such as the Illumina barley 50K SNP chip</w:t>
      </w:r>
      <w:r>
        <w:t xml:space="preserve"> </w:t>
      </w:r>
      <w:r>
        <w:t xml:space="preserve">(</w:t>
      </w:r>
      <w:hyperlink w:anchor="ref-bayerDevelopmentEvaluationBarley2017">
        <w:r>
          <w:rPr>
            <w:rStyle w:val="Hyperlink"/>
          </w:rPr>
          <w:t xml:space="preserve">Bayer et al. 2017</w:t>
        </w:r>
      </w:hyperlink>
      <w:r>
        <w:t xml:space="preserve">)</w:t>
      </w:r>
      <w:r>
        <w:t xml:space="preserve"> </w:t>
      </w:r>
      <w:r>
        <w:t xml:space="preserve">and the development of improved barley reference genomes</w:t>
      </w:r>
      <w:r>
        <w:t xml:space="preserve"> </w:t>
      </w:r>
      <w:r>
        <w:t xml:space="preserve">(</w:t>
      </w:r>
      <w:hyperlink w:anchor="ref-mascherLongreadSequenceAssembly2021">
        <w:r>
          <w:rPr>
            <w:rStyle w:val="Hyperlink"/>
          </w:rPr>
          <w:t xml:space="preserve">Mascher et al. 2021</w:t>
        </w:r>
      </w:hyperlink>
      <w:r>
        <w:t xml:space="preserve">)</w:t>
      </w:r>
      <w:r>
        <w:t xml:space="preserve"> </w:t>
      </w:r>
      <w:r>
        <w:t xml:space="preserve">have made for higher resolution mapping of relevant malting barley traits. Numerous GWAS methods are available, and improvement to models that account for population structure</w:t>
      </w:r>
      <w:r>
        <w:t xml:space="preserve"> </w:t>
      </w:r>
      <w:r>
        <w:t xml:space="preserve">(</w:t>
      </w:r>
      <w:hyperlink w:anchor="ref-yuGeneticAssociationMapping2006">
        <w:r>
          <w:rPr>
            <w:rStyle w:val="Hyperlink"/>
          </w:rPr>
          <w:t xml:space="preserve">Yu and Buckler 2006</w:t>
        </w:r>
      </w:hyperlink>
      <w:r>
        <w:t xml:space="preserve">)</w:t>
      </w:r>
      <w:r>
        <w:t xml:space="preserve"> </w:t>
      </w:r>
      <w:r>
        <w:t xml:space="preserve">using principal component analysis</w:t>
      </w:r>
      <w:r>
        <w:t xml:space="preserve"> </w:t>
      </w:r>
      <w:r>
        <w:t xml:space="preserve">Price et al. (</w:t>
      </w:r>
      <w:hyperlink w:anchor="ref-pricePrincipalComponentsAnalysis2006">
        <w:r>
          <w:rPr>
            <w:rStyle w:val="Hyperlink"/>
          </w:rPr>
          <w:t xml:space="preserve">2006</w:t>
        </w:r>
      </w:hyperlink>
      <w:r>
        <w:t xml:space="preserve">)</w:t>
      </w:r>
      <w:r>
        <w:t xml:space="preserve"> </w:t>
      </w:r>
      <w:r>
        <w:t xml:space="preserve">and the inclusion of kinship and Q matrix allow for mapping association studies to be conducted across structured populations. Increased computational efficency and flexibility of models in package</w:t>
      </w:r>
      <w:r>
        <w:t xml:space="preserve"> </w:t>
      </w:r>
      <w:r>
        <w:t xml:space="preserve">“</w:t>
      </w:r>
      <w:r>
        <w:t xml:space="preserve">ASRgwas</w:t>
      </w:r>
      <w:r>
        <w:t xml:space="preserve">”</w:t>
      </w:r>
      <w:r>
        <w:t xml:space="preserve"> </w:t>
      </w:r>
      <w:r>
        <w:t xml:space="preserve">(</w:t>
      </w:r>
      <w:hyperlink w:anchor="ref-ASRgwas2022">
        <w:r>
          <w:rPr>
            <w:rStyle w:val="Hyperlink"/>
          </w:rPr>
          <w:t xml:space="preserve">Galli et al. 2022</w:t>
        </w:r>
      </w:hyperlink>
      <w:r>
        <w:t xml:space="preserve">)</w:t>
      </w:r>
      <w:r>
        <w:t xml:space="preserve"> </w:t>
      </w:r>
      <w:r>
        <w:t xml:space="preserve">allow for single step analysis GWAS, which includes increased flexibility of terms to be included in the model and also reduces the loss of information that can be associated with two step fixed models</w:t>
      </w:r>
      <w:r>
        <w:t xml:space="preserve"> </w:t>
      </w:r>
      <w:r>
        <w:t xml:space="preserve">(</w:t>
      </w:r>
      <w:hyperlink w:anchor="Xd8872a6267b401567dada093beca241c933a74f">
        <w:r>
          <w:rPr>
            <w:rStyle w:val="Hyperlink"/>
          </w:rPr>
          <w:t xml:space="preserve">Möhring and Piepho 2009</w:t>
        </w:r>
      </w:hyperlink>
      <w:r>
        <w:t xml:space="preserve">)</w:t>
      </w:r>
      <w:r>
        <w:t xml:space="preserve"> </w:t>
      </w:r>
      <w:r>
        <w:t xml:space="preserve">lack of degression using two step random effect models</w:t>
      </w:r>
      <w:r>
        <w:t xml:space="preserve"> </w:t>
      </w:r>
      <w:r>
        <w:t xml:space="preserve">(</w:t>
      </w:r>
      <w:hyperlink w:anchor="X92243c07a006347d94051ae9c641cdbb9c2dd5c">
        <w:r>
          <w:rPr>
            <w:rStyle w:val="Hyperlink"/>
          </w:rPr>
          <w:t xml:space="preserve">Garrick, Taylor, and Fernando 2009</w:t>
        </w:r>
      </w:hyperlink>
      <w:r>
        <w:t xml:space="preserve">.)</w:t>
      </w:r>
    </w:p>
    <w:p>
      <w:pPr>
        <w:pStyle w:val="BodyText"/>
      </w:pPr>
      <w:r>
        <w:t xml:space="preserve">The objectives of this study aimed to genetic characterize pre-harvest sprouting and seed dormancy loss over time in a connected half sib winter malting barley breeding population. Our goals for this research were to a) Identifiy QTL for PHS, seed dormancy and seed dormacy loss over time standarizing for physiological maturity b) conduct a single step GWAS of seed dormancy traits over all year and timepoint combinations and c) model seed dormancy loss over time to assess optimal selection for seed dormancy. Understanding the genetic basis for PHS, seed dormancy, and seed dormancy loss over time will be invaluable information for breeders to select highly quality malting barley that have PHS resistance while also maintain a short seed dormancy period to ensure high malting quality.</w:t>
      </w:r>
    </w:p>
    <w:bookmarkEnd w:id="21"/>
    <w:bookmarkStart w:id="34" w:name="methods"/>
    <w:p>
      <w:pPr>
        <w:pStyle w:val="Heading1"/>
      </w:pPr>
      <w:r>
        <w:t xml:space="preserve">Methods</w:t>
      </w:r>
    </w:p>
    <w:bookmarkStart w:id="22" w:name="plant-populations"/>
    <w:p>
      <w:pPr>
        <w:pStyle w:val="Heading2"/>
      </w:pPr>
      <w:r>
        <w:t xml:space="preserve">Plant populations</w:t>
      </w:r>
    </w:p>
    <w:p>
      <w:pPr>
        <w:pStyle w:val="FirstParagraph"/>
      </w:pPr>
      <w:r>
        <w:t xml:space="preserve">The populations used in study were part of the winter malting barley breeding population at Cornell University. Four bi-parental half sibling populations were developed by crossing a common parent</w:t>
      </w:r>
      <w:r>
        <w:t xml:space="preserve"> </w:t>
      </w:r>
      <w:r>
        <w:t xml:space="preserve">‘</w:t>
      </w:r>
      <w:r>
        <w:t xml:space="preserve">Lightning</w:t>
      </w:r>
      <w:r>
        <w:t xml:space="preserve">’</w:t>
      </w:r>
      <w:r>
        <w:t xml:space="preserve"> </w:t>
      </w:r>
      <w:r>
        <w:t xml:space="preserve">(</w:t>
      </w:r>
      <w:hyperlink w:anchor="ref-hayesRegistrationLightningBarley2021">
        <w:r>
          <w:rPr>
            <w:rStyle w:val="Hyperlink"/>
          </w:rPr>
          <w:t xml:space="preserve">Hayes et al. 2021</w:t>
        </w:r>
      </w:hyperlink>
      <w:r>
        <w:t xml:space="preserve">)</w:t>
      </w:r>
      <w:r>
        <w:t xml:space="preserve"> </w:t>
      </w:r>
      <w:r>
        <w:t xml:space="preserve">, a faculative type barley, to four winter malting barley cultivars;</w:t>
      </w:r>
      <w:r>
        <w:t xml:space="preserve"> </w:t>
      </w:r>
      <w:r>
        <w:t xml:space="preserve">‘</w:t>
      </w:r>
      <w:r>
        <w:t xml:space="preserve">KWS Scala</w:t>
      </w:r>
      <w:r>
        <w:t xml:space="preserve">’</w:t>
      </w:r>
      <w:r>
        <w:t xml:space="preserve">,</w:t>
      </w:r>
      <w:r>
        <w:t xml:space="preserve"> </w:t>
      </w:r>
      <w:r>
        <w:t xml:space="preserve">‘</w:t>
      </w:r>
      <w:r>
        <w:t xml:space="preserve">Flavia</w:t>
      </w:r>
      <w:r>
        <w:t xml:space="preserve">’</w:t>
      </w:r>
      <w:r>
        <w:t xml:space="preserve">,</w:t>
      </w:r>
      <w:r>
        <w:t xml:space="preserve"> </w:t>
      </w:r>
      <w:r>
        <w:t xml:space="preserve">‘</w:t>
      </w:r>
      <w:r>
        <w:t xml:space="preserve">SY Tepee</w:t>
      </w:r>
      <w:r>
        <w:t xml:space="preserve">’</w:t>
      </w:r>
      <w:r>
        <w:t xml:space="preserve"> </w:t>
      </w:r>
      <w:r>
        <w:t xml:space="preserve">and</w:t>
      </w:r>
      <w:r>
        <w:t xml:space="preserve"> </w:t>
      </w:r>
      <w:r>
        <w:t xml:space="preserve">‘</w:t>
      </w:r>
      <w:r>
        <w:t xml:space="preserve">Wintmalt</w:t>
      </w:r>
      <w:r>
        <w:t xml:space="preserve">’</w:t>
      </w:r>
      <w:r>
        <w:t xml:space="preserve">. Double haploids were developed from the crosses at Oregon state University using anther culture of</w:t>
      </w:r>
      <w:r>
        <w:t xml:space="preserve"> </w:t>
      </w:r>
      <m:oMath>
        <m:sSub>
          <m:e>
            <m:r>
              <m:t>F</m:t>
            </m:r>
          </m:e>
          <m:sub>
            <m:r>
              <m:t>1</m:t>
            </m:r>
          </m:sub>
        </m:sSub>
      </m:oMath>
      <w:r>
        <w:t xml:space="preserve"> </w:t>
      </w:r>
      <w:r>
        <w:t xml:space="preserve">seed from each cross</w:t>
      </w:r>
      <w:r>
        <w:t xml:space="preserve"> </w:t>
      </w:r>
      <w:r>
        <w:t xml:space="preserve">(</w:t>
      </w:r>
      <w:hyperlink w:anchor="ref-cistueBarleyAntherCulture2003">
        <w:r>
          <w:rPr>
            <w:rStyle w:val="Hyperlink"/>
          </w:rPr>
          <w:t xml:space="preserve">Cistué et al. 2003</w:t>
        </w:r>
      </w:hyperlink>
      <w:r>
        <w:t xml:space="preserve">)</w:t>
      </w:r>
      <w:r>
        <w:t xml:space="preserve"> </w:t>
      </w:r>
      <w:r>
        <w:t xml:space="preserve">. After sufficient seed increase, lines were planted in fall 2019 and fall 2020 in two fields each season in Ithaca, NY. Fields in 2019 for the 2020 harvest season,named Snyder and Ketola 5, were planted in a modified augmented design of single 1m rows with all parent lines(5), and check</w:t>
      </w:r>
      <w:r>
        <w:t xml:space="preserve"> </w:t>
      </w:r>
      <w:r>
        <w:t xml:space="preserve">‘</w:t>
      </w:r>
      <w:r>
        <w:t xml:space="preserve">Charles</w:t>
      </w:r>
      <w:r>
        <w:t xml:space="preserve">’</w:t>
      </w:r>
      <w:r>
        <w:t xml:space="preserve"> </w:t>
      </w:r>
      <w:r>
        <w:t xml:space="preserve">replicated in blocks across the field. The total number of plots for each locations was 544. The ratio of checks to experimental lines was approximately 10%. Fields sown in 2020 for the 2021 harvest season, named Ketola 3 and McGowan , were planted according to a randomized 480 plot augmented block design of 3 x 1 meter trimmed plots with parent lines</w:t>
      </w:r>
      <w:r>
        <w:t xml:space="preserve"> </w:t>
      </w:r>
      <w:r>
        <w:t xml:space="preserve">“</w:t>
      </w:r>
      <w:r>
        <w:t xml:space="preserve">Lightning</w:t>
      </w:r>
      <w:r>
        <w:t xml:space="preserve">”</w:t>
      </w:r>
      <w:r>
        <w:t xml:space="preserve"> </w:t>
      </w:r>
      <w:r>
        <w:t xml:space="preserve">and</w:t>
      </w:r>
      <w:r>
        <w:t xml:space="preserve"> </w:t>
      </w:r>
      <w:r>
        <w:t xml:space="preserve">“</w:t>
      </w:r>
      <w:r>
        <w:t xml:space="preserve">KWS Scala</w:t>
      </w:r>
      <w:r>
        <w:t xml:space="preserve">”</w:t>
      </w:r>
      <w:r>
        <w:t xml:space="preserve"> </w:t>
      </w:r>
      <w:r>
        <w:t xml:space="preserve">and additional line</w:t>
      </w:r>
      <w:r>
        <w:t xml:space="preserve"> </w:t>
      </w:r>
      <w:r>
        <w:t xml:space="preserve">“</w:t>
      </w:r>
      <w:r>
        <w:t xml:space="preserve">Endeavor</w:t>
      </w:r>
      <w:r>
        <w:t xml:space="preserve">”</w:t>
      </w:r>
      <w:r>
        <w:t xml:space="preserve"> </w:t>
      </w:r>
      <w:r>
        <w:t xml:space="preserve">used as checks. The ratio of checks to experimental lines was approximately 11%.</w:t>
      </w:r>
    </w:p>
    <w:bookmarkEnd w:id="22"/>
    <w:bookmarkStart w:id="23" w:name="field-phenotyping-and-sampling"/>
    <w:p>
      <w:pPr>
        <w:pStyle w:val="Heading2"/>
      </w:pPr>
      <w:r>
        <w:t xml:space="preserve">Field Phenotyping and sampling</w:t>
      </w:r>
    </w:p>
    <w:p>
      <w:pPr>
        <w:pStyle w:val="FirstParagraph"/>
      </w:pPr>
      <w:r>
        <w:t xml:space="preserve">Physiological maturity(PM) was recorded as the date when 50% of the of plot lost green color from the peduncle and spike. Two days after PM, bundles of 15-20 selected mature spikes were harvested, dried for 2 days at 38 C, hand threshed, and stored at -20C to pause after-ripening.</w:t>
      </w:r>
      <w:r>
        <w:t xml:space="preserve"> </w:t>
      </w:r>
      <w:r>
        <w:t xml:space="preserve">(</w:t>
      </w:r>
      <w:hyperlink w:anchor="ref-nagelNovelLociRole2019">
        <w:r>
          <w:rPr>
            <w:rStyle w:val="Hyperlink"/>
          </w:rPr>
          <w:t xml:space="preserve">Nagel et al. 2019</w:t>
        </w:r>
      </w:hyperlink>
      <w:r>
        <w:t xml:space="preserve">)</w:t>
      </w:r>
      <w:r>
        <w:t xml:space="preserve"> </w:t>
      </w:r>
      <w:r>
        <w:t xml:space="preserve">The standardization of harvesting and freezing spikes 2 days after the PM of the plot enabled observation of traits at the same physiological state for all lines</w:t>
      </w:r>
    </w:p>
    <w:p>
      <w:pPr>
        <w:pStyle w:val="BodyText"/>
      </w:pPr>
      <w:r>
        <w:t xml:space="preserve">For seed dormancy in 2020, a total of 450 lines were sampled from each location. Lines with poor winter survival and poor agromic quality were excluded. For seed dormancy 2021 the complete trial at ketola of 435 lines(480 plots) was sampled, and approximatley 25% of lines at the McGowan location were sampled.</w:t>
      </w:r>
    </w:p>
    <w:p>
      <w:pPr>
        <w:pStyle w:val="BodyText"/>
      </w:pPr>
      <w:r>
        <w:t xml:space="preserve">PHS was measured by harvesting 5 spikes per headrow at physiological maturity (PM), after-ripening for 3 days, and then misting in a greenhouse for 3 days, after which the spikes were assessed for PHS on a 0 to 9 scale.</w:t>
      </w:r>
      <w:r>
        <w:t xml:space="preserve"> </w:t>
      </w:r>
      <w:r>
        <w:t xml:space="preserve">(</w:t>
      </w:r>
      <w:hyperlink w:anchor="ref-andersonRFLPAnalysisGenomic1993">
        <w:r>
          <w:rPr>
            <w:rStyle w:val="Hyperlink"/>
          </w:rPr>
          <w:t xml:space="preserve">Anderson, Sorrells, and Tanksley 1993</w:t>
        </w:r>
      </w:hyperlink>
      <w:r>
        <w:t xml:space="preserve">)</w:t>
      </w:r>
      <w:r>
        <w:t xml:space="preserve"> </w:t>
      </w:r>
      <w:r>
        <w:t xml:space="preserve">Due to labor constraints brought on by the pandemic in the 2020 field season, phenotyping capacity was limited and seed dormancy sampling was prioritized for that year. PHS was phenotyped on a sub-sample of 100 lines from the Ketola 5 location. The sub-sample consisted of all facultative types across all four families, parental checks, and Charles. For 2021, all plots from both locations were sampled.</w:t>
      </w:r>
    </w:p>
    <w:bookmarkEnd w:id="23"/>
    <w:bookmarkStart w:id="25" w:name="post-harvest-germination-assay"/>
    <w:p>
      <w:pPr>
        <w:pStyle w:val="Heading2"/>
      </w:pPr>
      <w:r>
        <w:t xml:space="preserve">Post harvest germination assay</w:t>
      </w:r>
    </w:p>
    <w:p>
      <w:pPr>
        <w:pStyle w:val="FirstParagraph"/>
      </w:pPr>
      <w:r>
        <w:t xml:space="preserve">To measure dormancy loss, all samples were removed the freezer at the same time, beginning the after-ripening process at the same physiological state for all lines. Samples were stored at ambient room temperature for the duration of the experiment. Germination assays were measured with petri plate assay tests that followed the American Society of Brewing Chemists (ASBC)</w:t>
      </w:r>
      <w:r>
        <w:t xml:space="preserve"> </w:t>
      </w:r>
      <w:r>
        <w:t xml:space="preserve">(</w:t>
      </w:r>
      <w:hyperlink w:anchor="Xab117d8a952fca661189e15a55de9a8d64a2886">
        <w:r>
          <w:rPr>
            <w:rStyle w:val="Hyperlink"/>
          </w:rPr>
          <w:t xml:space="preserve">Kuester et al. 1997</w:t>
        </w:r>
      </w:hyperlink>
      <w:r>
        <w:t xml:space="preserve">)</w:t>
      </w:r>
      <w:r>
        <w:t xml:space="preserve"> </w:t>
      </w:r>
      <w:r>
        <w:t xml:space="preserve">with modifications and subsequent steps followed in</w:t>
      </w:r>
      <w:r>
        <w:t xml:space="preserve"> </w:t>
      </w:r>
      <w:r>
        <w:t xml:space="preserve">Sweeney et al. (</w:t>
      </w:r>
      <w:hyperlink w:anchor="ref-sweeneyInteractionsBarleySD12021">
        <w:r>
          <w:rPr>
            <w:rStyle w:val="Hyperlink"/>
          </w:rPr>
          <w:t xml:space="preserve">2021</w:t>
        </w:r>
      </w:hyperlink>
      <w:r>
        <w:t xml:space="preserve">)</w:t>
      </w:r>
      <w:r>
        <w:t xml:space="preserve">. The first modification was the use of 30 kernels instead of 100 kernels. The second modification was an extended germination count from 3 days to 5 days in lieu of counting for 3 days and using H</w:t>
      </w:r>
      <w:r>
        <w:rPr>
          <w:vertAlign w:val="subscript"/>
        </w:rPr>
        <w:t xml:space="preserve">2</w:t>
      </w:r>
      <w:r>
        <w:t xml:space="preserve">O</w:t>
      </w:r>
      <w:r>
        <w:rPr>
          <w:vertAlign w:val="subscript"/>
        </w:rPr>
        <w:t xml:space="preserve">2</w:t>
      </w:r>
      <w:r>
        <w:t xml:space="preserve"> </w:t>
      </w:r>
      <w:r>
        <w:t xml:space="preserve">to break dormancy. Germination ernergy(GE) as a measure of seed dormancy was determined as</w:t>
      </w:r>
    </w:p>
    <w:p>
      <w:pPr>
        <w:pStyle w:val="BodyText"/>
      </w:pPr>
      <m:oMath>
        <m:r>
          <m:t>G</m:t>
        </m:r>
        <m:r>
          <m:t>E</m:t>
        </m:r>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num>
          <m:den>
            <m:sSub>
              <m:e>
                <m:r>
                  <m:t>n</m:t>
                </m:r>
              </m:e>
              <m:sub>
                <m:r>
                  <m:t>t</m:t>
                </m:r>
                <m:r>
                  <m:t>o</m:t>
                </m:r>
                <m:r>
                  <m:t>t</m:t>
                </m:r>
                <m:r>
                  <m:t>a</m:t>
                </m:r>
                <m:r>
                  <m:t>l</m:t>
                </m:r>
              </m:sub>
            </m:sSub>
          </m:den>
        </m:f>
      </m:oMath>
    </w:p>
    <w:p>
      <w:pPr>
        <w:pStyle w:val="BodyText"/>
      </w:pPr>
      <w:r>
        <w:t xml:space="preserve">Where</w:t>
      </w:r>
      <w:r>
        <w:t xml:space="preserve"> </w:t>
      </w:r>
      <m:oMath>
        <m:r>
          <m:t>n</m:t>
        </m:r>
      </m:oMath>
      <w:r>
        <w:t xml:space="preserve"> </w:t>
      </w:r>
      <w:r>
        <w:t xml:space="preserve">corresponds to the the number of germinated kernels at 24, 48, and 72 hours after the start of the assay and</w:t>
      </w:r>
      <w:r>
        <w:t xml:space="preserve"> </w:t>
      </w:r>
      <m:oMath>
        <m:sSub>
          <m:e>
            <m:r>
              <m:t>n</m:t>
            </m:r>
          </m:e>
          <m:sub>
            <m:r>
              <m:t>t</m:t>
            </m:r>
            <m:r>
              <m:t>o</m:t>
            </m:r>
            <m:r>
              <m:t>t</m:t>
            </m:r>
            <m:r>
              <m:t>a</m:t>
            </m:r>
            <m:r>
              <m:t>l</m:t>
            </m:r>
          </m:sub>
        </m:sSub>
      </m:oMath>
      <w:r>
        <w:t xml:space="preserve"> </w:t>
      </w:r>
      <w:r>
        <w:t xml:space="preserve">is the total number of germinated and ungerminated kernels. Complete seed dormancy loss is defined when GE values per line reach 95% and mean seed dormancy loss across lines reached 90%.</w:t>
      </w:r>
    </w:p>
    <w:p>
      <w:pPr>
        <w:pStyle w:val="BodyText"/>
      </w:pPr>
      <w:r>
        <w:t xml:space="preserve">Germination Index was calculated as a germination rate following in</w:t>
      </w:r>
      <w:r>
        <w:t xml:space="preserve"> </w:t>
      </w:r>
      <w:r>
        <w:t xml:space="preserve">Frančáková et al. (</w:t>
      </w:r>
      <w:hyperlink w:anchor="ref-francakova2012">
        <w:r>
          <w:rPr>
            <w:rStyle w:val="Hyperlink"/>
          </w:rPr>
          <w:t xml:space="preserve">2012</w:t>
        </w:r>
      </w:hyperlink>
      <w:r>
        <w:t xml:space="preserve">)</w:t>
      </w:r>
      <w:r>
        <w:t xml:space="preserve">;</w:t>
      </w:r>
    </w:p>
    <w:p>
      <w:pPr>
        <w:pStyle w:val="BodyText"/>
      </w:pPr>
      <w:r>
        <w:t xml:space="preserve">$</w:t>
      </w:r>
      <m:oMath>
        <m:r>
          <m:t>G</m:t>
        </m:r>
        <m:sSub>
          <m:e>
            <m:r>
              <m:t>I</m:t>
            </m:r>
          </m:e>
          <m:sub>
            <m:sSub>
              <m:e>
                <m:r>
                  <m:t>0</m:t>
                </m:r>
              </m:e>
              <m:sub>
                <m:r>
                  <m:t>3</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den>
        </m:f>
      </m:oMath>
    </w:p>
    <w:p>
      <w:pPr>
        <w:pStyle w:val="BodyText"/>
      </w:pPr>
      <w:r>
        <w:t xml:space="preserve">where</w:t>
      </w:r>
      <w:r>
        <w:t xml:space="preserve"> </w:t>
      </w:r>
      <m:oMath>
        <m:sSub>
          <m:e>
            <m:r>
              <m:t>n</m:t>
            </m:r>
          </m:e>
          <m:sub>
            <m:r>
              <m:t>24</m:t>
            </m:r>
          </m:sub>
        </m:sSub>
      </m:oMath>
      <w:r>
        <w:t xml:space="preserve">,</w:t>
      </w:r>
      <w:r>
        <w:t xml:space="preserve"> </w:t>
      </w:r>
      <m:oMath>
        <m:sSub>
          <m:e>
            <m:r>
              <m:t>n</m:t>
            </m:r>
          </m:e>
          <m:sub>
            <m:r>
              <m:t>48</m:t>
            </m:r>
          </m:sub>
        </m:sSub>
      </m:oMath>
      <w:r>
        <w:t xml:space="preserve">,</w:t>
      </w:r>
      <w:r>
        <w:t xml:space="preserve"> </w:t>
      </w:r>
      <m:oMath>
        <m:sSub>
          <m:e>
            <m:r>
              <m:t>n</m:t>
            </m:r>
          </m:e>
          <m:sub>
            <m:r>
              <m:t>72</m:t>
            </m:r>
          </m:sub>
        </m:sSub>
      </m:oMath>
      <w:r>
        <w:t xml:space="preserve">,</w:t>
      </w:r>
      <w:r>
        <w:t xml:space="preserve"> </w:t>
      </w:r>
      <m:oMath>
        <m:sSub>
          <m:e>
            <m:r>
              <m:t>n</m:t>
            </m:r>
          </m:e>
          <m:sub>
            <m:r>
              <m:t>48</m:t>
            </m:r>
          </m:sub>
        </m:sSub>
      </m:oMath>
      <w:r>
        <w:t xml:space="preserve"> </w:t>
      </w:r>
      <w:r>
        <w:t xml:space="preserve">and</w:t>
      </w:r>
      <w:r>
        <w:t xml:space="preserve"> </w:t>
      </w:r>
      <m:oMath>
        <m:sSub>
          <m:e>
            <m:r>
              <m:t>n</m:t>
            </m:r>
          </m:e>
          <m:sub>
            <m:r>
              <m:t>120</m:t>
            </m:r>
          </m:sub>
        </m:sSub>
      </m:oMath>
      <w:r>
        <w:t xml:space="preserve"> </w:t>
      </w:r>
      <w:r>
        <w:t xml:space="preserve">were the number of germinated kernels at 24, 48, 72, 96 and 120 hours after the start of the assay. GI was scaled by GE as</w:t>
      </w:r>
      <w:r>
        <w:t xml:space="preserve"> </w:t>
      </w:r>
      <m:oMath>
        <m:r>
          <m:t>G</m:t>
        </m:r>
        <m:r>
          <m:t>I</m:t>
        </m:r>
        <m:r>
          <m:rPr>
            <m:sty m:val="p"/>
          </m:rPr>
          <m:t>=</m:t>
        </m:r>
        <m:r>
          <m:t>G</m:t>
        </m:r>
        <m:sSub>
          <m:e>
            <m:r>
              <m:t>I</m:t>
            </m:r>
          </m:e>
          <m:sub>
            <m:r>
              <m:t>0</m:t>
            </m:r>
          </m:sub>
        </m:sSub>
        <m:r>
          <m:rPr>
            <m:sty m:val="p"/>
          </m:rPr>
          <m:t>*</m:t>
        </m:r>
        <m:r>
          <m:t>G</m:t>
        </m:r>
        <m:r>
          <m:t>E</m:t>
        </m:r>
      </m:oMath>
      <w:r>
        <w:t xml:space="preserve"> </w:t>
      </w:r>
      <w:r>
        <w:t xml:space="preserve">to account for low germination at earlier timepoints. At later timepoints,</w:t>
      </w:r>
      <w:r>
        <w:t xml:space="preserve"> </w:t>
      </w:r>
      <m:oMath>
        <m:r>
          <m:t>G</m:t>
        </m:r>
        <m:sSub>
          <m:e>
            <m:r>
              <m:t>I</m:t>
            </m:r>
          </m:e>
          <m:sub>
            <m:r>
              <m:t>0</m:t>
            </m:r>
          </m:sub>
        </m:sSub>
      </m:oMath>
      <w:r>
        <w:t xml:space="preserve"> </w:t>
      </w:r>
      <w:r>
        <w:t xml:space="preserve">was used instead of</w:t>
      </w:r>
      <w:r>
        <w:t xml:space="preserve"> </w:t>
      </w:r>
      <m:oMath>
        <m:r>
          <m:t>G</m:t>
        </m:r>
        <m:r>
          <m:t>I</m:t>
        </m:r>
      </m:oMath>
      <w:r>
        <w:t xml:space="preserve"> </w:t>
      </w:r>
      <w:r>
        <w:t xml:space="preserve">for the inverse reason of using scaling at earlier timepoints. GE and GI were measured at five time points for 2020: 5 (TP1), 19 (TP2), 47 (TP3), 96 (TP4), and 152 (TP5) days post PM. GE and GI measured at eight time points for 2021: 5(TP1), 12(TP1.5), 19 (TP2), 33(TP2.5), 47(TP3), 68 (TP3.5), 96 (TP4) and 152(TP5) days post PM.</w:t>
      </w:r>
    </w:p>
    <w:bookmarkStart w:id="24" w:name="tbl-H2_al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7228649d-8956-4e3a-a334-669cb2f407a3" w:name="tbl-H2_al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28649d-8956-4e3a-a334-669cb2f407a3"/>
      <w:r>
        <w:rPr>
          <w:rFonts/>
          <w:b w:val="true"/>
        </w:rPr>
        <w:t xml:space="preserve">: </w:t>
      </w:r>
      <w:r>
        <w:t xml:space="preserve">heritability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34"/>
        <w:gridCol w:w="863"/>
        <w:gridCol w:w="1451"/>
        <w:gridCol w:w="778"/>
        <w:gridCol w:w="961"/>
        <w:gridCol w:w="1463"/>
        <w:gridCol w:w="961"/>
        <w:gridCol w:w="961"/>
        <w:gridCol w:w="961"/>
      </w:tblGrid>
      <w:tr>
        <w:trPr>
          <w:trHeight w:val="144"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trait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PM_date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o2g</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h2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h2_PEV</w:t>
            </w:r>
          </w:p>
        </w:tc>
      </w:tr>
      <w:tr>
        <w:trPr>
          <w:trHeight w:val="615"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0.716</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0.607</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0.234</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0.544</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0.637</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0.727</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0.707</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3.55-10.00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0.635</w:t>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0.559</w:t>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0.668</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0.433</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0.340</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0.445</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0.474</w:t>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0.433</w:t>
            </w:r>
          </w:p>
        </w:tc>
      </w:tr>
      <w:tr>
        <w:trPr>
          <w:trHeight w:val="615"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0.410</w:t>
            </w:r>
          </w:p>
        </w:tc>
      </w:tr>
      <w:tr>
        <w:trPr>
          <w:trHeight w:val="615"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0.359</w:t>
            </w:r>
          </w:p>
        </w:tc>
      </w:tr>
      <w:tr>
        <w:trPr>
          <w:trHeight w:val="615"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PHS-2020/2021-PM_3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0.593</w:t>
            </w:r>
          </w:p>
        </w:tc>
      </w:tr>
      <w:tr>
        <w:trPr>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0.667</w:t>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0.657</w:t>
            </w:r>
          </w:p>
        </w:tc>
      </w:tr>
      <w:tr>
        <w:trPr>
          <w:trHeight w:val="61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0.680</w:t>
            </w:r>
          </w:p>
        </w:tc>
      </w:tr>
      <w:tr>
        <w:trPr>
          <w:trHeight w:val="615"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0.936</w:t>
            </w:r>
          </w:p>
        </w:tc>
      </w:tr>
      <w:tr>
        <w:trPr>
          <w:trHeight w:val="615"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0.885</w:t>
            </w:r>
          </w:p>
        </w:tc>
      </w:tr>
      <w:tr>
        <w:trPr>
          <w:trHeight w:val="615"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0.790</w:t>
            </w:r>
          </w:p>
        </w:tc>
      </w:tr>
      <w:tr>
        <w:trPr>
          <w:trHeight w:val="61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0.732</w:t>
            </w:r>
          </w:p>
        </w:tc>
      </w:tr>
      <w:tr>
        <w:trPr>
          <w:trHeight w:val="615"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r>
      <w:tr>
        <w:trPr>
          <w:trHeight w:val="61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0.749</w:t>
            </w:r>
          </w:p>
        </w:tc>
      </w:tr>
      <w:tr>
        <w:trPr>
          <w:trHeight w:val="615"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0.750</w:t>
            </w:r>
          </w:p>
        </w:tc>
      </w:tr>
      <w:tr>
        <w:trPr>
          <w:trHeight w:val="61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0.707</w:t>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0.704</w:t>
            </w:r>
          </w:p>
        </w:tc>
      </w:tr>
      <w:tr>
        <w:trPr>
          <w:trHeight w:val="615"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0.900</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0.351</w:t>
            </w:r>
          </w:p>
        </w:tc>
      </w:tr>
      <w:tr>
        <w:trPr>
          <w:trHeight w:val="61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0.667</w:t>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GI0-2021-PM_152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3.55-9.09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0.583</w:t>
            </w:r>
          </w:p>
        </w:tc>
      </w:tr>
    </w:tbl>
    <w:p>
      <w:pPr>
        <w:pStyle w:val="BodyText"/>
      </w:pPr>
      <w:r>
        <w:t xml:space="preserve">heritability</w:t>
      </w:r>
    </w:p>
    <w:p>
      <w:pPr>
        <w:pStyle w:val="BodyText"/>
      </w:pPr>
      <w:r>
        <w:rPr>
          <w:bCs/>
          <w:b/>
        </w:rPr>
        <w:t xml:space="preserve">?(caption)</w:t>
      </w:r>
    </w:p>
    <w:bookmarkEnd w:id="24"/>
    <w:bookmarkEnd w:id="25"/>
    <w:bookmarkStart w:id="26" w:name="genotyping"/>
    <w:p>
      <w:pPr>
        <w:pStyle w:val="Heading2"/>
      </w:pPr>
      <w:r>
        <w:t xml:space="preserve">Genotyping</w:t>
      </w:r>
    </w:p>
    <w:p>
      <w:pPr>
        <w:pStyle w:val="FirstParagraph"/>
      </w:pPr>
      <w:r>
        <w:t xml:space="preserve">The winter maltinb barley double haploid population was genotyped with the 50K Barley Illumina SNP array</w:t>
      </w:r>
      <w:r>
        <w:t xml:space="preserve"> </w:t>
      </w:r>
      <w:r>
        <w:t xml:space="preserve">(</w:t>
      </w:r>
      <w:hyperlink w:anchor="ref-bayerDevelopmentEvaluationBarley2017">
        <w:r>
          <w:rPr>
            <w:rStyle w:val="Hyperlink"/>
          </w:rPr>
          <w:t xml:space="preserve">Bayer et al. 2017</w:t>
        </w:r>
      </w:hyperlink>
      <w:r>
        <w:t xml:space="preserve">)</w:t>
      </w:r>
      <w:r>
        <w:t xml:space="preserve"> </w:t>
      </w:r>
      <w:r>
        <w:t xml:space="preserve">at the USDA small grains research laborartory in Fargo, ND. Marker positions were based on the Morex version 3 and gene annotations referenced the Morex version 3 assembly</w:t>
      </w:r>
      <w:r>
        <w:t xml:space="preserve"> </w:t>
      </w:r>
      <w:r>
        <w:t xml:space="preserve">(</w:t>
      </w:r>
      <w:hyperlink w:anchor="ref-mascherLongreadSequenceAssembly2021">
        <w:r>
          <w:rPr>
            <w:rStyle w:val="Hyperlink"/>
          </w:rPr>
          <w:t xml:space="preserve">Mascher et al. 2021</w:t>
        </w:r>
      </w:hyperlink>
      <w:r>
        <w:t xml:space="preserve">)</w:t>
      </w:r>
      <w:r>
        <w:t xml:space="preserve"> </w:t>
      </w:r>
      <w:r>
        <w:t xml:space="preserve">and version 2</w:t>
      </w:r>
      <w:r>
        <w:t xml:space="preserve"> </w:t>
      </w:r>
      <w:r>
        <w:t xml:space="preserve">(</w:t>
      </w:r>
      <w:hyperlink w:anchor="X14ff13f1d88fe3af8a9e316ac0563d686c41cae">
        <w:r>
          <w:rPr>
            <w:rStyle w:val="Hyperlink"/>
          </w:rPr>
          <w:t xml:space="preserve">Monat et al. 2019</w:t>
        </w:r>
      </w:hyperlink>
      <w:r>
        <w:t xml:space="preserve">)</w:t>
      </w:r>
      <w:r>
        <w:t xml:space="preserve"> </w:t>
      </w:r>
      <w:r>
        <w:t xml:space="preserve">Markers were filtered a maximum heterozygosity level of 0.01 and a minumum minor allele frequency of 0.05 using rTASSEL</w:t>
      </w:r>
      <w:r>
        <w:t xml:space="preserve"> </w:t>
      </w:r>
      <w:r>
        <w:t xml:space="preserve">(</w:t>
      </w:r>
      <w:hyperlink w:anchor="ref-monierRTASSELInterfaceTASSEL2022">
        <w:r>
          <w:rPr>
            <w:rStyle w:val="Hyperlink"/>
          </w:rPr>
          <w:t xml:space="preserve">Monier et al. 2022</w:t>
        </w:r>
      </w:hyperlink>
      <w:r>
        <w:t xml:space="preserve">)</w:t>
      </w:r>
      <w:r>
        <w:t xml:space="preserve">, resulting in a total of 13,452 markers. The R package</w:t>
      </w:r>
      <w:r>
        <w:t xml:space="preserve"> </w:t>
      </w:r>
      <w:r>
        <w:t xml:space="preserve">(</w:t>
      </w:r>
      <w:hyperlink w:anchor="ref-XiuwenSNPRelate2012">
        <w:r>
          <w:rPr>
            <w:rStyle w:val="Hyperlink"/>
            <w:bCs/>
            <w:b/>
          </w:rPr>
          <w:t xml:space="preserve">XiuwenSNPRelate2012?</w:t>
        </w:r>
      </w:hyperlink>
      <w:r>
        <w:t xml:space="preserve">)</w:t>
      </w:r>
      <w:r>
        <w:t xml:space="preserve"> </w:t>
      </w:r>
      <w:r>
        <w:t xml:space="preserve">was used to Linkage Disequlibrium(LD) prune markers using a sliding base pair window of 2000 markers and a maximum LD threshold of 0.9. PCA analysis was also conducted with the SNPRelate package. After LD pruning, 9,628 markers remained for analysis. KASP markers were used to genotype</w:t>
      </w:r>
      <w:r>
        <w:t xml:space="preserve"> </w:t>
      </w:r>
      <w:r>
        <w:rPr>
          <w:iCs/>
          <w:i/>
        </w:rPr>
        <w:t xml:space="preserve">HVAlaAT</w:t>
      </w:r>
      <w:r>
        <w:t xml:space="preserve"> </w:t>
      </w:r>
      <w:r>
        <w:t xml:space="preserve">and</w:t>
      </w:r>
      <w:r>
        <w:t xml:space="preserve"> </w:t>
      </w:r>
      <w:r>
        <w:rPr>
          <w:iCs/>
          <w:i/>
        </w:rPr>
        <w:t xml:space="preserve">HvMKK3</w:t>
      </w:r>
      <w:r>
        <w:t xml:space="preserve"> </w:t>
      </w:r>
      <w:r>
        <w:t xml:space="preserve">folllowing casual mutations discovered in</w:t>
      </w:r>
      <w:r>
        <w:t xml:space="preserve"> </w:t>
      </w:r>
      <w:r>
        <w:t xml:space="preserve">Sato et al. (</w:t>
      </w:r>
      <w:hyperlink w:anchor="Xa619781977bcc33d8759a173a2a841e3d9c5a82">
        <w:r>
          <w:rPr>
            <w:rStyle w:val="Hyperlink"/>
          </w:rPr>
          <w:t xml:space="preserve">2016</w:t>
        </w:r>
      </w:hyperlink>
      <w:r>
        <w:t xml:space="preserve">)</w:t>
      </w:r>
      <w:r>
        <w:t xml:space="preserve"> </w:t>
      </w:r>
      <w:r>
        <w:t xml:space="preserve">and</w:t>
      </w:r>
      <w:r>
        <w:t xml:space="preserve"> </w:t>
      </w:r>
      <w:r>
        <w:t xml:space="preserve">Nakamura et al. (</w:t>
      </w:r>
      <w:hyperlink w:anchor="ref-nakamura2016">
        <w:r>
          <w:rPr>
            <w:rStyle w:val="Hyperlink"/>
          </w:rPr>
          <w:t xml:space="preserve">2016</w:t>
        </w:r>
      </w:hyperlink>
      <w:r>
        <w:t xml:space="preserve">)</w:t>
      </w:r>
      <w:r>
        <w:t xml:space="preserve"> </w:t>
      </w:r>
      <w:r>
        <w:t xml:space="preserve">respectively. Details of KASP marker development can be found in</w:t>
      </w:r>
      <w:r>
        <w:t xml:space="preserve"> </w:t>
      </w:r>
      <w:r>
        <w:t xml:space="preserve">Sweeney et al. (</w:t>
      </w:r>
      <w:hyperlink w:anchor="ref-sweeneyInteractionsBarleySD12021">
        <w:r>
          <w:rPr>
            <w:rStyle w:val="Hyperlink"/>
          </w:rPr>
          <w:t xml:space="preserve">2021</w:t>
        </w:r>
      </w:hyperlink>
      <w:r>
        <w:t xml:space="preserve">)</w:t>
      </w:r>
      <w:r>
        <w:t xml:space="preserve">.</w:t>
      </w:r>
    </w:p>
    <w:bookmarkEnd w:id="26"/>
    <w:bookmarkStart w:id="33" w:name="statisical-analysis"/>
    <w:p>
      <w:pPr>
        <w:pStyle w:val="Heading2"/>
      </w:pPr>
      <w:r>
        <w:t xml:space="preserve">Statisical Analysis</w:t>
      </w:r>
    </w:p>
    <w:p>
      <w:pPr>
        <w:pStyle w:val="FirstParagraph"/>
      </w:pPr>
      <w:r>
        <w:t xml:space="preserve">Given the advancement in computational efficiency, per time point GWAS was analyzed using a single step approach. The package ASRgwas</w:t>
      </w:r>
      <w:r>
        <w:t xml:space="preserve"> </w:t>
      </w:r>
      <w:r>
        <w:t xml:space="preserve">Galli et al. (</w:t>
      </w:r>
      <w:hyperlink w:anchor="ref-ASRgwas2022">
        <w:r>
          <w:rPr>
            <w:rStyle w:val="Hyperlink"/>
          </w:rPr>
          <w:t xml:space="preserve">2022</w:t>
        </w:r>
      </w:hyperlink>
      <w:r>
        <w:t xml:space="preserve">)</w:t>
      </w:r>
      <w:r>
        <w:t xml:space="preserve"> </w:t>
      </w:r>
      <w:r>
        <w:t xml:space="preserve">was used to develop the K and Q matrices, filter out missing information, and conduct single step GWAS using the raw data as input for each timepoint and trait ASRgwas model flexibility allowed for the integration of fixed, random and residual factor integration. The base model for GWAS per timepoint was as follows:</w:t>
      </w:r>
    </w:p>
    <w:p>
      <w:pPr>
        <w:pStyle w:val="BodyText"/>
      </w:pPr>
      <m:oMathPara>
        <m:oMathParaPr>
          <m:jc m:val="center"/>
        </m:oMathParaPr>
        <m:oMath>
          <m:sSub>
            <m:e>
              <m:r>
                <m:t>y</m:t>
              </m:r>
            </m:e>
            <m:sub>
              <m:r>
                <m:t>​</m:t>
              </m:r>
            </m:sub>
          </m:sSub>
          <m:r>
            <m:rPr>
              <m:sty m:val="p"/>
            </m:rPr>
            <m:t>∼</m:t>
          </m:r>
          <m:r>
            <m:t>1</m:t>
          </m:r>
          <m:r>
            <m:t>μ</m:t>
          </m:r>
          <m:r>
            <m:rPr>
              <m:sty m:val="p"/>
            </m:rPr>
            <m:t>+</m:t>
          </m:r>
          <m:r>
            <m:t>X</m:t>
          </m:r>
          <m:r>
            <m:t>β</m:t>
          </m:r>
          <m:r>
            <m:rPr>
              <m:sty m:val="p"/>
            </m:rPr>
            <m:t>+</m:t>
          </m:r>
          <m:sSub>
            <m:e>
              <m:r>
                <m:t>Z</m:t>
              </m:r>
            </m:e>
            <m:sub>
              <m:r>
                <m:t>1</m:t>
              </m:r>
            </m:sub>
          </m:sSub>
          <m:r>
            <m:t>u</m:t>
          </m:r>
          <m:r>
            <m:rPr>
              <m:sty m:val="p"/>
            </m:rPr>
            <m:t>+</m:t>
          </m:r>
          <m:r>
            <m:t>Q</m:t>
          </m:r>
          <m:r>
            <m:t>δ</m:t>
          </m:r>
          <m:r>
            <m:rPr>
              <m:sty m:val="p"/>
            </m:rPr>
            <m:t>+</m:t>
          </m:r>
          <m:r>
            <m:t>ϵ</m:t>
          </m:r>
        </m:oMath>
      </m:oMathPara>
    </w:p>
    <w:p>
      <w:pPr>
        <w:pStyle w:val="FirstParagraph"/>
      </w:pPr>
      <w:r>
        <w:t xml:space="preserve">Where</w:t>
      </w:r>
      <w:r>
        <w:t xml:space="preserve"> </w:t>
      </w:r>
      <m:oMath>
        <m:r>
          <m:t>y</m:t>
        </m:r>
      </m:oMath>
      <w:r>
        <w:t xml:space="preserve"> </w:t>
      </w:r>
      <w:r>
        <w:t xml:space="preserve">is the response variable for GI,</w:t>
      </w:r>
      <w:r>
        <w:t xml:space="preserve"> </w:t>
      </w:r>
      <m:oMath>
        <m:r>
          <m:t>G</m:t>
        </m:r>
        <m:sSub>
          <m:e>
            <m:r>
              <m:t>I</m:t>
            </m:r>
          </m:e>
          <m:sub>
            <m:r>
              <m:t>b</m:t>
            </m:r>
            <m:r>
              <m:t>a</m:t>
            </m:r>
            <m:r>
              <m:t>s</m:t>
            </m:r>
            <m:r>
              <m:t>e</m:t>
            </m:r>
          </m:sub>
        </m:sSub>
      </m:oMath>
      <w:r>
        <w:t xml:space="preserve"> </w:t>
      </w:r>
      <w:r>
        <w:t xml:space="preserve">or GE,</w:t>
      </w:r>
      <w:r>
        <w:t xml:space="preserve"> </w:t>
      </w:r>
      <m:oMath>
        <m:r>
          <m:t>μ</m:t>
        </m:r>
      </m:oMath>
      <w:r>
        <w:t xml:space="preserve"> </w:t>
      </w:r>
      <w:r>
        <w:t xml:space="preserve">is the overall mean,</w:t>
      </w:r>
      <w:r>
        <w:t xml:space="preserve"> </w:t>
      </w:r>
      <m:oMath>
        <m:r>
          <m:t>β</m:t>
        </m:r>
      </m:oMath>
      <w:r>
        <w:t xml:space="preserve"> </w:t>
      </w:r>
      <w:r>
        <w:t xml:space="preserve">is a vector of fixed effects(i.e. Location, replication),</w:t>
      </w:r>
      <w:r>
        <w:t xml:space="preserve"> </w:t>
      </w:r>
      <m:oMath>
        <m:r>
          <m:t>u</m:t>
        </m:r>
      </m:oMath>
      <w:r>
        <w:t xml:space="preserve"> </w:t>
      </w:r>
      <w:r>
        <w:t xml:space="preserve">is the vector of addivitive genotype effects associated with the genomic additive relationship matrix with</w:t>
      </w:r>
      <w:r>
        <w:t xml:space="preserve"> </w:t>
      </w:r>
      <m:oMath>
        <m:r>
          <m:t>u</m:t>
        </m:r>
        <m:r>
          <m:rPr>
            <m:sty m:val="p"/>
          </m:rPr>
          <m:t>∼</m:t>
        </m:r>
        <m:r>
          <m:t>N</m:t>
        </m:r>
        <m:d>
          <m:dPr>
            <m:begChr m:val="("/>
            <m:endChr m:val=")"/>
            <m:sepChr m:val=""/>
            <m:grow/>
          </m:dPr>
          <m:e>
            <m:r>
              <m:t>0</m:t>
            </m:r>
            <m:r>
              <m:rPr>
                <m:sty m:val="p"/>
              </m:rPr>
              <m:t>,</m:t>
            </m:r>
            <m:sSub>
              <m:e>
                <m:r>
                  <m:t>G</m:t>
                </m:r>
              </m:e>
              <m:sub>
                <m:r>
                  <m:t>A</m:t>
                </m:r>
              </m:sub>
            </m:sSub>
            <m:sSubSup>
              <m:e>
                <m:r>
                  <m:t>σ</m:t>
                </m:r>
              </m:e>
              <m:sub>
                <m:r>
                  <m:t>A</m:t>
                </m:r>
              </m:sub>
              <m:sup>
                <m:r>
                  <m:t>2</m:t>
                </m:r>
              </m:sup>
            </m:sSubSup>
          </m:e>
        </m:d>
      </m:oMath>
      <w:r>
        <w:t xml:space="preserve">,</w:t>
      </w:r>
      <w:r>
        <w:t xml:space="preserve"> </w:t>
      </w:r>
      <m:oMath>
        <m:r>
          <m:t>Q</m:t>
        </m:r>
      </m:oMath>
      <w:r>
        <w:t xml:space="preserve"> </w:t>
      </w:r>
      <w:r>
        <w:t xml:space="preserve">is a matrix of vectors describing population structure and</w:t>
      </w:r>
      <w:r>
        <w:t xml:space="preserve"> </w:t>
      </w:r>
      <m:oMath>
        <m:r>
          <m:t>δ</m:t>
        </m:r>
      </m:oMath>
      <w:r>
        <w:t xml:space="preserve"> </w:t>
      </w:r>
      <w:r>
        <w:t xml:space="preserve">corresponds to the number of vectors(PCAs) of the Q matrix to be included to account for population structure and</w:t>
      </w:r>
      <w:r>
        <w:t xml:space="preserve"> </w:t>
      </w:r>
      <m:oMath>
        <m:r>
          <m:t>ϵ</m:t>
        </m:r>
        <m:r>
          <m:t> </m:t>
        </m:r>
        <m:r>
          <m:t>N</m:t>
        </m:r>
        <m:d>
          <m:dPr>
            <m:begChr m:val="("/>
            <m:endChr m:val=")"/>
            <m:sepChr m:val=""/>
            <m:grow/>
          </m:dPr>
          <m:e>
            <m:r>
              <m:t>0</m:t>
            </m:r>
            <m:r>
              <m:rPr>
                <m:sty m:val="p"/>
              </m:rPr>
              <m:t>,</m:t>
            </m:r>
            <m:r>
              <m:t>E</m:t>
            </m:r>
            <m:sSup>
              <m:e>
                <m:r>
                  <m:t>σ</m:t>
                </m:r>
              </m:e>
              <m:sup>
                <m:r>
                  <m:t>2</m:t>
                </m:r>
              </m:sup>
            </m:sSup>
          </m:e>
        </m:d>
      </m:oMath>
      <w:r>
        <w:t xml:space="preserve"> </w:t>
      </w:r>
      <w:r>
        <w:t xml:space="preserve">where</w:t>
      </w:r>
      <w:r>
        <w:t xml:space="preserve"> </w:t>
      </w:r>
      <m:oMath>
        <m:r>
          <m:t>E</m:t>
        </m:r>
      </m:oMath>
      <w:r>
        <w:t xml:space="preserve"> </w:t>
      </w:r>
      <w:r>
        <w:t xml:space="preserve">is either a incidence matrix corresponding independently and identically distributed residuals or a heteroscadistic error structure. A summary of model terms included for each timepoint is presented in supplementary (table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PM_date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Fixed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Residual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Converged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 + Rep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Location:Rep + Location + 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GI_base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Location:Row + replication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GI_base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Qsd1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replication:Row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Location:Row + 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 Year:Rep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 Year:replication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Year:Location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Year:Location + 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Year:Location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r>
    </w:tbl>
    <w:bookmarkStart w:id="27" w:name="tbl-model_components"/>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1fe86bf7-4bf0-4590-aedd-e0bbf63a840c" w:name="tbl-model_component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fe86bf7-4bf0-4590-aedd-e0bbf63a840c"/>
      <w:r>
        <w:rPr>
          <w:rFonts/>
          <w:b w:val="true"/>
        </w:rPr>
        <w:t xml:space="preserve">: </w:t>
      </w:r>
      <w:r>
        <w:t xml:space="preserve">components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1451"/>
        <w:gridCol w:w="778"/>
        <w:gridCol w:w="753"/>
        <w:gridCol w:w="533"/>
        <w:gridCol w:w="3444"/>
        <w:gridCol w:w="411"/>
        <w:gridCol w:w="1242"/>
        <w:gridCol w:w="753"/>
      </w:tblGrid>
      <w:tr>
        <w:trPr>
          <w:trHeight w:val="144"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PM_date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Q</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npc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Random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Residual</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Converged</w:t>
            </w:r>
          </w:p>
        </w:tc>
      </w:tr>
      <w:tr>
        <w:trPr>
          <w:trHeight w:val="612"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 Rep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Location:Rep + Location + 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612"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61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GI_base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Location:Row + replication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GI_base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r>
      <w:tr>
        <w:trPr>
          <w:trHeight w:val="57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Qsd1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61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replication:Row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Location:Row + 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Location:Row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r>
      <w:tr>
        <w:trPr>
          <w:trHeight w:val="57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r>
      <w:tr>
        <w:trPr>
          <w:trHeight w:val="574"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Year:Location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612"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Year:Rep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61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Year + Year:Rep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612"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Year + Year:replication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Year+ Year:Location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r>
      <w:tr>
        <w:trPr>
          <w:trHeight w:val="574"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Year:Location + 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Year:Location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574"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Year+ Year:Location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r>
      <w:tr>
        <w:trPr>
          <w:trHeight w:val="360" w:hRule="auto"/>
        </w:trPr>
        footer 1
        <w:tc>
          <w:tcPr>
            <w:gridSpan w:val="9"/>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GI: Germination index, GE: Germination Energy, GI_base:unadjusted germination index, PM Date: Post physiological maturity date and timepoint,Q: fixed effect population structure matrix, npc: number of principal components included, Rep: Replication</w:t>
            </w:r>
          </w:p>
        </w:tc>
      </w:tr>
    </w:tbl>
    <w:p>
      <w:pPr>
        <w:pStyle w:val="BodyText"/>
      </w:pPr>
      <w:r>
        <w:t xml:space="preserve">components</w:t>
      </w:r>
    </w:p>
    <w:p>
      <w:pPr>
        <w:pStyle w:val="BodyText"/>
      </w:pPr>
      <w:r>
        <w:rPr>
          <w:bCs/>
          <w:b/>
        </w:rPr>
        <w:t xml:space="preserve">?(caption)</w:t>
      </w:r>
    </w:p>
    <w:bookmarkEnd w:id="27"/>
    <w:p>
      <w:pPr>
        <w:pStyle w:val="BodyText"/>
      </w:pPr>
      <w:r>
        <w:t xml:space="preserve">KASP markers for AlaAT and MKK3 were ran on the experimental winter double haploid lines, parent lines and checks. Details about the interactions of MKK3, AlaAT in PHS data of spring and winter malting barley trials are examined in more detail in</w:t>
      </w:r>
      <w:r>
        <w:t xml:space="preserve"> </w:t>
      </w:r>
      <w:r>
        <w:t xml:space="preserve">Sweeney, Kunze, and Sorrells (</w:t>
      </w:r>
      <w:hyperlink w:anchor="ref-sweeney2021_QTL">
        <w:r>
          <w:rPr>
            <w:rStyle w:val="Hyperlink"/>
          </w:rPr>
          <w:t xml:space="preserve">2021</w:t>
        </w:r>
      </w:hyperlink>
      <w:r>
        <w:t xml:space="preserve">)</w:t>
      </w:r>
      <w:r>
        <w:t xml:space="preserve">. The common parent Lightning and parent Flavia contained the dormant(D) AlaAT allele while parents KWS Scala, SY Tepee and Wintmalt contained the N allele for AlaAT. This resulted in variation for the AlaAT in all families crossed to Lightining except for the Lightning x Flavia family, where lines were monomorphic for AlaAT. All experimental lines and parent genotypes were monomorphic for dormant(D) HvMKK3. The check lines Charles and Endeavor used as a PHS susceptibility and germination check in 2020 and 2021 respectively conatined the highly non-dormant (</w:t>
      </w:r>
      <m:oMath>
        <m:sSup>
          <m:e>
            <m:r>
              <m:t>N</m:t>
            </m:r>
          </m:e>
          <m:sup>
            <m:r>
              <m:rPr>
                <m:sty m:val="p"/>
              </m:rPr>
              <m:t>*</m:t>
            </m:r>
          </m:sup>
        </m:sSup>
      </m:oMath>
      <w:r>
        <w:t xml:space="preserve">) allele for MKK3 but the D allele for AlaAT Given the low frequency of the N* MKK3 haplotype represented in this population , we are limited in what inferences can be made regarding the MKK3 loci.</w:t>
      </w:r>
    </w:p>
    <w:p>
      <w:pPr>
        <w:pStyle w:val="BodyText"/>
      </w:pPr>
      <w:r>
        <w:t xml:space="preserve">All lines were genotyped with the 50k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9258 markers were retained for analysis. A summary of the GWA results is presented in Table 1. Models were run for all trait/time point combinations.</w:t>
      </w:r>
    </w:p>
    <w:p>
      <w:pPr>
        <w:pStyle w:val="SourceCode"/>
      </w:pPr>
      <w:r>
        <w:rPr>
          <w:rStyle w:val="VerbatimChar"/>
        </w:rPr>
        <w:t xml:space="preserve">Loading required package: MASS</w:t>
      </w:r>
    </w:p>
    <w:p>
      <w:pPr>
        <w:pStyle w:val="SourceCode"/>
      </w:pPr>
      <w:r>
        <w:br/>
      </w:r>
      <w:r>
        <w:rPr>
          <w:rStyle w:val="VerbatimChar"/>
        </w:rPr>
        <w:t xml:space="preserve">Attaching package: 'MASS'</w:t>
      </w:r>
    </w:p>
    <w:p>
      <w:pPr>
        <w:pStyle w:val="SourceCode"/>
      </w:pPr>
      <w:r>
        <w:rPr>
          <w:rStyle w:val="VerbatimChar"/>
        </w:rPr>
        <w:t xml:space="preserve">The following object is masked from 'package:dplyr':</w:t>
      </w:r>
      <w:r>
        <w:br/>
      </w:r>
      <w:r>
        <w:br/>
      </w:r>
      <w:r>
        <w:rPr>
          <w:rStyle w:val="VerbatimChar"/>
        </w:rPr>
        <w:t xml:space="preserve">    select</w:t>
      </w:r>
    </w:p>
    <w:p>
      <w:pPr>
        <w:pStyle w:val="SourceCode"/>
      </w:pPr>
      <w:r>
        <w:rPr>
          <w:rStyle w:val="VerbatimChar"/>
        </w:rPr>
        <w:t xml:space="preserve">Loading required package: Matrix</w:t>
      </w:r>
    </w:p>
    <w:p>
      <w:pPr>
        <w:pStyle w:val="SourceCode"/>
      </w:pPr>
      <w:r>
        <w:br/>
      </w:r>
      <w:r>
        <w:rPr>
          <w:rStyle w:val="VerbatimChar"/>
        </w:rPr>
        <w:t xml:space="preserve">Attaching package: 'Matrix'</w:t>
      </w:r>
    </w:p>
    <w:p>
      <w:pPr>
        <w:pStyle w:val="SourceCode"/>
      </w:pPr>
      <w:r>
        <w:rPr>
          <w:rStyle w:val="VerbatimChar"/>
        </w:rPr>
        <w:t xml:space="preserve">The following objects are masked from 'package:tidyr':</w:t>
      </w:r>
      <w:r>
        <w:br/>
      </w:r>
      <w:r>
        <w:br/>
      </w:r>
      <w:r>
        <w:rPr>
          <w:rStyle w:val="VerbatimChar"/>
        </w:rPr>
        <w:t xml:space="preserve">    expand, pack, unpack</w:t>
      </w:r>
    </w:p>
    <w:p>
      <w:pPr>
        <w:pStyle w:val="SourceCode"/>
      </w:pPr>
      <w:r>
        <w:rPr>
          <w:rStyle w:val="VerbatimChar"/>
        </w:rPr>
        <w:t xml:space="preserve">Loading required package: lme4</w:t>
      </w:r>
    </w:p>
    <w:p>
      <w:pPr>
        <w:pStyle w:val="SourceCode"/>
      </w:pPr>
      <w:r>
        <w:br/>
      </w:r>
      <w:r>
        <w:rPr>
          <w:rStyle w:val="VerbatimChar"/>
        </w:rPr>
        <w:t xml:space="preserve">arm (Version 1.13-1, built: 2022-8-25)</w:t>
      </w:r>
    </w:p>
    <w:p>
      <w:pPr>
        <w:pStyle w:val="SourceCode"/>
      </w:pPr>
      <w:r>
        <w:rPr>
          <w:rStyle w:val="VerbatimChar"/>
        </w:rPr>
        <w:t xml:space="preserve">Working directory is C:/Users/kars8/git/BarleyGermination-KK/ms</w:t>
      </w:r>
    </w:p>
    <w:p>
      <w:pPr>
        <w:pStyle w:val="FirstParagraph"/>
      </w:pPr>
      <w:r>
        <w:t xml:space="preserve">Break</w:t>
      </w:r>
    </w:p>
    <w:p>
      <w:pPr>
        <w:pStyle w:val="SourceCode"/>
      </w:pPr>
      <w:r>
        <w:rPr>
          <w:rStyle w:val="VerbatimChar"/>
        </w:rPr>
        <w:t xml:space="preserve">Joining by: taxa, Qsd1</w:t>
      </w:r>
    </w:p>
    <w:p>
      <w:pPr>
        <w:pStyle w:val="SourceCode"/>
      </w:pPr>
      <w:r>
        <w:rPr>
          <w:rStyle w:val="VerbatimChar"/>
        </w:rPr>
        <w:t xml:space="preserve">Joining by: taxa</w:t>
      </w:r>
    </w:p>
    <w:p>
      <w:pPr>
        <w:pStyle w:val="SourceCode"/>
      </w:pPr>
      <w:r>
        <w:rPr>
          <w:rStyle w:val="VerbatimChar"/>
        </w:rPr>
        <w:t xml:space="preserve">Warning: Removed 1554 rows containing non-finite values (`stat_bin()`).</w:t>
      </w:r>
    </w:p>
    <w:tbl>
      <w:tblPr>
        <w:tblStyle w:val="Table"/>
        <w:tblW w:type="pct" w:w="5000"/>
        <w:tblLook w:firstRow="0" w:lastRow="0" w:firstColumn="0" w:lastColumn="0" w:noHBand="0" w:noVBand="0" w:val="0000"/>
        <w:jc w:val="start"/>
      </w:tblPr>
      <w:tblGrid>
        <w:gridCol w:w="7920"/>
      </w:tblGrid>
      <w:tr>
        <w:tc>
          <w:tcPr/>
          <w:bookmarkStart w:id="28" w:name="fig-PHS_dist-1"/>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db7407f4-32a8-4673-a4cd-c5767939cce7" w:name="fig-PHS_dis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b7407f4-32a8-4673-a4cd-c5767939cce7"/>
            <w:r>
              <w:rPr>
                <w:rFonts/>
                <w:b w:val="true"/>
              </w:rPr>
              <w:t xml:space="preserve">: </w:t>
            </w:r>
            <w:r>
              <w:t xml:space="preserve">PHS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34"/>
              <w:gridCol w:w="863"/>
              <w:gridCol w:w="1451"/>
              <w:gridCol w:w="778"/>
              <w:gridCol w:w="961"/>
              <w:gridCol w:w="1463"/>
              <w:gridCol w:w="961"/>
              <w:gridCol w:w="961"/>
              <w:gridCol w:w="961"/>
            </w:tblGrid>
            <w:tr>
              <w:trPr>
                <w:trHeight w:val="144"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trait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PM_date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o2g</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h2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h2_PEV</w:t>
                  </w:r>
                </w:p>
              </w:tc>
            </w:tr>
            <w:tr>
              <w:trPr>
                <w:trHeight w:val="615"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0.716</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0.607</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0.234</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0.544</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0.637</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0.727</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0.707</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3.55-10.00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0.635</w:t>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0.559</w:t>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0.668</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0.433</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0.340</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0.445</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0.474</w:t>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0.433</w:t>
                  </w:r>
                </w:p>
              </w:tc>
            </w:tr>
            <w:tr>
              <w:trPr>
                <w:trHeight w:val="615"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0.410</w:t>
                  </w:r>
                </w:p>
              </w:tc>
            </w:tr>
            <w:tr>
              <w:trPr>
                <w:trHeight w:val="615"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0.359</w:t>
                  </w:r>
                </w:p>
              </w:tc>
            </w:tr>
            <w:tr>
              <w:trPr>
                <w:trHeight w:val="615"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PHS-2020/2021-PM_3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0.593</w:t>
                  </w:r>
                </w:p>
              </w:tc>
            </w:tr>
            <w:tr>
              <w:trPr>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0.667</w:t>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0.657</w:t>
                  </w:r>
                </w:p>
              </w:tc>
            </w:tr>
            <w:tr>
              <w:trPr>
                <w:trHeight w:val="61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0.680</w:t>
                  </w:r>
                </w:p>
              </w:tc>
            </w:tr>
            <w:tr>
              <w:trPr>
                <w:trHeight w:val="615"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0.936</w:t>
                  </w:r>
                </w:p>
              </w:tc>
            </w:tr>
            <w:tr>
              <w:trPr>
                <w:trHeight w:val="615"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0.885</w:t>
                  </w:r>
                </w:p>
              </w:tc>
            </w:tr>
            <w:tr>
              <w:trPr>
                <w:trHeight w:val="615"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0.790</w:t>
                  </w:r>
                </w:p>
              </w:tc>
            </w:tr>
            <w:tr>
              <w:trPr>
                <w:trHeight w:val="61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0.732</w:t>
                  </w:r>
                </w:p>
              </w:tc>
            </w:tr>
            <w:tr>
              <w:trPr>
                <w:trHeight w:val="615"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r>
            <w:tr>
              <w:trPr>
                <w:trHeight w:val="61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0.749</w:t>
                  </w:r>
                </w:p>
              </w:tc>
            </w:tr>
            <w:tr>
              <w:trPr>
                <w:trHeight w:val="615"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0.750</w:t>
                  </w:r>
                </w:p>
              </w:tc>
            </w:tr>
            <w:tr>
              <w:trPr>
                <w:trHeight w:val="61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0.707</w:t>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0.704</w:t>
                  </w:r>
                </w:p>
              </w:tc>
            </w:tr>
            <w:tr>
              <w:trPr>
                <w:trHeight w:val="615"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0.900</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0.351</w:t>
                  </w:r>
                </w:p>
              </w:tc>
            </w:tr>
            <w:tr>
              <w:trPr>
                <w:trHeight w:val="61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0.667</w:t>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GI0-2021-PM_152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3.55-9.09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0.583</w:t>
                  </w:r>
                </w:p>
              </w:tc>
            </w:tr>
          </w:tbl>
          <w:p>
            <w:pPr>
              <w:jc w:val="center"/>
            </w:pPr>
            <w:pPr>
              <w:jc w:val="start"/>
              <w:spacing w:before="200"/>
              <w:pStyle w:val="ImageCaption"/>
            </w:pPr>
            <w:r>
              <w:t xml:space="preserve">fig 1— PHS</w:t>
            </w:r>
          </w:p>
          <w:bookmarkEnd w:id="28"/>
        </w:tc>
      </w:tr>
    </w:tbl>
    <w:tbl>
      <w:tblPr>
        <w:tblStyle w:val="Table"/>
        <w:tblW w:type="pct" w:w="5000"/>
        <w:tblLook w:firstRow="0" w:lastRow="0" w:firstColumn="0" w:lastColumn="0" w:noHBand="0" w:noVBand="0" w:val="0000"/>
        <w:jc w:val="start"/>
      </w:tblPr>
      <w:tblGrid>
        <w:gridCol w:w="7920"/>
      </w:tblGrid>
      <w:tr>
        <w:tc>
          <w:tcPr/>
          <w:bookmarkStart w:id="32" w:name="fig-PHS_dist-2"/>
          <w:p>
            <w:pPr>
              <w:jc w:val="center"/>
            </w:pPr>
            <w:r>
              <w:drawing>
                <wp:inline>
                  <wp:extent cx="4620126" cy="3696101"/>
                  <wp:effectExtent b="0" l="0" r="0" t="0"/>
                  <wp:docPr descr="" title="" id="30" name="Picture"/>
                  <a:graphic>
                    <a:graphicData uri="http://schemas.openxmlformats.org/drawingml/2006/picture">
                      <pic:pic>
                        <pic:nvPicPr>
                          <pic:cNvPr descr="GWAS_seed_dormancy_KK_files/figure-docx/fig-PHS_dis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 2— PHS</w:t>
            </w:r>
          </w:p>
          <w:bookmarkEnd w:id="32"/>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GE_PM 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GE_PM 12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GE_PM 19</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GE_PM 33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GE_PM 47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GE_PM 68</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GE_PM 96</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GE_PM 152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GI_PM 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GI_PM 12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GI_PM 19</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GI_PM 33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GI_PM 47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GI_PM 68</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GI_PM 96</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GI_PM 152</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GE_PM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GE_PM 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GE_PM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GE_PM 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GE_PM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GE_PM 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GE_PM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GE_PM 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GI_PM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GI_PM 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GI_PM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GI_PM 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GI_PM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GI_PM 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GI_PM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GI_PM 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Phenotypic and Genotypic correlations between preharvest sprouting(PHS),germination energy(GE) and germination index(GI) at post physiological maturity(PM) timepoints. The lower diagnol corresponds to phenotypic correlation and the upper diagnial corresponds to genotypic correlations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9"/>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GE_PM 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GE_PM 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GE_PM 19</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GE_PM 33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GE_PM 47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GE_PM 68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GE_PM 96</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GE_PM 152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GI_PM 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GI_PM 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GI_PM 19</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GI_PM 33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GI_PM 47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GI_PM 68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GI_PM 96</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GI_PM 152</w:t>
            </w:r>
          </w:p>
        </w:tc>
      </w:tr>
      <w:tr>
        <w:trPr>
          <w:trHeight w:val="612" w:hRule="auto"/>
        </w:trPr>
        body 1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phs</w:t>
            </w:r>
          </w:p>
        </w:tc>
        <w:tc>
          <w:tcPr>
            <w:tcBorders>
              <w:bottom w:val="single" w:sz="8"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single" w:sz="8"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single" w:sz="8"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single" w:sz="8"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r>
      <w:tr>
        <w:trPr>
          <w:trHeight w:val="615" w:hRule="auto"/>
        </w:trPr>
        body 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GE_PM 5</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GE_PM 12</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GE_PM 19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GE_PM 33</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GE_PM 47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GE_PM 68</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w:t>
            </w:r>
          </w:p>
        </w:tc>
      </w:tr>
      <w:tr>
        <w:trPr>
          <w:trHeight w:val="615" w:hRule="auto"/>
        </w:trPr>
        body 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GE_PM 96</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r>
      <w:tr>
        <w:trPr>
          <w:trHeight w:val="615" w:hRule="auto"/>
        </w:trPr>
        body 9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GE_PM 152</w:t>
            </w:r>
          </w:p>
        </w:tc>
        <w:tc>
          <w:tcPr>
            <w:tcBorders>
              <w:bottom w:val="none" w:sz="0" w:space="0" w:color="000000"/>
              <w:top w:val="single" w:sz="8"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c>
          <w:tcPr>
            <w:tcBorders>
              <w:bottom w:val="none" w:sz="0" w:space="0" w:color="000000"/>
              <w:top w:val="single" w:sz="8"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single" w:sz="8"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single" w:sz="8"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GI_PM 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GI_PM 12</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GI_PM 19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GI_PM 33</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GI_PM 47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GI_PM 68</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GI_PM 96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GI_PM 152</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none" w:sz="0" w:space="0" w:color="000000"/>
              <w:left w:val="none" w:sz="0" w:space="0" w:color="000000"/>
              <w:right w:val="single" w:sz="8"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single" w:sz="8"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footer 1
        <w:tc>
          <w:tcPr>
            <w:gridSpan w:val="1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 preharvest sprouting; GE Germination Energy; GI Germination Index; PM Physiological maturity date</w:t>
            </w:r>
          </w:p>
        </w:tc>
      </w:tr>
      <w:tr>
        <w:trPr>
          <w:trHeight w:val="360" w:hRule="auto"/>
        </w:trPr>
        footer 2
        <w:tc>
          <w:tcPr>
            <w:gridSpan w:val="1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Timepoints were only measured in 2021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Summary statistics single and combined time point analysis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34"/>
        <w:gridCol w:w="863"/>
        <w:gridCol w:w="1451"/>
        <w:gridCol w:w="778"/>
        <w:gridCol w:w="961"/>
        <w:gridCol w:w="1463"/>
        <w:gridCol w:w="961"/>
        <w:gridCol w:w="961"/>
        <w:gridCol w:w="961"/>
      </w:tblGrid>
      <w:tr>
        <w:trPr>
          <w:trHeight w:val="144"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trait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PM_date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o2g</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h2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h2_PEV</w:t>
            </w:r>
          </w:p>
        </w:tc>
      </w:tr>
      <w:tr>
        <w:trPr>
          <w:trHeight w:val="615"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0.716</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0.607</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0.234</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0.544</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0.637</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0.727</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0.707</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3.55-10.00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0.635</w:t>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0.559</w:t>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0.668</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0.433</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0.340</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0.445</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0.474</w:t>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0.433</w:t>
            </w:r>
          </w:p>
        </w:tc>
      </w:tr>
      <w:tr>
        <w:trPr>
          <w:trHeight w:val="615"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0.410</w:t>
            </w:r>
          </w:p>
        </w:tc>
      </w:tr>
      <w:tr>
        <w:trPr>
          <w:trHeight w:val="615"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0.359</w:t>
            </w:r>
          </w:p>
        </w:tc>
      </w:tr>
      <w:tr>
        <w:trPr>
          <w:trHeight w:val="615"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PHS-2020/2021-PM_3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0.593</w:t>
            </w:r>
          </w:p>
        </w:tc>
      </w:tr>
      <w:tr>
        <w:trPr>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0.667</w:t>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0.657</w:t>
            </w:r>
          </w:p>
        </w:tc>
      </w:tr>
      <w:tr>
        <w:trPr>
          <w:trHeight w:val="61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0.680</w:t>
            </w:r>
          </w:p>
        </w:tc>
      </w:tr>
      <w:tr>
        <w:trPr>
          <w:trHeight w:val="615"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0.936</w:t>
            </w:r>
          </w:p>
        </w:tc>
      </w:tr>
      <w:tr>
        <w:trPr>
          <w:trHeight w:val="615"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0.885</w:t>
            </w:r>
          </w:p>
        </w:tc>
      </w:tr>
      <w:tr>
        <w:trPr>
          <w:trHeight w:val="615"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0.790</w:t>
            </w:r>
          </w:p>
        </w:tc>
      </w:tr>
      <w:tr>
        <w:trPr>
          <w:trHeight w:val="61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0.732</w:t>
            </w:r>
          </w:p>
        </w:tc>
      </w:tr>
      <w:tr>
        <w:trPr>
          <w:trHeight w:val="615"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r>
      <w:tr>
        <w:trPr>
          <w:trHeight w:val="61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0.749</w:t>
            </w:r>
          </w:p>
        </w:tc>
      </w:tr>
      <w:tr>
        <w:trPr>
          <w:trHeight w:val="615"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0.750</w:t>
            </w:r>
          </w:p>
        </w:tc>
      </w:tr>
      <w:tr>
        <w:trPr>
          <w:trHeight w:val="61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0.707</w:t>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0.704</w:t>
            </w:r>
          </w:p>
        </w:tc>
      </w:tr>
      <w:tr>
        <w:trPr>
          <w:trHeight w:val="615"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0.900</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0.351</w:t>
            </w:r>
          </w:p>
        </w:tc>
      </w:tr>
      <w:tr>
        <w:trPr>
          <w:trHeight w:val="61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0.667</w:t>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GI0-2021-PM_152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3.55-9.09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0.583</w:t>
            </w:r>
          </w:p>
        </w:tc>
      </w:tr>
    </w:tbl>
    <w:bookmarkEnd w:id="33"/>
    <w:bookmarkEnd w:id="34"/>
    <w:bookmarkStart w:id="50" w:name="results"/>
    <w:p>
      <w:pPr>
        <w:pStyle w:val="Heading1"/>
      </w:pPr>
      <w:r>
        <w:t xml:space="preserve">Results</w:t>
      </w:r>
    </w:p>
    <w:bookmarkStart w:id="38" w:name="phenotypic-distribution"/>
    <w:p>
      <w:pPr>
        <w:pStyle w:val="Heading2"/>
      </w:pPr>
      <w:r>
        <w:t xml:space="preserve">Phenotypic Distribution</w:t>
      </w:r>
    </w:p>
    <w:p>
      <w:pPr>
        <w:pStyle w:val="FirstParagraph"/>
      </w:pPr>
      <w:r>
        <w:t xml:space="preserve">Preharvest sprouting scores presented were averaged across years as there was a lack of sufficent phs data in the 2020 year alone. PHS score distribution was skewed towards resistance(Figure 1). 95% of genotypes were classified as resistant(0 to 2 score), 4.4% were moderately resistant and 1.6% classified as PHS susceptible. Average GE had significant variation based on year as mean GE in 2021 was substaintally lower than mean GE at equivalent time points.Heritability for GE was high at early timepoints but decreased as primary dormancy loss occured over time. The slight increase of heritability of GE at later timepoints is most likely attributed to diseased kernels as seeds were not surface sterilized due to population size. GI was initally low at early timepoints and increased as primary dormancy loss occured. Unlike GE, GI variation remained after dormancy resulting in higher heritability at later timepoints. Similar to GE, there was significantly more dormancy in 2021 compared to 2020, as intial genetic variation and heritability was low for PM 5 in 2021. After observed dormancy loss, GI platued at a mean GI of 5.6</w:t>
      </w:r>
    </w:p>
    <w:p>
      <w:pPr>
        <w:pStyle w:val="BodyText"/>
      </w:pPr>
      <w:r>
        <w:t xml:space="preserve">#Correlations</w:t>
      </w:r>
    </w:p>
    <w:p>
      <w:pPr>
        <w:pStyle w:val="BodyText"/>
      </w:pPr>
      <w:r>
        <w:t xml:space="preserve">Phenotypic correlations between GE and GI were significant between all timepoints except for PM 152. PHS phenotypic correlations were not significant to GE and GI. Genotypic correlations were high for all traits, indicating shared genetic control.</w:t>
      </w:r>
    </w:p>
    <w:p>
      <w:pPr>
        <w:pStyle w:val="SourceCode"/>
      </w:pPr>
      <w:r>
        <w:rPr>
          <w:rStyle w:val="VerbatimChar"/>
        </w:rPr>
        <w:t xml:space="preserve">`geom_smooth()` using method = 'loess' and formula = 'y ~ x'</w:t>
      </w:r>
    </w:p>
    <w:p>
      <w:pPr>
        <w:pStyle w:val="FirstParagraph"/>
      </w:pPr>
      <w:r>
        <w:drawing>
          <wp:inline>
            <wp:extent cx="4620126" cy="3696101"/>
            <wp:effectExtent b="0" l="0" r="0" t="0"/>
            <wp:docPr descr="" title="" id="36" name="Picture"/>
            <a:graphic>
              <a:graphicData uri="http://schemas.openxmlformats.org/drawingml/2006/picture">
                <pic:pic>
                  <pic:nvPicPr>
                    <pic:cNvPr descr="GWAS_seed_dormancy_KK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9" w:name="genetics"/>
    <w:p>
      <w:pPr>
        <w:pStyle w:val="Heading2"/>
      </w:pPr>
      <w:r>
        <w:t xml:space="preserve">Genetics</w:t>
      </w:r>
    </w:p>
    <w:bookmarkStart w:id="46" w:name="kasp-marker-results"/>
    <w:p>
      <w:pPr>
        <w:pStyle w:val="Heading3"/>
      </w:pPr>
      <w:r>
        <w:t xml:space="preserve">KASP marker results</w:t>
      </w:r>
    </w:p>
    <w:p>
      <w:pPr>
        <w:pStyle w:val="FirstParagraph"/>
      </w:pPr>
      <w:r>
        <w:t xml:space="preserve">THe population for this experiment used a modified NAM with a common parent Lightning crossed to four malting barley parents. KASP marker analysis revealed that the common parent Lightning and parent Flavia contained the dormant</w:t>
      </w:r>
      <w:r>
        <w:t xml:space="preserve"> </w:t>
      </w:r>
      <w:r>
        <w:t xml:space="preserve">“</w:t>
      </w:r>
      <w:r>
        <w:t xml:space="preserve">C</w:t>
      </w:r>
      <w:r>
        <w:t xml:space="preserve">”</w:t>
      </w:r>
      <w:r>
        <w:t xml:space="preserve"> </w:t>
      </w:r>
      <w:r>
        <w:t xml:space="preserve">allele for AlaAT and parents KWS Scala, SY Tepee and Wintmalt containing the non dormant</w:t>
      </w:r>
      <w:r>
        <w:t xml:space="preserve"> </w:t>
      </w:r>
      <w:r>
        <w:t xml:space="preserve">“</w:t>
      </w:r>
      <w:r>
        <w:t xml:space="preserve">G</w:t>
      </w:r>
      <w:r>
        <w:t xml:space="preserve">”</w:t>
      </w:r>
      <w:r>
        <w:t xml:space="preserve"> </w:t>
      </w:r>
      <w:r>
        <w:t xml:space="preserve">allele, making Lightning the donor for the dormant AlaAT. Experimental lines and the parents were monomorhpic for the dormant MKK3 allele, a loci identified in spring malting barley to be indicative of high malting quality but also high PHS susceptiblity. Check varieties Charles and Endeavor had the highly non dormant allele(N*) for MKK3. An analysis of different barley haplotypes for AlaAT and MKK3 by</w:t>
      </w:r>
      <w:r>
        <w:t xml:space="preserve"> </w:t>
      </w:r>
      <w:r>
        <w:t xml:space="preserve">Sweeney, Kunze, and Sorrells (</w:t>
      </w:r>
      <w:hyperlink w:anchor="ref-sweeney2021_QTL">
        <w:r>
          <w:rPr>
            <w:rStyle w:val="Hyperlink"/>
          </w:rPr>
          <w:t xml:space="preserve">2021</w:t>
        </w:r>
      </w:hyperlink>
      <w:r>
        <w:t xml:space="preserve">)</w:t>
      </w:r>
      <w:r>
        <w:t xml:space="preserve"> </w:t>
      </w:r>
      <w:r>
        <w:t xml:space="preserve">found that winter barley haplotypes with the highly N* MKK3 allele had signficantly higher phs scores than any other group, including spring barley N* MKK3 haplotypes. However, given the low frequency of N* allele to the D allele for MKK3 in this population, we are limited in what inferences can be made regarding MKK3. Nonetheless, lines Charles and Endeavor served as useful positive controls for PHS and germination throughout the experiment.</w:t>
      </w:r>
    </w:p>
    <w:p>
      <w:pPr>
        <w:pStyle w:val="BodyText"/>
      </w:pPr>
      <w:r>
        <w:t xml:space="preserve">Population structure</w:t>
      </w:r>
    </w:p>
    <w:p>
      <w:pPr>
        <w:pStyle w:val="BodyText"/>
      </w:pPr>
      <w:r>
        <w:t xml:space="preserve">Principal component analysis Principal component analysis revealed variation attributed to the first, second and third PCs at 14.55% and 5.69 and 4.9 % respectively. The PCA plot displays the first two PCs on the x and y axis. The first component separated SY Tepee populations from the Wintmalt, KWS Scala and Flavia populations, with Lightning being a common intermediate between the two parents. Position of genotypes remained largely unchanged when separate recombinant inbred lines of crosses not including Lightning were included(data not shown). Wintmalt, Scala and Flavia families have closer degree of relatedness.</w:t>
      </w:r>
    </w:p>
    <w:p>
      <w:pPr>
        <w:pStyle w:val="SourceCode"/>
      </w:pPr>
      <w:r>
        <w:rPr>
          <w:rStyle w:val="VerbatimChar"/>
        </w:rPr>
        <w:t xml:space="preserve">[1] 0.14552810 0.05694513 0.04950765 0.04854296 0.04359301</w:t>
      </w:r>
    </w:p>
    <w:p>
      <w:pPr>
        <w:pStyle w:val="SourceCode"/>
      </w:pPr>
      <w:r>
        <w:rPr>
          <w:rStyle w:val="VerbatimChar"/>
        </w:rPr>
        <w:t xml:space="preserve">The following `from` values were not present in `x`: CHA, CHE</w:t>
      </w:r>
    </w:p>
    <w:tbl>
      <w:tblPr>
        <w:tblStyle w:val="Table"/>
        <w:tblW w:type="pct" w:w="5000"/>
        <w:tblLook w:firstRow="0" w:lastRow="0" w:firstColumn="0" w:lastColumn="0" w:noHBand="0" w:noVBand="0" w:val="0000"/>
        <w:jc w:val="start"/>
      </w:tblPr>
      <w:tblGrid>
        <w:gridCol w:w="7920"/>
      </w:tblGrid>
      <w:tr>
        <w:tc>
          <w:tcPr/>
          <w:bookmarkStart w:id="42" w:name="fig-PCA_DH"/>
          <w:p>
            <w:pPr>
              <w:jc w:val="center"/>
            </w:pPr>
            <w:r>
              <w:drawing>
                <wp:inline>
                  <wp:extent cx="4620126" cy="3696101"/>
                  <wp:effectExtent b="0" l="0" r="0" t="0"/>
                  <wp:docPr descr="" title="" id="40" name="Picture"/>
                  <a:graphic>
                    <a:graphicData uri="http://schemas.openxmlformats.org/drawingml/2006/picture">
                      <pic:pic>
                        <pic:nvPicPr>
                          <pic:cNvPr descr="GWAS_seed_dormancy_KK_files/figure-docx/fig-PCA_DH-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 3— Principal components analysis plot</w:t>
            </w:r>
          </w:p>
          <w:bookmarkEnd w:id="42"/>
        </w:tc>
      </w:tr>
    </w:tbl>
    <w:p>
      <w:pPr>
        <w:pStyle w:val="SourceCode"/>
      </w:pPr>
      <w:r>
        <w:rPr>
          <w:rStyle w:val="VerbatimChar"/>
        </w:rPr>
        <w:t xml:space="preserve">Joining by: taxa, Qsd1</w:t>
      </w:r>
    </w:p>
    <w:p>
      <w:pPr>
        <w:pStyle w:val="SourceCode"/>
      </w:pPr>
      <w:r>
        <w:rPr>
          <w:rStyle w:val="VerbatimChar"/>
        </w:rPr>
        <w:t xml:space="preserve">Joining by: taxa</w:t>
      </w:r>
    </w:p>
    <w:p>
      <w:pPr>
        <w:pStyle w:val="SourceCode"/>
      </w:pPr>
      <w:r>
        <w:rPr>
          <w:rStyle w:val="VerbatimChar"/>
        </w:rPr>
        <w:t xml:space="preserve">Warning: Removed 157 rows containing non-finite values (`stat_boxplot()`).</w:t>
      </w:r>
    </w:p>
    <w:p>
      <w:pPr>
        <w:pStyle w:val="FirstParagraph"/>
      </w:pPr>
      <w:r>
        <w:drawing>
          <wp:inline>
            <wp:extent cx="4620126" cy="3696101"/>
            <wp:effectExtent b="0" l="0" r="0" t="0"/>
            <wp:docPr descr="Qsd1 distribution" title="" id="44" name="Picture"/>
            <a:graphic>
              <a:graphicData uri="http://schemas.openxmlformats.org/drawingml/2006/picture">
                <pic:pic>
                  <pic:nvPicPr>
                    <pic:cNvPr descr="GWAS_seed_dormancy_KK_files/figure-docx/fig-AlaAT%20Distributions-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{#fig-AlaAT Distributions}</w:t>
      </w:r>
    </w:p>
    <w:p>
      <w:pPr>
        <w:pStyle w:val="BodyText"/>
      </w:pPr>
      <w:r>
        <w:t xml:space="preserve">#manhattan plot</w:t>
      </w:r>
    </w:p>
    <w:p>
      <w:pPr>
        <w:pStyle w:val="SourceCode"/>
      </w:pPr>
      <w:r>
        <w:rPr>
          <w:rStyle w:val="VerbatimChar"/>
        </w:rPr>
        <w:t xml:space="preserve">Warning: There was 1 warning in `mutate()`.</w:t>
      </w:r>
      <w:r>
        <w:br/>
      </w:r>
      <w:r>
        <w:rPr>
          <w:rStyle w:val="VerbatimChar"/>
        </w:rPr>
        <w:t xml:space="preserve">ℹ In argument: `ordinal = as.numeric(ordinal)`.</w:t>
      </w:r>
      <w:r>
        <w:br/>
      </w:r>
      <w:r>
        <w:rPr>
          <w:rStyle w:val="VerbatimChar"/>
        </w:rPr>
        <w:t xml:space="preserve">Caused by warning:</w:t>
      </w:r>
      <w:r>
        <w:br/>
      </w:r>
      <w:r>
        <w:rPr>
          <w:rStyle w:val="VerbatimChar"/>
        </w:rPr>
        <w:t xml:space="preserve">! NAs introduced by coercion</w:t>
      </w:r>
      <w:r>
        <w:br/>
      </w:r>
      <w:r>
        <w:rPr>
          <w:rStyle w:val="VerbatimChar"/>
        </w:rPr>
        <w:t xml:space="preserve">There was 1 warning in `mutate()`.</w:t>
      </w:r>
      <w:r>
        <w:br/>
      </w:r>
      <w:r>
        <w:rPr>
          <w:rStyle w:val="VerbatimChar"/>
        </w:rPr>
        <w:t xml:space="preserve">ℹ In argument: `ordinal = as.numeric(ordinal)`.</w:t>
      </w:r>
      <w:r>
        <w:br/>
      </w:r>
      <w:r>
        <w:rPr>
          <w:rStyle w:val="VerbatimChar"/>
        </w:rPr>
        <w:t xml:space="preserve">Caused by warning:</w:t>
      </w:r>
      <w:r>
        <w:br/>
      </w:r>
      <w:r>
        <w:rPr>
          <w:rStyle w:val="VerbatimChar"/>
        </w:rPr>
        <w:t xml:space="preserve">! NAs introduced by coercion</w:t>
      </w:r>
    </w:p>
    <w:p>
      <w:pPr>
        <w:pStyle w:val="FirstParagraph"/>
      </w:pPr>
      <w:r>
        <w:t xml:space="preserve">Genome wide association results</w:t>
      </w:r>
    </w:p>
    <w:bookmarkEnd w:id="46"/>
    <w:bookmarkStart w:id="47" w:name="model-fitting-using-asrgwas"/>
    <w:p>
      <w:pPr>
        <w:pStyle w:val="Heading3"/>
      </w:pPr>
      <w:r>
        <w:t xml:space="preserve">Model fitting using asrGWAS</w:t>
      </w:r>
    </w:p>
    <w:p>
      <w:pPr>
        <w:pStyle w:val="FirstParagraph"/>
      </w:pPr>
      <w:r>
        <w:t xml:space="preserve">Single step genome wide association analysis was conducted using the ASRgwas</w:t>
      </w:r>
      <w:r>
        <w:t xml:space="preserve"> </w:t>
      </w:r>
      <w:r>
        <w:t xml:space="preserve">Galli et al. (</w:t>
      </w:r>
      <w:hyperlink w:anchor="ref-ASRgwas2022">
        <w:r>
          <w:rPr>
            <w:rStyle w:val="Hyperlink"/>
          </w:rPr>
          <w:t xml:space="preserve">2022</w:t>
        </w:r>
      </w:hyperlink>
      <w:r>
        <w:t xml:space="preserve">)</w:t>
      </w:r>
      <w:r>
        <w:t xml:space="preserve"> </w:t>
      </w:r>
      <w:r>
        <w:t xml:space="preserve">package across all trait, year, PM date and combined year combinations(36 analysis). Not all combinations resulted in identified marker trait associations. Fixed effects were identified by wald tests and if models did not converge with reduced inclusion of effects. Within years, significant fixed effects included Location, Replication(Rep) and the spatial dimension of Row. In analysis across years, Year was identified as a signficant term as either a fixed effect or residual term for all GI trait models and all GE trait models except for GE 2020/2021 at PM date 152. Not all models converged, particularly models for the GE trait as variation was low at early and later timepoints. After accounting for model terms, significant marker traits were identified based on false discovery rate(FDR) adjusted p-values using the R package p-adjust within each GWAS analysis. Traits were considered significant if the FDR adjusted p-value was below 0.05(alpha value. The highest unadjusted p-value that was below the FDR threshold identified in this study was 0.00003.</w:t>
      </w:r>
    </w:p>
    <w:bookmarkEnd w:id="47"/>
    <w:bookmarkStart w:id="48" w:name="genome-wide-association-analysis"/>
    <w:p>
      <w:pPr>
        <w:pStyle w:val="Heading3"/>
      </w:pPr>
      <w:r>
        <w:t xml:space="preserve">Genome wide association analysis</w:t>
      </w:r>
    </w:p>
    <w:p>
      <w:pPr>
        <w:pStyle w:val="FirstParagraph"/>
      </w:pPr>
      <w:r>
        <w:t xml:space="preserve">Usining a false discovery rate of alpha=0.05, 50 unique marker trait associations were identifed across the genome. Given the highly structured breeding populations, the LD in this population was high and markers in LD were condensed to single blocks if r2 was greater than 0.90 between markers on specific chromosome. A range of the minimum and maxmimum positions of significant markers within each LD group are presented as we do not have the resolution to determined where in LD blocks the casual variant is located. Significant marker trait associations observed at multiple timepoint trait combinations include JHI_Hv50k_2016_64721 and marker LD group SCRI_RS_135633, JHI_Hv50k_2016_90999, JHI_Hv50k_2016_116224 on 2H; marker SCRI_RS_16934 on 3H; marker LD group JHI_Hv50k_2016_275586, JHI_Hv50k_2016_276615, JHI_Hv50k_2016_276209 on the end of 4H; marker JHI_Hv50k_2016_282096, marker group AlaAT JHI_Hv50k_2016_308652, JHI_Hv50k_2016_308798, JHI_Hv50k_2016_310278 and marker group JHI_Hv50k_2016_310358, JHI_Hv50k_2016_312229, JHI_Hv50k_2016_314246 on 5H; and marker group JHI_Hv50k_2016_450348, JHI_Hv50k_2016_450348, JHI_Hv50k_2016_486280 and marker JHI_Hv50k_2016_507218 on 7H.</w:t>
      </w:r>
    </w:p>
    <w:p>
      <w:pPr>
        <w:pStyle w:val="BodyText"/>
      </w:pPr>
      <w:r>
        <w:t xml:space="preserve">Percent variance explained(PVE) was highest (for markers in perfect LD with KASP marker AlaAT . Initially, a two step model using a fixed effect model as a the first step and a subsequent GWAS model using GAPIT</w:t>
      </w:r>
      <w:r>
        <w:t xml:space="preserve"> </w:t>
      </w:r>
      <w:r>
        <w:t xml:space="preserve">Wang and Zhang (</w:t>
      </w:r>
      <w:hyperlink w:anchor="ref-wangGAPITVersionBoosting2021">
        <w:r>
          <w:rPr>
            <w:rStyle w:val="Hyperlink"/>
          </w:rPr>
          <w:t xml:space="preserve">2021</w:t>
        </w:r>
      </w:hyperlink>
      <w:r>
        <w:t xml:space="preserve">)</w:t>
      </w:r>
      <w:r>
        <w:t xml:space="preserve">, found AlaAT to be the largest contributing loci to seed dormancy based on a boneferroni cutoff of 0.05. However, given the use of the FDR method, a less conservative cutoff than bonferroni, and using a single step approach, more variants with higher PVE were detected.</w:t>
      </w:r>
    </w:p>
    <w:p>
      <w:pPr>
        <w:pStyle w:val="BodyText"/>
      </w:pPr>
      <w:r>
        <w:t xml:space="preserve">Other significant regions include the marker region JHI_Hv50k_2016_310278- JHI_Hv50k_2016_314246 on 5H associated with PHS and GE, that was not associated with AlaAT as the LD was low(r2=0.1) between the 462656156-486764914 region and the 435636564-448089400 region associated with AlaAT.Potential gene candidates in this region include a GRAM containing/ABA-responsive protein a 1-4-alpha glucan branching, and a root meristem growth factor, all associated with seed germination and strach degredation associated with barley germination. Other regions of interest include Dimeric alpha-amylase inhibitor, mitogen activated protein kinase, beta amalayse and 1,4- alpha glucan branching enzyme located on 2H, a IAA amino acid hydrolase identified on 3H, and QTL associated with diastatic power(QDp.DiMo-4H) and beta glucan(QBgnm.MT2-4H) identified in</w:t>
      </w:r>
      <w:r>
        <w:t xml:space="preserve"> </w:t>
      </w:r>
      <w:r>
        <w:t xml:space="preserve">Mohammadi et al. (</w:t>
      </w:r>
      <w:hyperlink w:anchor="X080e289fd9581d602069bb2b273f4b78c073569">
        <w:r>
          <w:rPr>
            <w:rStyle w:val="Hyperlink"/>
          </w:rPr>
          <w:t xml:space="preserve">2015</w:t>
        </w:r>
      </w:hyperlink>
      <w:r>
        <w:t xml:space="preserve">)</w:t>
      </w:r>
      <w:r>
        <w:t xml:space="preserve"> </w:t>
      </w:r>
      <w:r>
        <w:t xml:space="preserve">. After accounting for LD blocks, gene annotation from barley genome reference version 2 and 3 were gathered into a list of all markers 2 Mb upstream and downstream of either single markers or the minimum and maximum of an LD block using modifications of the GALLO package. Lists assocatied with each markers are documented in supplemental table 3.</w:t>
      </w:r>
    </w:p>
    <w:bookmarkEnd w:id="48"/>
    <w:bookmarkEnd w:id="49"/>
    <w:bookmarkEnd w:id="50"/>
    <w:bookmarkStart w:id="62" w:name="dicussion"/>
    <w:p>
      <w:pPr>
        <w:pStyle w:val="Heading1"/>
      </w:pPr>
      <w:r>
        <w:t xml:space="preserve">Dicussion</w:t>
      </w:r>
    </w:p>
    <w:bookmarkStart w:id="51" w:name="dicussion-phenotype-distributions"/>
    <w:p>
      <w:pPr>
        <w:pStyle w:val="Heading2"/>
      </w:pPr>
      <w:r>
        <w:t xml:space="preserve">Dicussion Phenotype distributions</w:t>
      </w:r>
    </w:p>
    <w:p>
      <w:pPr>
        <w:pStyle w:val="FirstParagraph"/>
      </w:pPr>
      <w:r>
        <w:t xml:space="preserve">Efforts to identify sources of PHS resistance that do not compromise malting quality has been a key target in malting barley breeding, particularly in regions where there is a high chance for rain events at harvest. Numerous barley mapping studies have identified dormancy loci such as SD1 and SD2 on 5H and SD3 on 7H, but few have evaluated dormancy loss with extensive germination assays in a winter malting barley breeding population. We found that the SD1 locus contributed to significant difference in rate dormancy loss over time in winter malting barley from 5 days to 152 days after physiological maturity. In addtion to the SD1, we found numerous other regions of low to moderate effect associated with dormancy loss, including markers associated with alpha-amylase inhibitors and beta amylase glucan branching enzymes on 2H, a marker two regions for Beta glucan and Diastatic power on 4H, and SD3 on 7H</w:t>
      </w:r>
      <w:r>
        <w:t xml:space="preserve"> </w:t>
      </w:r>
      <w:r>
        <w:t xml:space="preserve">Romagosa et al. (</w:t>
      </w:r>
      <w:hyperlink w:anchor="ref-romagosaIndividualLocusEffects1999">
        <w:r>
          <w:rPr>
            <w:rStyle w:val="Hyperlink"/>
          </w:rPr>
          <w:t xml:space="preserve">1999</w:t>
        </w:r>
      </w:hyperlink>
      <w:r>
        <w:t xml:space="preserve">)</w:t>
      </w:r>
      <w:r>
        <w:t xml:space="preserve">. Identifying multiple regions associated with dormancy loss provides breeders with a greater ability to select for a desired balance of seed dormancy in target environments</w:t>
      </w:r>
    </w:p>
    <w:p>
      <w:pPr>
        <w:pStyle w:val="BodyText"/>
      </w:pPr>
      <w:r>
        <w:t xml:space="preserve">Observed preharvest sprouting was low in the WMB DH population. Preharvest scoring overlaps at the same post PM range as first timepoint observed in dormancy assays as phs samples are harvested at physiological maturity, after ripened for 4 days and scored 3 days after misting, equivalent to PM 4 when given misting conditions and PM 7 when scored. Despite similar physiological states, the phenotypic correlation of PHS and GE and GI at early timepoints was low. This is most likely due to the the high dormancy observed in 2021 both with PHS and seed dormancy as well as sampling error.</w:t>
      </w:r>
    </w:p>
    <w:p>
      <w:pPr>
        <w:pStyle w:val="BodyText"/>
      </w:pPr>
      <w:r>
        <w:t xml:space="preserve">Seed dormancy variation was significant in the WMB barley population. In 2020, mean seed dormancy loss occured between timepoints</w:t>
      </w:r>
      <w:r>
        <w:t xml:space="preserve"> </w:t>
      </w:r>
      <m:oMath>
        <m:r>
          <m:t>P</m:t>
        </m:r>
        <m:sSub>
          <m:e>
            <m:r>
              <m:t>M</m:t>
            </m:r>
          </m:e>
          <m:sub>
            <m:r>
              <m:t>47</m:t>
            </m:r>
          </m:sub>
        </m:sSub>
      </m:oMath>
      <w:r>
        <w:t xml:space="preserve"> </w:t>
      </w:r>
      <w:r>
        <w:t xml:space="preserve">and</w:t>
      </w:r>
      <w:r>
        <w:t xml:space="preserve"> </w:t>
      </w:r>
      <m:oMath>
        <m:r>
          <m:t>P</m:t>
        </m:r>
        <m:sSub>
          <m:e>
            <m:r>
              <m:t>M</m:t>
            </m:r>
          </m:e>
          <m:sub>
            <m:r>
              <m:t>68</m:t>
            </m:r>
          </m:sub>
        </m:sSub>
      </m:oMath>
      <w:r>
        <w:t xml:space="preserve"> </w:t>
      </w:r>
      <w:r>
        <w:t xml:space="preserve">in 2020 and between timepoints</w:t>
      </w:r>
      <w:r>
        <w:t xml:space="preserve"> </w:t>
      </w:r>
      <m:oMath>
        <m:r>
          <m:t>P</m:t>
        </m:r>
        <m:sSub>
          <m:e>
            <m:r>
              <m:t>M</m:t>
            </m:r>
          </m:e>
          <m:sub>
            <m:r>
              <m:t>68</m:t>
            </m:r>
          </m:sub>
        </m:sSub>
      </m:oMath>
      <w:r>
        <w:t xml:space="preserve"> </w:t>
      </w:r>
      <w:r>
        <w:t xml:space="preserve">and</w:t>
      </w:r>
      <w:r>
        <w:t xml:space="preserve"> </w:t>
      </w:r>
      <m:oMath>
        <m:r>
          <m:t>P</m:t>
        </m:r>
        <m:sSub>
          <m:e>
            <m:r>
              <m:t>M</m:t>
            </m:r>
          </m:e>
          <m:sub>
            <m:r>
              <m:t>96</m:t>
            </m:r>
          </m:sub>
        </m:sSub>
      </m:oMath>
      <w:r>
        <w:t xml:space="preserve"> </w:t>
      </w:r>
      <w:r>
        <w:t xml:space="preserve">in 2021. Genetic variation for GE was initially high in 2020 and signficantly reduced once seed dormancy loss was near complete. Genetic varaition for GE in 2021 increased slightly and decreased once dormancy loss occured, albeit at later timepoints compared to 2020.GI genetic variation for 2020 and 2021 followed similar rates, but mean GI values were higher at earlier timepoints in 2020 to 2021.. Compared to GI of spring malting barley populations, winter malting barleys were observed to have lower 1 day germination values, even after dormancy loss, which is reflected as a penalty in the calculated GI score and high genetic variation at later timepoints. The low phs incidicene, prolonged dormancy and moderate GI values suggests that selection for barley with shorter dormancy times and higher GI should be a priority in winter malting barley</w:t>
      </w:r>
    </w:p>
    <w:p>
      <w:pPr>
        <w:pStyle w:val="BodyText"/>
      </w:pPr>
      <w:r>
        <w:t xml:space="preserve">Genetic correlations between GE, GI and PHS were surprisingly high at early and later timepoints. GWAS analysis results of this region suggest some common MTAs associations between GE, GI and PHS but only at a few specific combinations. AlaAT was found to not be associated with this identified region based on statisical analysis of including AlaAT as an effect in the PHS GWAS model and due to the separate observed LD group identified for AlaAT on 5H (Supplementary Figure 5H LD block). PHS and GI are similar measurements as both observe rate of germination over time, where as GE is a binary observation of seed germination. Marker trait association associated with GE at</w:t>
      </w:r>
      <w:r>
        <w:t xml:space="preserve"> </w:t>
      </w:r>
      <m:oMath>
        <m:r>
          <m:t>P</m:t>
        </m:r>
        <m:sSub>
          <m:e>
            <m:r>
              <m:t>M</m:t>
            </m:r>
          </m:e>
          <m:sub>
            <m:r>
              <m:t>152</m:t>
            </m:r>
          </m:sub>
        </m:sSub>
      </m:oMath>
      <w:r>
        <w:t xml:space="preserve"> </w:t>
      </w:r>
      <w:r>
        <w:t xml:space="preserve">was in low LD compared to surrounding upstream and downstream markers and most likely was associated with a different factor contributing to GE, such as disease.</w:t>
      </w:r>
    </w:p>
    <w:bookmarkEnd w:id="51"/>
    <w:bookmarkStart w:id="52" w:name="statistical-modeling-for-gwas"/>
    <w:p>
      <w:pPr>
        <w:pStyle w:val="Heading2"/>
      </w:pPr>
      <w:r>
        <w:t xml:space="preserve">Statistical modeling for GWAS</w:t>
      </w:r>
    </w:p>
    <w:p>
      <w:pPr>
        <w:pStyle w:val="FirstParagraph"/>
      </w:pPr>
      <w:r>
        <w:t xml:space="preserve">Fitting single step models can reduce the amount of information compared to using linear mixed models in a two stage analysis. Often errors associated with the first step analysis of fixed effect models are different, and unless if accounted for with weights in the second stage, results in a loss of information@mohringComparisonWeightingTwoStage2009. Using random effects in two stage analysis requires that BLUPS be degressed after the first stage, particlarly if genotypes in the population are unbalanced</w:t>
      </w:r>
      <w:r>
        <w:t xml:space="preserve"> </w:t>
      </w:r>
      <w:r>
        <w:t xml:space="preserve">Garrick, Taylor, and Fernando (</w:t>
      </w:r>
      <w:hyperlink w:anchor="X92243c07a006347d94051ae9c641cdbb9c2dd5c">
        <w:r>
          <w:rPr>
            <w:rStyle w:val="Hyperlink"/>
          </w:rPr>
          <w:t xml:space="preserve">2009</w:t>
        </w:r>
      </w:hyperlink>
      <w:r>
        <w:t xml:space="preserve">)</w:t>
      </w:r>
      <w:r>
        <w:t xml:space="preserve">. In many situations, both of these problems are often ignored in when performing two step analysis.</w:t>
      </w:r>
      <w:r>
        <w:t xml:space="preserve"> </w:t>
      </w:r>
      <w:r>
        <w:t xml:space="preserve">Endelman (</w:t>
      </w:r>
      <w:hyperlink w:anchor="ref-endelmanFullyEfficientTwostage2023">
        <w:r>
          <w:rPr>
            <w:rStyle w:val="Hyperlink"/>
          </w:rPr>
          <w:t xml:space="preserve">2023</w:t>
        </w:r>
      </w:hyperlink>
      <w:r>
        <w:t xml:space="preserve">)</w:t>
      </w:r>
      <w:r>
        <w:t xml:space="preserve">.</w:t>
      </w:r>
    </w:p>
    <w:p>
      <w:pPr>
        <w:pStyle w:val="BodyText"/>
      </w:pPr>
      <w:r>
        <w:t xml:space="preserve">Fitting single step models for each timepoint produced challenges however, as some models did not converge for some timepoints. The lack of convergence issues associated with with GE and early and late timepoiints was most likely due low variation of the trait. Other model terms such as Location were significant across many combinations, indicating the potential of either field effects or sampling error within locations. Seed dormancy measurements were most often(but not always) scored by two individuals by scoring one replication each and significant fixed effects of replication most likely indicate differences of scoring by an individual or scoring error. Fixed effect terms such Location:Row most likely correspond to some form of sampling error. Although not presented, Qsd1 was tested as a fixed effect in the various models to determine potential epistatic effects associated with the Qsd1 locus. No novel QTL were identified and QTL that had reduced PEV in timepoints where the AlaAT locus explained the most variance were detected in different timepoint, trait and year combinations.</w:t>
      </w:r>
    </w:p>
    <w:bookmarkEnd w:id="52"/>
    <w:bookmarkStart w:id="61" w:name="mta-associations"/>
    <w:p>
      <w:pPr>
        <w:pStyle w:val="Heading2"/>
      </w:pPr>
      <w:r>
        <w:t xml:space="preserve">MTA associations</w:t>
      </w:r>
    </w:p>
    <w:bookmarkStart w:id="53" w:name="X16694b0e6e200ac38369ac1c0308e4f37dbdf96"/>
    <w:p>
      <w:pPr>
        <w:pStyle w:val="Heading3"/>
      </w:pPr>
      <w:r>
        <w:t xml:space="preserve">Role of HvAlaAT(SD1) in long term seed dormancy</w:t>
      </w:r>
    </w:p>
    <w:p>
      <w:pPr>
        <w:pStyle w:val="FirstParagraph"/>
      </w:pPr>
      <w:r>
        <w:t xml:space="preserve">KASP markers ran on the winter malting barley double haploid population found variation for the Qsd1_5H</w:t>
      </w:r>
    </w:p>
    <w:p>
      <w:pPr>
        <w:pStyle w:val="BodyText"/>
      </w:pPr>
      <w:r>
        <w:t xml:space="preserve">found variation in AlaAT for the parents of the winter malting barley population but monomorphic for the dormant allele of MKK3, suggesting that AlaAT would likely be the largest genetic factor contributing to the rate of seed dormancy loss. The region between 435636564-448089400 on 5H included the KASP marker AlaAT_L214F and 50K snp markers in high ld (r=0.95) with AlaAT. An abscisic aldehyde oxidase 3(HORVU.MOREX.r2.5HG0399320) was also identified in this region.</w:t>
      </w:r>
    </w:p>
    <w:p>
      <w:pPr>
        <w:pStyle w:val="BodyText"/>
      </w:pPr>
      <w:r>
        <w:t xml:space="preserve">The KASP marker for AlaAT and markers in the same LD region as AlaAT explained the highest PVE.</w:t>
      </w:r>
    </w:p>
    <w:p>
      <w:pPr>
        <w:pStyle w:val="BodyText"/>
      </w:pPr>
      <w:r>
        <w:t xml:space="preserve">The locus SD1 was initially discovered as a seed dormancy QTL in barley by</w:t>
      </w:r>
      <w:r>
        <w:t xml:space="preserve"> </w:t>
      </w:r>
      <w:r>
        <w:t xml:space="preserve">Oberthur et al. (</w:t>
      </w:r>
      <w:hyperlink w:anchor="ref-oberthurGeneticAnalysisSeed1995">
        <w:r>
          <w:rPr>
            <w:rStyle w:val="Hyperlink"/>
          </w:rPr>
          <w:t xml:space="preserve">1995</w:t>
        </w:r>
      </w:hyperlink>
      <w:r>
        <w:t xml:space="preserve">)</w:t>
      </w:r>
      <w:r>
        <w:t xml:space="preserve"> </w:t>
      </w:r>
      <w:r>
        <w:t xml:space="preserve">and has since validated by many researchers</w:t>
      </w:r>
      <w:r>
        <w:t xml:space="preserve"> </w:t>
      </w:r>
      <w:r>
        <w:t xml:space="preserve">Romagosa et al. (</w:t>
      </w:r>
      <w:hyperlink w:anchor="ref-romagosaIndividualLocusEffects1999">
        <w:r>
          <w:rPr>
            <w:rStyle w:val="Hyperlink"/>
          </w:rPr>
          <w:t xml:space="preserve">1999</w:t>
        </w:r>
      </w:hyperlink>
      <w:r>
        <w:t xml:space="preserve">)</w:t>
      </w:r>
      <w:r>
        <w:t xml:space="preserve"> </w:t>
      </w:r>
      <w:r>
        <w:t xml:space="preserve">Han et al. (</w:t>
      </w:r>
      <w:hyperlink w:anchor="ref-han1996">
        <w:r>
          <w:rPr>
            <w:rStyle w:val="Hyperlink"/>
          </w:rPr>
          <w:t xml:space="preserve">1996</w:t>
        </w:r>
      </w:hyperlink>
      <w:r>
        <w:t xml:space="preserve">)</w:t>
      </w:r>
      <w:r>
        <w:t xml:space="preserve">, cloned</w:t>
      </w:r>
      <w:r>
        <w:t xml:space="preserve"> </w:t>
      </w:r>
      <w:r>
        <w:t xml:space="preserve">Sato et al. (</w:t>
      </w:r>
      <w:hyperlink w:anchor="Xa619781977bcc33d8759a173a2a841e3d9c5a82">
        <w:r>
          <w:rPr>
            <w:rStyle w:val="Hyperlink"/>
          </w:rPr>
          <w:t xml:space="preserve">2016</w:t>
        </w:r>
      </w:hyperlink>
      <w:r>
        <w:t xml:space="preserve">)</w:t>
      </w:r>
      <w:r>
        <w:t xml:space="preserve"> </w:t>
      </w:r>
      <w:r>
        <w:t xml:space="preserve">and sanger sequenced by</w:t>
      </w:r>
      <w:r>
        <w:t xml:space="preserve"> </w:t>
      </w:r>
      <w:r>
        <w:t xml:space="preserve">Vetch et al. (</w:t>
      </w:r>
      <w:hyperlink w:anchor="ref-vetchMutationsHvMKK3HvAlaAT12020">
        <w:r>
          <w:rPr>
            <w:rStyle w:val="Hyperlink"/>
          </w:rPr>
          <w:t xml:space="preserve">2020</w:t>
        </w:r>
      </w:hyperlink>
      <w:r>
        <w:t xml:space="preserve">)</w:t>
      </w:r>
      <w:r>
        <w:t xml:space="preserve"> </w:t>
      </w:r>
      <w:r>
        <w:t xml:space="preserve">and</w:t>
      </w:r>
      <w:r>
        <w:t xml:space="preserve"> </w:t>
      </w:r>
      <w:r>
        <w:t xml:space="preserve">Sweeney et al. (</w:t>
      </w:r>
      <w:hyperlink w:anchor="ref-sweeneyInteractionsBarleySD12021">
        <w:r>
          <w:rPr>
            <w:rStyle w:val="Hyperlink"/>
          </w:rPr>
          <w:t xml:space="preserve">2021</w:t>
        </w:r>
      </w:hyperlink>
      <w:r>
        <w:t xml:space="preserve">)</w:t>
      </w:r>
      <w:r>
        <w:t xml:space="preserve">. AlaAT has also been a target of CRISPR-Cas9 targeted mutagenesis where targeted mutants showed highly delayed, but not inhibited germination.</w:t>
      </w:r>
      <w:r>
        <w:t xml:space="preserve"> </w:t>
      </w:r>
      <w:r>
        <w:t xml:space="preserve">(</w:t>
      </w:r>
      <w:hyperlink w:anchor="ref-hisano2022">
        <w:r>
          <w:rPr>
            <w:rStyle w:val="Hyperlink"/>
          </w:rPr>
          <w:t xml:space="preserve">Hisano et al. 2022</w:t>
        </w:r>
      </w:hyperlink>
      <w:r>
        <w:t xml:space="preserve">)</w:t>
      </w:r>
      <w:r>
        <w:t xml:space="preserve">.</w:t>
      </w:r>
    </w:p>
    <w:p>
      <w:pPr>
        <w:pStyle w:val="BodyText"/>
      </w:pPr>
      <w:r>
        <w:t xml:space="preserve">Alanine amino transferase played a significant role in dormancy break in our winter malting barley population. Figures 3a-c show germination rate and energy for each family of the population grouped by haplotype for AlaAT over years 2020, 2021, and combined analysis 2020/2021. A check</w:t>
      </w:r>
      <w:r>
        <w:t xml:space="preserve"> </w:t>
      </w:r>
      <w:r>
        <w:t xml:space="preserve">“</w:t>
      </w:r>
      <w:r>
        <w:t xml:space="preserve">family</w:t>
      </w:r>
      <w:r>
        <w:t xml:space="preserve">”</w:t>
      </w:r>
      <w:r>
        <w:t xml:space="preserve"> </w:t>
      </w:r>
      <w:r>
        <w:t xml:space="preserve">was included for comparison to Charles for 2020 and Endeavor for 2021. Parents Scala, SY Tepee and Wintmalt contained the non-dormant AlaAT allele(N) and the common parent DH130910 and Flavia contained the dormant allele(D). In both years, GE showed clear differentiation over time based on AlaAT haplotype, particularly at time point 2(19 days post PM) for 2020 and timepoints 1.5-3.5(19 days post PM through 68 days post PM). GI showed clear differentiation both across timepoints and within timepoints based on the AlaAT haplotype. The differences in GE and GI for both years based on each haplotype demonstrate that AlaAT significantly affects germination rate, energy and subsequently the rate of dormancy breakage. We also observed significant differences between GE and GI depending on the year. In 2020, dormancy break occurred around time point 3(47 days post PM). In 2021, dormancy break was substantially higher and did not occur until timepoints 3.5(68 days post PM) and 4(96 days post PM).</w:t>
      </w:r>
    </w:p>
    <w:bookmarkEnd w:id="53"/>
    <w:bookmarkStart w:id="54" w:name="abi5-and-aba-responsive-protein-on-5h"/>
    <w:p>
      <w:pPr>
        <w:pStyle w:val="Heading3"/>
      </w:pPr>
      <w:r>
        <w:t xml:space="preserve">ABI5 and /ABA-responsive protein on 5H</w:t>
      </w:r>
    </w:p>
    <w:p>
      <w:pPr>
        <w:pStyle w:val="FirstParagraph"/>
      </w:pPr>
      <w:r>
        <w:t xml:space="preserve">Three potential gene candidates were found in the 5H 462656156-486764914 LD region based on gene annotations and previous literature. The first includes gene HORVU.MOREX.r3.5HG0486380 identified as</w:t>
      </w:r>
      <w:r>
        <w:rPr>
          <w:iCs/>
          <w:i/>
        </w:rPr>
        <w:t xml:space="preserve">ABI5(Abscisic Acid INSENSITIVE 5)</w:t>
      </w:r>
      <w:r>
        <w:t xml:space="preserve"> </w:t>
      </w:r>
      <w:r>
        <w:t xml:space="preserve">Seiler et al. (</w:t>
      </w:r>
      <w:hyperlink w:anchor="ref-seilerAbscisicAcidFlux2014">
        <w:r>
          <w:rPr>
            <w:rStyle w:val="Hyperlink"/>
          </w:rPr>
          <w:t xml:space="preserve">2014</w:t>
        </w:r>
      </w:hyperlink>
      <w:r>
        <w:t xml:space="preserve">)</w:t>
      </w:r>
      <w:r>
        <w:t xml:space="preserve"> </w:t>
      </w:r>
      <w:r>
        <w:t xml:space="preserve">Collin et al. (</w:t>
      </w:r>
      <w:hyperlink w:anchor="ref-collinBarleyABI5Abscisic2020">
        <w:r>
          <w:rPr>
            <w:rStyle w:val="Hyperlink"/>
          </w:rPr>
          <w:t xml:space="preserve">2020</w:t>
        </w:r>
      </w:hyperlink>
      <w:r>
        <w:t xml:space="preserve">)</w:t>
      </w:r>
      <w:r>
        <w:t xml:space="preserve"> </w:t>
      </w:r>
      <w:r>
        <w:t xml:space="preserve">in response to drought tolerance and stress. The second includes a includes a GEM GRAM-containing/ABA-responsive protein(HORVU.MOREX.r3.5HG0487770.1)</w:t>
      </w:r>
      <w:r>
        <w:t xml:space="preserve"> </w:t>
      </w:r>
      <w:r>
        <w:t xml:space="preserve">Mauri et al. (</w:t>
      </w:r>
      <w:hyperlink w:anchor="ref-mauriGEMMemberGRAM2016">
        <w:r>
          <w:rPr>
            <w:rStyle w:val="Hyperlink"/>
          </w:rPr>
          <w:t xml:space="preserve">2016</w:t>
        </w:r>
      </w:hyperlink>
      <w:r>
        <w:t xml:space="preserve">)</w:t>
      </w:r>
      <w:r>
        <w:t xml:space="preserve"> </w:t>
      </w:r>
      <w:r>
        <w:t xml:space="preserve">located dowstream of asABI5. They found that that mutant types of the GEM would delay germination .</w:t>
      </w:r>
      <w:r>
        <w:t xml:space="preserve"> </w:t>
      </w:r>
      <w:r>
        <w:t xml:space="preserve">Mauri et al. (</w:t>
      </w:r>
      <w:hyperlink w:anchor="ref-mauriGEMMemberGRAM2016">
        <w:r>
          <w:rPr>
            <w:rStyle w:val="Hyperlink"/>
          </w:rPr>
          <w:t xml:space="preserve">2016</w:t>
        </w:r>
      </w:hyperlink>
      <w:r>
        <w:t xml:space="preserve">)</w:t>
      </w:r>
      <w:r>
        <w:t xml:space="preserve"> </w:t>
      </w:r>
      <w:r>
        <w:t xml:space="preserve">also discovered that 24 hour cold treatment eliminated the effects of GEM, which could explain why the loci was detected in PHS assays at a higher prevalence than GE and GI assays, as PHS samples did not undergo any cold treatment. Increases in potential ABA content in the 2021 year could also prolonged the effect of this gene in</w:t>
      </w:r>
      <w:r>
        <w:t xml:space="preserve"> </w:t>
      </w:r>
      <m:oMath>
        <m:r>
          <m:t>P</m:t>
        </m:r>
        <m:sSub>
          <m:e>
            <m:r>
              <m:t>M</m:t>
            </m:r>
          </m:e>
          <m:sub>
            <m:r>
              <m:t>5</m:t>
            </m:r>
          </m:sub>
        </m:sSub>
      </m:oMath>
      <w:r>
        <w:t xml:space="preserve"> </w:t>
      </w:r>
      <w:r>
        <w:t xml:space="preserve">for GI in 2021. Conditions for grainfill in 2021 were dry up until harvest which could of induced higher ABA assocated with this gene. A third potential gene related to seed germination identified by gene annotation includes a 1,4-alpha-glucan branching enzyme(GlgB(HORVU.MOREX.r3.5HG0488090.1) identified in morex version 3, a key regulator in amylopection degredatio</w:t>
      </w:r>
      <w:r>
        <w:t xml:space="preserve"> </w:t>
      </w:r>
      <w:r>
        <w:t xml:space="preserve">Sun et al. (</w:t>
      </w:r>
      <w:hyperlink w:anchor="ref-sunTwoGenesEncoding1998">
        <w:r>
          <w:rPr>
            <w:rStyle w:val="Hyperlink"/>
          </w:rPr>
          <w:t xml:space="preserve">1998</w:t>
        </w:r>
      </w:hyperlink>
      <w:r>
        <w:t xml:space="preserve">)</w:t>
      </w:r>
      <w:r>
        <w:t xml:space="preserve">,</w:t>
      </w:r>
      <w:r>
        <w:t xml:space="preserve"> </w:t>
      </w:r>
      <w:r>
        <w:t xml:space="preserve">Regina et al. (</w:t>
      </w:r>
      <w:hyperlink w:anchor="ref-reginaControlStarchBranching2010">
        <w:r>
          <w:rPr>
            <w:rStyle w:val="Hyperlink"/>
          </w:rPr>
          <w:t xml:space="preserve">2010</w:t>
        </w:r>
      </w:hyperlink>
      <w:r>
        <w:t xml:space="preserve">)</w:t>
      </w:r>
      <w:r>
        <w:t xml:space="preserve">. Isoamylase HvISA3 (HORVU.MOREX.r2.5HG0404420) of similar function was identified in the same region for morex version 2</w:t>
      </w:r>
      <w:r>
        <w:t xml:space="preserve"> </w:t>
      </w:r>
      <w:r>
        <w:t xml:space="preserve">Shu and Rasmussen (</w:t>
      </w:r>
      <w:hyperlink w:anchor="X0c81dccd21fc9f4b865921f2e03d6f9f74b1470">
        <w:r>
          <w:rPr>
            <w:rStyle w:val="Hyperlink"/>
          </w:rPr>
          <w:t xml:space="preserve">2014</w:t>
        </w:r>
      </w:hyperlink>
      <w:r>
        <w:t xml:space="preserve">)</w:t>
      </w:r>
      <w:r>
        <w:t xml:space="preserve">. 1,4-alpha-glucan branching,a key regulator in amylopection degredatio</w:t>
      </w:r>
      <w:r>
        <w:t xml:space="preserve"> </w:t>
      </w:r>
      <w:r>
        <w:t xml:space="preserve">Sun et al. (</w:t>
      </w:r>
      <w:hyperlink w:anchor="ref-sunTwoGenesEncoding1998">
        <w:r>
          <w:rPr>
            <w:rStyle w:val="Hyperlink"/>
          </w:rPr>
          <w:t xml:space="preserve">1998</w:t>
        </w:r>
      </w:hyperlink>
      <w:r>
        <w:t xml:space="preserve">)</w:t>
      </w:r>
      <w:r>
        <w:t xml:space="preserve">,</w:t>
      </w:r>
      <w:r>
        <w:t xml:space="preserve"> </w:t>
      </w:r>
      <w:r>
        <w:t xml:space="preserve">Regina et al. (</w:t>
      </w:r>
      <w:hyperlink w:anchor="ref-reginaControlStarchBranching2010">
        <w:r>
          <w:rPr>
            <w:rStyle w:val="Hyperlink"/>
          </w:rPr>
          <w:t xml:space="preserve">2010</w:t>
        </w:r>
      </w:hyperlink>
      <w:r>
        <w:t xml:space="preserve">)</w:t>
      </w:r>
      <w:r>
        <w:t xml:space="preserve">. Isoamylases are importanct for starch degredation as they hydrolyze α-(1,6) glycosidic linkages and debranch amylopectin during grain filling</w:t>
      </w:r>
      <w:r>
        <w:t xml:space="preserve"> </w:t>
      </w:r>
      <w:r>
        <w:t xml:space="preserve">Gous and Fox (</w:t>
      </w:r>
      <w:hyperlink w:anchor="ref-gousReviewAmylopectinSynthesis2017">
        <w:r>
          <w:rPr>
            <w:rStyle w:val="Hyperlink"/>
          </w:rPr>
          <w:t xml:space="preserve">2017</w:t>
        </w:r>
      </w:hyperlink>
      <w:r>
        <w:t xml:space="preserve">)</w:t>
      </w:r>
      <w:r>
        <w:t xml:space="preserve">. Starch with higher amylose content is hydrolyzed more slowly by amylolytic enzymes and higher amylose content has been hypothesized to be a contributing factor either grain dormancy or delay in germination rate observed by moderate GI values</w:t>
      </w:r>
    </w:p>
    <w:bookmarkEnd w:id="54"/>
    <w:bookmarkStart w:id="55" w:name="other-potential-associated-markers"/>
    <w:p>
      <w:pPr>
        <w:pStyle w:val="Heading3"/>
      </w:pPr>
      <w:r>
        <w:t xml:space="preserve">Other potential associated markers</w:t>
      </w:r>
    </w:p>
    <w:bookmarkEnd w:id="55"/>
    <w:bookmarkStart w:id="56" w:name="h"/>
    <w:p>
      <w:pPr>
        <w:pStyle w:val="Heading3"/>
      </w:pPr>
      <w:r>
        <w:t xml:space="preserve">2H</w:t>
      </w:r>
    </w:p>
    <w:p>
      <w:pPr>
        <w:pStyle w:val="FirstParagraph"/>
      </w:pPr>
      <w:r>
        <w:t xml:space="preserve">Three potential candidate genes were identified 160022796-469196911 bp region on 2H potenetially related to seed dormancy. The first identifed dimeric alpha-amylase inhibitor</w:t>
      </w:r>
      <w:r>
        <w:t xml:space="preserve"> </w:t>
      </w:r>
      <w:r>
        <w:t xml:space="preserve">(</w:t>
      </w:r>
      <w:hyperlink w:anchor="ref-menaMajorBarleyAllergen1992">
        <w:r>
          <w:rPr>
            <w:rStyle w:val="Hyperlink"/>
          </w:rPr>
          <w:t xml:space="preserve">Mena et al. 1992</w:t>
        </w:r>
      </w:hyperlink>
      <w:r>
        <w:t xml:space="preserve">)</w:t>
      </w:r>
      <w:r>
        <w:t xml:space="preserve"> </w:t>
      </w:r>
      <w:r>
        <w:t xml:space="preserve">(</w:t>
      </w:r>
      <w:r>
        <w:rPr>
          <w:iCs/>
          <w:i/>
        </w:rPr>
        <w:t xml:space="preserve">Bdai-1</w:t>
      </w:r>
      <w:r>
        <w:t xml:space="preserve">)(HORVU.MOREX.r2.2HG0176960) associated with bakers asthma and with foam retention in beer. From a germination perspective, the inhibition of alpha amylase could delay the breakdown of starch and potentially delay germination. The second potential gene of interest includes a mitogen-activated protein kinase, a similar protein structure of MKK3. The third potential gene of 1,4-alpha-glucan-branching enzyme have been described by</w:t>
      </w:r>
      <w:r>
        <w:t xml:space="preserve"> </w:t>
      </w:r>
      <w:r>
        <w:t xml:space="preserve">Regina et al. (</w:t>
      </w:r>
      <w:hyperlink w:anchor="ref-reginaControlStarchBranching2010">
        <w:r>
          <w:rPr>
            <w:rStyle w:val="Hyperlink"/>
          </w:rPr>
          <w:t xml:space="preserve">2010</w:t>
        </w:r>
      </w:hyperlink>
      <w:r>
        <w:t xml:space="preserve">)</w:t>
      </w:r>
    </w:p>
    <w:bookmarkEnd w:id="56"/>
    <w:bookmarkStart w:id="57" w:name="h-1"/>
    <w:p>
      <w:pPr>
        <w:pStyle w:val="Heading3"/>
      </w:pPr>
      <w:r>
        <w:t xml:space="preserve">4H</w:t>
      </w:r>
    </w:p>
    <w:p>
      <w:pPr>
        <w:pStyle w:val="FirstParagraph"/>
      </w:pPr>
      <w:r>
        <w:t xml:space="preserve">On 4H two marker regions were of potential interest for seed dormancy were found. The first region included another alpha amylase inhibitor as well as a QTL identified for protein content QGpc.StMo-4H</w:t>
      </w:r>
      <w:r>
        <w:t xml:space="preserve"> </w:t>
      </w:r>
      <w:r>
        <w:t xml:space="preserve">(</w:t>
      </w:r>
      <w:hyperlink w:anchor="X080e289fd9581d602069bb2b273f4b78c073569">
        <w:r>
          <w:rPr>
            <w:rStyle w:val="Hyperlink"/>
          </w:rPr>
          <w:t xml:space="preserve">Mohammadi et al. 2015</w:t>
        </w:r>
      </w:hyperlink>
      <w:r>
        <w:t xml:space="preserve">)</w:t>
      </w:r>
      <w:r>
        <w:t xml:space="preserve">. The second LD region on 4H located on the far distal end of 4H was identified in numerous trait timepoint combinations. The malting quality QTLs QDp.DiMo-4H(Diastatic Power) and QBgnm.MT2-4H(Beta Glucan) Higher diastatic power could result in faster degredation of starches in the barley grain, resulting in barley grains. Variation in beta glucan content could be an indirect indicator of seed dormancy, as higher beta glucan can indicate that some seed dormancy exists. On 7H marker located near the centromeric regions 14595309-387792817 were identified to have a</w:t>
      </w:r>
      <w:r>
        <w:br/>
      </w:r>
      <w:r>
        <w:t xml:space="preserve">beta-amylase(HORVU.MOREX.r2.7HG0614220), ABA responsive binding factor(HORVU.MOREX.r2.7HG0533970), Glucan endo-1,3-beta-glucosidase(HORVU.MOREX.r2.7HG0535140) and protein(HORVU.MOREX.r2.7HG0535020). The region was also identied as SD3 in</w:t>
      </w:r>
      <w:r>
        <w:t xml:space="preserve"> </w:t>
      </w:r>
      <w:r>
        <w:t xml:space="preserve">Romagosa et al. (</w:t>
      </w:r>
      <w:hyperlink w:anchor="ref-romagosaIndividualLocusEffects1999">
        <w:r>
          <w:rPr>
            <w:rStyle w:val="Hyperlink"/>
          </w:rPr>
          <w:t xml:space="preserve">1999</w:t>
        </w:r>
      </w:hyperlink>
      <w:r>
        <w:t xml:space="preserve">)</w:t>
      </w:r>
    </w:p>
    <w:p>
      <w:pPr>
        <w:pStyle w:val="SourceCode"/>
      </w:pPr>
      <w:r>
        <w:rPr>
          <w:rStyle w:val="VerbatimChar"/>
        </w:rPr>
        <w:t xml:space="preserve">[1] "C:/Users/kars8/git/BarleyGermination-KK/ms"</w:t>
      </w:r>
    </w:p>
    <w:p>
      <w:pPr>
        <w:pStyle w:val="SourceCode"/>
      </w:pPr>
      <w:r>
        <w:rPr>
          <w:rStyle w:val="VerbatimChar"/>
        </w:rPr>
        <w:t xml:space="preserve">[1] 56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
        <w:gridCol w:w="144"/>
        <w:gridCol w:w="144"/>
        <w:gridCol w:w="144"/>
        <w:gridCol w:w="144"/>
        <w:gridCol w:w="144"/>
        <w:gridCol w:w="144"/>
        <w:gridCol w:w="144"/>
        <w:gridCol w:w="144"/>
        <w:gridCol w:w="144"/>
        <w:gridCol w:w="144"/>
      </w:tblGrid>
      <w:tr>
        <w:trPr>
          <w:trHeight w:val="144"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Position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cm_range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Timepoints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trait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MAF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PVE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Gene_candidate</w:t>
            </w:r>
          </w:p>
        </w:tc>
      </w:tr>
      <w:tr>
        <w:trPr>
          <w:trHeight w:val="144"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JHI_Hv50k_2016_14932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17847065-17847065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30.2734375-30.2734375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11.739-16.013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SCRI_RS_154140, SCRI_RS_135092, JHI_Hv50k_2016_38954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469434018-470037309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67.578125-67.578125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0.464-0.468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18.224-21.567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JHI_Hv50k_2016_55371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515345160-515345160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JHI_Hv50k_2016_64721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9741175-9741175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0.411-0.414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9.588-18.699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protein kinase family protein(HORVU.MOREX.r3.2HG0098680.1)</w:t>
            </w:r>
          </w:p>
        </w:tc>
      </w:tr>
      <w:tr>
        <w:trPr>
          <w:trHeight w:val="144"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JHI_Hv50k_2016_75388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29443758-29443758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34.765625-34.765625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JHI_Hv50k_2016_75392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29444702-29444702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SCRI_RS_140819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29447608-29447608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34.765625-34.765625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JHI_Hv50k_2016_75638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30726173-30726173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37.109375-37.109375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JHI_Hv50k_2016_75682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30850871-30850871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37.109375-37.109375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JHI_Hv50k_2016_78167, JHI_Hv50k_2016_78425, JHI_Hv50k_2016_78947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42266412-45212736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3.103-3.674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Anthocyanin 3-O-beta-glucosyltransferase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HORVU.MOREX.r3.2HG0113240.1</w:t>
            </w:r>
          </w:p>
        </w:tc>
      </w:tr>
      <w:tr>
        <w:trPr>
          <w:trHeight w:val="144"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SCRI_RS_135633, JHI_Hv50k_2016_90999, SCRI_RS_132839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160022796-469196911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 2020/2021, 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0.179-0.339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1.439-26.835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Dimeric alpha-amylase inhibitor(HORVU.MOREX.r2.2HG0176960), mitogen-activated protein kinase 1(HORVU.MOREX.r3.2HG0135700.1),Beta-amylase(HORVU.MOREX.r3.2HG0138420.1),1,4-alpha-glucan-branching enzyme(HORVU.MOREX.r3.2HG0165780.1)</w:t>
            </w:r>
          </w:p>
        </w:tc>
      </w:tr>
      <w:tr>
        <w:trPr>
          <w:trHeight w:val="14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JHI_Hv50k_2016_141424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664208343-664208343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SCRI_RS_154973, JHI_Hv50k_2016_164292, JHI_Hv50k_2016_164365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37347178-38198969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0.314-0.321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13.073-13.646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SCRI_RS_16934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460169870-460169870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49.0234375-49.0234375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6.165-12.478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IAA-amino acid hydrolase ILR1,putative(HORVU.MOREX.r2.3HG0235350)</w:t>
            </w:r>
          </w:p>
        </w:tc>
      </w:tr>
      <w:tr>
        <w:trPr>
          <w:trHeight w:val="144"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JHI_Hv50k_2016_197534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538591368-538591368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66.40625-66.40625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SCRI_RS_198609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538592488-538592488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66.40625-66.40625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JHI_Hv50k_2016_262688, JHI_Hv50k_2016_262688, JHI_Hv50k_2016_262937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588576545-589392408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0.438-0.462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9.935-12.202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Alpha amylase inhibitor protein(HORVU.MOREX.r3.4HG0409620.1).Alpha-1,4-glucan-protein synthase [UDP-forming] 1(HORVU.MOREX.r3.4HG0409970.1), QGpc.StMo-4H(Protein Content)</w:t>
            </w:r>
          </w:p>
        </w:tc>
      </w:tr>
      <w:tr>
        <w:trPr>
          <w:trHeight w:val="14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JHI_Hv50k_2016_275586, JHI_Hv50k_2016_275686, JHI_Hv50k_2016_276209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621542632-623890428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68, 152, 47, 12, 19, 33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 GI0, 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 2020/2021,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0.466-0.487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4.873-11.893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QDp.DiMo-4H(Diastatic Power)/QBgnm.MT2-4H(Beta Glucan)</w:t>
            </w:r>
          </w:p>
        </w:tc>
      </w:tr>
      <w:tr>
        <w:trPr>
          <w:trHeight w:val="144"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JHI_Hv50k_2016_282096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10610153-10610153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0.116-0.117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6.723-16.454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JHI_Hv50k_2016_282745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11905816-11905816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35.546875-35.546875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2.45-8.109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JHI_Hv50k_2016_282781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11975993-11975993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0.096-0.097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2.45-8.109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Aminotransferase-like, plant mobile domain-containing protein(HORVU.MOREX.r3.5HG0425960.1)</w:t>
            </w:r>
          </w:p>
        </w:tc>
      </w:tr>
      <w:tr>
        <w:trPr>
          <w:trHeight w:val="14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JHI_Hv50k_2016_282768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11978422-11978422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2.45-8.109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Aminotransferase-like, plant mobile domain-containing protein(HORVU.MOREX.r3.5HG0425960.1)</w:t>
            </w:r>
          </w:p>
        </w:tc>
      </w:tr>
      <w:tr>
        <w:trPr>
          <w:trHeight w:val="144"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JHI_Hv50k_2016_283159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14264799-14264799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0.096-0.097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2.45-8.109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Aminotransferase-like, plant mobile domain-containing protein(HORVU.MOREX.r3.5HG0425960.1)</w:t>
            </w:r>
          </w:p>
        </w:tc>
      </w:tr>
      <w:tr>
        <w:trPr>
          <w:trHeight w:val="14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SCRI_RS_136706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14267092-14267092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2.45-8.109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Aminotransferase-like, plant mobile domain-containing protein(HORVU.MOREX.r3.5HG0425960.1)</w:t>
            </w:r>
          </w:p>
        </w:tc>
      </w:tr>
      <w:tr>
        <w:trPr>
          <w:trHeight w:val="144"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JHI_Hv50k_2016_283231, SCRI_RS_144042, JHI_Hv50k_2016_283898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14268330-16611284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JHI_Hv50k_2016_283903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16611510-16611510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2.45-8.109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JHI_Hv50k_2016_283960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16616554-16616554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JHI_Hv50k_2016_285061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20461364-20461364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42.1875-42.1875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AlaAT_L214F, JHI_Hv50k_2016_308790, JHI_Hv50k_2016_308899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435636564-448089400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19, 47, 152, 33, 96, 12, 68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 GI, GI0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 2020/2021, 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0.26-0.355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2.637-38.211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HvAlaAT-Aminotransferase(HORVU.MOREX.r3.5HG0481320.1), abscisic aldehyde oxidase 3(HORVU.MOREX.r2.5HG0399320)</w:t>
            </w:r>
          </w:p>
        </w:tc>
      </w:tr>
      <w:tr>
        <w:trPr>
          <w:trHeight w:val="14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JHI_Hv50k_2016_310278, JHI_Hv50k_2016_312229, JHI_Hv50k_2016_314246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462656156-486764914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 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4.27-10.666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GRAM-containing/ABA-responsive protein(HORVU.MOREX.r3.5HG0487770.1), 1,4-alpha-glucan branching enzymeGlgB(HORVU.MOREX.r3.5HG0488090.1),root meristem growth factor(HORVU.MOREX.r3.5HG0486840.1),ABI5(Abscisic Acid INSENSITIVE 5)HORVU.MOREX.r3.5HG048638</w:t>
            </w:r>
          </w:p>
        </w:tc>
      </w:tr>
      <w:tr>
        <w:trPr>
          <w:trHeight w:val="144"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JHI_Hv50k_2016_311161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470081584-470081584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root meristem growth factor(HORVU.MOREX.r2.5HG0403260</w:t>
            </w:r>
          </w:p>
        </w:tc>
      </w:tr>
      <w:tr>
        <w:trPr>
          <w:trHeight w:val="14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JHI_Hv50k_2016_311178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470514378-470514378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BOPA1_9745_628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470515911-470515911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JHI_Hv50k_2016_314183, JHI_Hv50k_2016_314454, JHI_Hv50k_2016_316395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487301428-493098639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8.571-8.727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JHI_Hv50k_2016_314406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487385179-487385179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JHI_Hv50k_2016_316548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493263818-493263818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JHI_Hv50k_2016_316773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493655229-493655229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JHI_Hv50k_2016_316782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493829359-493829359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body39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JHI_Hv50k_2016_316787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493829674-493829674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JHI_Hv50k_2016_316813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494501277-494501277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body41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JHI_Hv50k_2016_316827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494670778-494670778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JHI_Hv50k_2016_316829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494816728-494816728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body43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JHI_Hv50k_2016_316831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494930369-494930369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JHI_Hv50k_2016_323644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515247093-515247093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body45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JHI_Hv50k_2016_323633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515253612-515253612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JHI_Hv50k_2016_372982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9705929-9705929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body47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JHI_Hv50k_2016_372969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9708942-9708942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BOPA1_5993_2383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9712203-9712203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body49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JHI_Hv50k_2016_372953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9712458-9712458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JHI_Hv50k_2016_372995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10297132-10297132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body51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JHI_Hv50k_2016_373096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10463350-10463350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JHI_Hv50k_2016_450348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14595309-14595309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beta-amylase(HORVU.MOREX.r2.7HG0614220)/ABA responsive binding factor(HORVU.MOREX.r2.7HG0533970)/ Glucan endo-1,3-beta-glucosidase,putative(HORVU.MOREX.r2.7HG0535140)/ Seed maturation protein(HORVU.MOREX.r2.7HG0535020)</w:t>
            </w:r>
          </w:p>
        </w:tc>
      </w:tr>
      <w:tr>
        <w:trPr>
          <w:trHeight w:val="144" w:hRule="auto"/>
        </w:trPr>
        body53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JHI_Hv50k_2016_483509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387792817-387792817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57.421875-57.421875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beta-amylase(HORVU.MOREX.r2.7HG0614220)/ABA responsive binding factor(HORVU.MOREX.r2.7HG0533970)/ Glucan endo-1,3-beta-glucosidase,putative(HORVU.MOREX.r2.7HG0535140)/ Seed maturation protein(HORVU.MOREX.r2.7HG0535020)</w:t>
            </w:r>
          </w:p>
        </w:tc>
      </w:tr>
      <w:tr>
        <w:trPr>
          <w:trHeight w:val="144"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JHI_Hv50k_2016_486280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429860543-429860543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57.421875-57.421875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Endoglucanase(HORVU.MOREX.r2.7HG0584740)</w:t>
            </w:r>
          </w:p>
        </w:tc>
      </w:tr>
      <w:tr>
        <w:trPr>
          <w:trHeight w:val="144" w:hRule="auto"/>
        </w:trPr>
        body55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JHI_Hv50k_2016_498356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589591547-589591547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144"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JHI_Hv50k_2016_507218, JHI_Hv50k_2016_507370, JHI_Hv50k_2016_508103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610941346-613874053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5.446-13.965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 glucosidase 17(HORVU.MOREX.r2.7HG0609800)</w:t>
            </w:r>
          </w:p>
        </w:tc>
      </w:tr>
    </w:tbl>
    <w:p>
      <w:pPr>
        <w:pStyle w:val="FirstParagraph"/>
      </w:pPr>
      <w:r>
        <w:t xml:space="preserve">The observed dormancy for most non dormant haplotypes at earlier post physiological maturity (PM) days is encouraging for balancing the selection of high germination rate and maintaining initial seed dormancy for PHS. If we assume that a malster, at the earliest, would start malting barley approximately 47 days after harvest from the field, we will want to select lines that maintain dormancy until 50-60 days post PM. Most non-dormant AlaAT haplotypes fit this profile for the 2020 and 2021 crop year. However, given the substantial dormancy we observed in 2021, we must be careful in considering how it relates to our PHS values observed for that same year. PHS will need to be tested in multiple years where conditions would develop less dormant barley. If we continue to have low PHS mean and variation across multiple years with potentially differing levels of dormancy per year, we can then focus the selection pressure to increase germination rate with less concern of reducing our PHS resistance for the given AlaAT haplotypes.</w:t>
      </w:r>
    </w:p>
    <w:bookmarkEnd w:id="57"/>
    <w:bookmarkStart w:id="58" w:name="seed-dormancy-by-year"/>
    <w:p>
      <w:pPr>
        <w:pStyle w:val="Heading3"/>
      </w:pPr>
      <w:r>
        <w:t xml:space="preserve">Seed dormancy by year</w:t>
      </w:r>
    </w:p>
    <w:bookmarkEnd w:id="58"/>
    <w:bookmarkStart w:id="59" w:name="selection-of-seed-dormancy"/>
    <w:p>
      <w:pPr>
        <w:pStyle w:val="Heading3"/>
      </w:pPr>
      <w:r>
        <w:t xml:space="preserve">Selection of seed dormancy</w:t>
      </w:r>
    </w:p>
    <w:p>
      <w:pPr>
        <w:pStyle w:val="FirstParagraph"/>
      </w:pPr>
      <w:r>
        <w:t xml:space="preserve">Barley with reduced dormancy is a pre requiste for malt quality but is not necessarily correlated trait by genetic linakge if some time for storage is allowed. Given the characterization of seed dormancy loss overtime presented there are many lines with high PHS resistance and short dormancy periods that could be suited for malting quality. Typically, malt that is stored after harvest is stored for at least 30-60 days after harvest.</w:t>
      </w:r>
    </w:p>
    <w:p>
      <w:pPr>
        <w:pStyle w:val="BodyText"/>
      </w:pPr>
      <w:r>
        <w:t xml:space="preserve">Potential areas of improvement for seed germination include improvement of GI once there is complete dormancy loss. Many lines observed in this population reached peak GI of 5.5 compared to Charles, Endeavor and KWS Scala GI values in the ranges of 7 to 9. Initial germination delay could be caused by a number of previously described genes. ABA</w:t>
      </w:r>
    </w:p>
    <w:bookmarkEnd w:id="59"/>
    <w:bookmarkStart w:id="60" w:name="how-can-germination-assays-be-improved"/>
    <w:p>
      <w:pPr>
        <w:pStyle w:val="Heading3"/>
      </w:pPr>
      <w:r>
        <w:t xml:space="preserve">How can germination assays be improved</w:t>
      </w:r>
    </w:p>
    <w:p>
      <w:pPr>
        <w:pStyle w:val="FirstParagraph"/>
      </w:pPr>
      <w:r>
        <w:t xml:space="preserve">Dormancy assays current limited throughput and many considerations were made to balance the statistical power effectiveness and allocation of time to maximize observation of dormancy loss over time. With the advent of imaging technologies, higher throughput methods using image analysis could not only classify germinated kernels to non germination kernels, but also track the vigor of kernels over the course of the germination experiment, as germination vigor is an important factor in malting</w:t>
      </w:r>
    </w:p>
    <w:bookmarkEnd w:id="60"/>
    <w:bookmarkEnd w:id="61"/>
    <w:bookmarkEnd w:id="62"/>
    <w:bookmarkStart w:id="63" w:name="conclusion"/>
    <w:p>
      <w:pPr>
        <w:pStyle w:val="Heading1"/>
      </w:pPr>
      <w:r>
        <w:t xml:space="preserve">Conclusion</w:t>
      </w:r>
    </w:p>
    <w:bookmarkEnd w:id="63"/>
    <w:bookmarkStart w:id="164" w:name="section"/>
    <w:p>
      <w:pPr>
        <w:pStyle w:val="Heading1"/>
      </w:pPr>
    </w:p>
    <w:bookmarkStart w:id="163" w:name="refs"/>
    <w:bookmarkStart w:id="65" w:name="ref-andersonRFLPAnalysisGenomic1993"/>
    <w:p>
      <w:pPr>
        <w:pStyle w:val="Bibliography"/>
      </w:pPr>
      <w:r>
        <w:t xml:space="preserve">Anderson, James A., Mark E. Sorrells, and Steven D. Tanksley. 1993.</w:t>
      </w:r>
      <w:r>
        <w:t xml:space="preserve"> </w:t>
      </w:r>
      <w:r>
        <w:t xml:space="preserve">“RFLP Analysis of Genomic Regions Associated with Resistance to Preharvest Sprouting in Wheat.”</w:t>
      </w:r>
      <w:r>
        <w:t xml:space="preserve"> </w:t>
      </w:r>
      <w:r>
        <w:rPr>
          <w:iCs/>
          <w:i/>
        </w:rPr>
        <w:t xml:space="preserve">Crop Science</w:t>
      </w:r>
      <w:r>
        <w:t xml:space="preserve"> </w:t>
      </w:r>
      <w:r>
        <w:t xml:space="preserve">33 (3): cropsci1993.0011183X003300030008x.</w:t>
      </w:r>
      <w:r>
        <w:t xml:space="preserve"> </w:t>
      </w:r>
      <w:hyperlink r:id="rId64">
        <w:r>
          <w:rPr>
            <w:rStyle w:val="Hyperlink"/>
          </w:rPr>
          <w:t xml:space="preserve">https://doi.org/10.2135/cropsci1993.0011183X003300030008x</w:t>
        </w:r>
      </w:hyperlink>
      <w:r>
        <w:t xml:space="preserve">.</w:t>
      </w:r>
    </w:p>
    <w:bookmarkEnd w:id="65"/>
    <w:bookmarkStart w:id="67" w:name="ref-bayerDevelopmentEvaluationBarley2017"/>
    <w:p>
      <w:pPr>
        <w:pStyle w:val="Bibliography"/>
      </w:pPr>
      <w:r>
        <w:t xml:space="preserve">Bayer, Micha M., Paulo Rapazote-Flores, Martin Ganal, Pete E. Hedley, Malcolm Macaulay, Jörg Plieske, Luke Ramsay, et al. 2017.</w:t>
      </w:r>
      <w:r>
        <w:t xml:space="preserve"> </w:t>
      </w:r>
      <w:r>
        <w:t xml:space="preserve">“Development and Evaluation of a Barley 50k iSelect SNP Array.”</w:t>
      </w:r>
      <w:r>
        <w:t xml:space="preserve"> </w:t>
      </w:r>
      <w:r>
        <w:rPr>
          <w:iCs/>
          <w:i/>
        </w:rPr>
        <w:t xml:space="preserve">Frontiers in Plant Science</w:t>
      </w:r>
      <w:r>
        <w:t xml:space="preserve"> </w:t>
      </w:r>
      <w:r>
        <w:t xml:space="preserve">8.</w:t>
      </w:r>
      <w:r>
        <w:t xml:space="preserve"> </w:t>
      </w:r>
      <w:hyperlink r:id="rId66">
        <w:r>
          <w:rPr>
            <w:rStyle w:val="Hyperlink"/>
          </w:rPr>
          <w:t xml:space="preserve">https://www.frontiersin.org/articles/10.3389/fpls.2017.01792</w:t>
        </w:r>
      </w:hyperlink>
      <w:r>
        <w:t xml:space="preserve">.</w:t>
      </w:r>
    </w:p>
    <w:bookmarkEnd w:id="67"/>
    <w:bookmarkStart w:id="69" w:name="X217593c0e77bf7dc326969337dcb6159ba0b853"/>
    <w:p>
      <w:pPr>
        <w:pStyle w:val="Bibliography"/>
      </w:pPr>
      <w:r>
        <w:t xml:space="preserve">Benech-Arnold, Roberto L., Nicolas Gualano, Juliette Leymarie, Daniel Côme, and Françoise Corbineau. 2006.</w:t>
      </w:r>
      <w:r>
        <w:t xml:space="preserve"> </w:t>
      </w:r>
      <w:r>
        <w:t xml:space="preserve">“Hypoxia Interferes with ABA Metabolism and Increases ABA Sensitivity in Embryos of Dormant Barley Grains.”</w:t>
      </w:r>
      <w:r>
        <w:t xml:space="preserve"> </w:t>
      </w:r>
      <w:r>
        <w:rPr>
          <w:iCs/>
          <w:i/>
        </w:rPr>
        <w:t xml:space="preserve">Journal of Experimental Botany</w:t>
      </w:r>
      <w:r>
        <w:t xml:space="preserve"> </w:t>
      </w:r>
      <w:r>
        <w:t xml:space="preserve">57 (6): 1423–30.</w:t>
      </w:r>
      <w:r>
        <w:t xml:space="preserve"> </w:t>
      </w:r>
      <w:hyperlink r:id="rId68">
        <w:r>
          <w:rPr>
            <w:rStyle w:val="Hyperlink"/>
          </w:rPr>
          <w:t xml:space="preserve">https://doi.org/10.1093/jxb/erj122</w:t>
        </w:r>
      </w:hyperlink>
      <w:r>
        <w:t xml:space="preserve">.</w:t>
      </w:r>
    </w:p>
    <w:bookmarkEnd w:id="69"/>
    <w:bookmarkStart w:id="71" w:name="ref-bewley2013"/>
    <w:p>
      <w:pPr>
        <w:pStyle w:val="Bibliography"/>
      </w:pPr>
      <w:r>
        <w:t xml:space="preserve">Bewley, J. Derek, Kent J. Bradford, Henk W. M. Hilhorst, and Hiro Nonogaki. 2013.</w:t>
      </w:r>
      <w:r>
        <w:t xml:space="preserve"> </w:t>
      </w:r>
      <w:r>
        <w:t xml:space="preserve">“Dormancy and the Control of Germination.”</w:t>
      </w:r>
      <w:r>
        <w:t xml:space="preserve"> </w:t>
      </w:r>
      <w:r>
        <w:t xml:space="preserve">In, edited by J. Derek Bewley, Kent J. Bradford, Henk W. M. Hilhorst, and Hiro Nonogaki, 247–97. New York, NY: Springer.</w:t>
      </w:r>
      <w:r>
        <w:t xml:space="preserve"> </w:t>
      </w:r>
      <w:hyperlink r:id="rId70">
        <w:r>
          <w:rPr>
            <w:rStyle w:val="Hyperlink"/>
          </w:rPr>
          <w:t xml:space="preserve">https://doi.org/10.1007/978-1-4614-4693-4_6</w:t>
        </w:r>
      </w:hyperlink>
      <w:r>
        <w:t xml:space="preserve">.</w:t>
      </w:r>
    </w:p>
    <w:bookmarkEnd w:id="71"/>
    <w:bookmarkStart w:id="73" w:name="Xe49deafe0f2bb39033b5ebd9db7f8a7c2a1371e"/>
    <w:p>
      <w:pPr>
        <w:pStyle w:val="Bibliography"/>
      </w:pPr>
      <w:r>
        <w:t xml:space="preserve">Bradford, Kent J. 1995.</w:t>
      </w:r>
      <w:r>
        <w:t xml:space="preserve"> </w:t>
      </w:r>
      <w:r>
        <w:t xml:space="preserve">“Seeds: Physiology of Development and Germination J. D. Bewley and M. Black, Xv + 445 Pp. Second Edition. Plenum Press, New York, London, 1994. ISBN 0-306-44747-9 (Hardbound) 39.50.”</w:t>
      </w:r>
      <w:r>
        <w:t xml:space="preserve"> </w:t>
      </w:r>
      <w:r>
        <w:rPr>
          <w:iCs/>
          <w:i/>
        </w:rPr>
        <w:t xml:space="preserve">Seed Science Research</w:t>
      </w:r>
      <w:r>
        <w:t xml:space="preserve"> </w:t>
      </w:r>
      <w:r>
        <w:t xml:space="preserve">5 (2): 127–28.</w:t>
      </w:r>
      <w:r>
        <w:t xml:space="preserve"> </w:t>
      </w:r>
      <w:hyperlink r:id="rId72">
        <w:r>
          <w:rPr>
            <w:rStyle w:val="Hyperlink"/>
          </w:rPr>
          <w:t xml:space="preserve">https://doi.org/10.1017/S0960258500002713</w:t>
        </w:r>
      </w:hyperlink>
      <w:r>
        <w:t xml:space="preserve">.</w:t>
      </w:r>
    </w:p>
    <w:bookmarkEnd w:id="73"/>
    <w:bookmarkStart w:id="75" w:name="ref-cistueBarleyAntherCulture2003"/>
    <w:p>
      <w:pPr>
        <w:pStyle w:val="Bibliography"/>
      </w:pPr>
      <w:r>
        <w:t xml:space="preserve">Cistué, L., M. P. Vallés, B. Echávarri, J. M. Sanz, and A. Castillo. 2003.</w:t>
      </w:r>
      <w:r>
        <w:t xml:space="preserve"> </w:t>
      </w:r>
      <w:r>
        <w:t xml:space="preserve">“Barley Anther Culture.”</w:t>
      </w:r>
      <w:r>
        <w:t xml:space="preserve"> </w:t>
      </w:r>
      <w:r>
        <w:t xml:space="preserve">In, edited by M. Maluszynski, K. J. Kasha, B. P. Forster, and I. Szarejko, 29–34. Dordrecht: Springer Netherlands.</w:t>
      </w:r>
      <w:r>
        <w:t xml:space="preserve"> </w:t>
      </w:r>
      <w:hyperlink r:id="rId74">
        <w:r>
          <w:rPr>
            <w:rStyle w:val="Hyperlink"/>
          </w:rPr>
          <w:t xml:space="preserve">https://doi.org/10.1007/978-94-017-1293-4_5</w:t>
        </w:r>
      </w:hyperlink>
      <w:r>
        <w:t xml:space="preserve">.</w:t>
      </w:r>
    </w:p>
    <w:bookmarkEnd w:id="75"/>
    <w:bookmarkStart w:id="77" w:name="ref-collinBarleyABI5Abscisic2020"/>
    <w:p>
      <w:pPr>
        <w:pStyle w:val="Bibliography"/>
      </w:pPr>
      <w:r>
        <w:t xml:space="preserve">Collin, Anna, Agata Daszkowska-Golec, Marzena Kurowska, and Iwona Szarejko. 2020.</w:t>
      </w:r>
      <w:r>
        <w:t xml:space="preserve"> </w:t>
      </w:r>
      <w:r>
        <w:t xml:space="preserve">“Barley ABI5 (Abscisic Acid INSENSITIVE 5) Is Involved in Abscisic Acid-Dependent Drought Response.”</w:t>
      </w:r>
      <w:r>
        <w:t xml:space="preserve"> </w:t>
      </w:r>
      <w:r>
        <w:rPr>
          <w:iCs/>
          <w:i/>
        </w:rPr>
        <w:t xml:space="preserve">Frontiers in Plant Science</w:t>
      </w:r>
      <w:r>
        <w:t xml:space="preserve"> </w:t>
      </w:r>
      <w:r>
        <w:t xml:space="preserve">11.</w:t>
      </w:r>
      <w:r>
        <w:t xml:space="preserve"> </w:t>
      </w:r>
      <w:hyperlink r:id="rId76">
        <w:r>
          <w:rPr>
            <w:rStyle w:val="Hyperlink"/>
          </w:rPr>
          <w:t xml:space="preserve">https://www.frontiersin.org/articles/10.3389/fpls.2020.01138</w:t>
        </w:r>
      </w:hyperlink>
      <w:r>
        <w:t xml:space="preserve">.</w:t>
      </w:r>
    </w:p>
    <w:bookmarkEnd w:id="77"/>
    <w:bookmarkStart w:id="79" w:name="Xae1ec155daf9e45d97994ff3abfc0314146d93f"/>
    <w:p>
      <w:pPr>
        <w:pStyle w:val="Bibliography"/>
      </w:pPr>
      <w:r>
        <w:t xml:space="preserve">Copeland, Philip J., and R. Kent Crookston. 1985.</w:t>
      </w:r>
      <w:r>
        <w:t xml:space="preserve"> </w:t>
      </w:r>
      <w:r>
        <w:t xml:space="preserve">“Visible Indicators of Phsiological Maturity Barley1.”</w:t>
      </w:r>
      <w:r>
        <w:t xml:space="preserve"> </w:t>
      </w:r>
      <w:r>
        <w:rPr>
          <w:iCs/>
          <w:i/>
        </w:rPr>
        <w:t xml:space="preserve">Crop Science</w:t>
      </w:r>
      <w:r>
        <w:t xml:space="preserve"> </w:t>
      </w:r>
      <w:r>
        <w:t xml:space="preserve">25 (5): cropsci1985.0011183X002500050028x.</w:t>
      </w:r>
      <w:r>
        <w:t xml:space="preserve"> </w:t>
      </w:r>
      <w:hyperlink r:id="rId78">
        <w:r>
          <w:rPr>
            <w:rStyle w:val="Hyperlink"/>
          </w:rPr>
          <w:t xml:space="preserve">https://doi.org/10.2135/cropsci1985.0011183X002500050028x</w:t>
        </w:r>
      </w:hyperlink>
      <w:r>
        <w:t xml:space="preserve">.</w:t>
      </w:r>
    </w:p>
    <w:bookmarkEnd w:id="79"/>
    <w:bookmarkStart w:id="81" w:name="ref-endelmanFullyEfficientTwostage2023"/>
    <w:p>
      <w:pPr>
        <w:pStyle w:val="Bibliography"/>
      </w:pPr>
      <w:r>
        <w:t xml:space="preserve">Endelman, Jeffrey B. 2023.</w:t>
      </w:r>
      <w:r>
        <w:t xml:space="preserve"> </w:t>
      </w:r>
      <w:r>
        <w:t xml:space="preserve">“Fully Efficient, Two-Stage Analysis of Multi-Environment Trials with Directional Dominance and Multi-Trait Genomic Selection.”</w:t>
      </w:r>
      <w:r>
        <w:t xml:space="preserve"> </w:t>
      </w:r>
      <w:r>
        <w:rPr>
          <w:iCs/>
          <w:i/>
        </w:rPr>
        <w:t xml:space="preserve">Theoretical and Applied Genetics</w:t>
      </w:r>
      <w:r>
        <w:t xml:space="preserve"> </w:t>
      </w:r>
      <w:r>
        <w:t xml:space="preserve">136 (4): 65.</w:t>
      </w:r>
      <w:r>
        <w:t xml:space="preserve"> </w:t>
      </w:r>
      <w:hyperlink r:id="rId80">
        <w:r>
          <w:rPr>
            <w:rStyle w:val="Hyperlink"/>
          </w:rPr>
          <w:t xml:space="preserve">https://doi.org/10.1007/s00122-023-04298-x</w:t>
        </w:r>
      </w:hyperlink>
      <w:r>
        <w:t xml:space="preserve">.</w:t>
      </w:r>
    </w:p>
    <w:bookmarkEnd w:id="81"/>
    <w:bookmarkStart w:id="83" w:name="ref-finch-savageSeedDormancyControl2006"/>
    <w:p>
      <w:pPr>
        <w:pStyle w:val="Bibliography"/>
      </w:pPr>
      <w:r>
        <w:t xml:space="preserve">Finch-Savage, William E., and Gerhard Leubner-Metzger. 2006.</w:t>
      </w:r>
      <w:r>
        <w:t xml:space="preserve"> </w:t>
      </w:r>
      <w:r>
        <w:t xml:space="preserve">“Seed Dormancy and the Control of Germination.”</w:t>
      </w:r>
      <w:r>
        <w:t xml:space="preserve"> </w:t>
      </w:r>
      <w:r>
        <w:rPr>
          <w:iCs/>
          <w:i/>
        </w:rPr>
        <w:t xml:space="preserve">New Phytologist</w:t>
      </w:r>
      <w:r>
        <w:t xml:space="preserve"> </w:t>
      </w:r>
      <w:r>
        <w:t xml:space="preserve">171 (3): 501–23.</w:t>
      </w:r>
      <w:r>
        <w:t xml:space="preserve"> </w:t>
      </w:r>
      <w:hyperlink r:id="rId82">
        <w:r>
          <w:rPr>
            <w:rStyle w:val="Hyperlink"/>
          </w:rPr>
          <w:t xml:space="preserve">https://doi.org/10.1111/j.1469-8137.2006.01787.x</w:t>
        </w:r>
      </w:hyperlink>
      <w:r>
        <w:t xml:space="preserve">.</w:t>
      </w:r>
    </w:p>
    <w:bookmarkEnd w:id="83"/>
    <w:bookmarkStart w:id="85" w:name="ref-francakova2012"/>
    <w:p>
      <w:pPr>
        <w:pStyle w:val="Bibliography"/>
      </w:pPr>
      <w:r>
        <w:t xml:space="preserve">Frančáková, Helena, Miriam Líšková, Tatiana Bojňanská, and Ján Mareček. 2012.</w:t>
      </w:r>
      <w:r>
        <w:t xml:space="preserve"> </w:t>
      </w:r>
      <w:r>
        <w:t xml:space="preserve">“Germination Index as an Indicator of Malting Potential.”</w:t>
      </w:r>
      <w:r>
        <w:t xml:space="preserve"> </w:t>
      </w:r>
      <w:r>
        <w:rPr>
          <w:iCs/>
          <w:i/>
        </w:rPr>
        <w:t xml:space="preserve">Czech Journal of Food Sciences</w:t>
      </w:r>
      <w:r>
        <w:t xml:space="preserve"> </w:t>
      </w:r>
      <w:r>
        <w:t xml:space="preserve">30 (4): 377–84.</w:t>
      </w:r>
      <w:r>
        <w:t xml:space="preserve"> </w:t>
      </w:r>
      <w:hyperlink r:id="rId84">
        <w:r>
          <w:rPr>
            <w:rStyle w:val="Hyperlink"/>
          </w:rPr>
          <w:t xml:space="preserve">https://doi.org/10.17221/314/2010-CJFS</w:t>
        </w:r>
      </w:hyperlink>
      <w:r>
        <w:t xml:space="preserve">.</w:t>
      </w:r>
    </w:p>
    <w:bookmarkEnd w:id="85"/>
    <w:bookmarkStart w:id="86" w:name="ref-ASRgwas2022"/>
    <w:p>
      <w:pPr>
        <w:pStyle w:val="Bibliography"/>
      </w:pPr>
      <w:r>
        <w:t xml:space="preserve">Galli, Giovanni, Salvador A. Gezan, Didier A. Murillo, and Darren Murray. 2022.</w:t>
      </w:r>
      <w:r>
        <w:t xml:space="preserve"> </w:t>
      </w:r>
      <w:r>
        <w:rPr>
          <w:iCs/>
          <w:i/>
        </w:rPr>
        <w:t xml:space="preserve">ASRgwas: An r Package to Perform Complex Genome-Wide Association Studied (GWAS)</w:t>
      </w:r>
      <w:r>
        <w:t xml:space="preserve">. Hemel Hempstead, HP1 1ES, UK: VSN International Ltd.</w:t>
      </w:r>
    </w:p>
    <w:bookmarkEnd w:id="86"/>
    <w:bookmarkStart w:id="88" w:name="ref-gaoMolecularDissectionDormancy2003"/>
    <w:p>
      <w:pPr>
        <w:pStyle w:val="Bibliography"/>
      </w:pPr>
      <w:r>
        <w:t xml:space="preserve">Gao, W., J. A. Clancy, F. Han, D. Prada, A. Kleinhofs, and S. E. Ullrich. 2003.</w:t>
      </w:r>
      <w:r>
        <w:t xml:space="preserve"> </w:t>
      </w:r>
      <w:r>
        <w:t xml:space="preserve">“Molecular dissection of a dormancy QTL region near the chromosome 7 (5H) L telomere in barley.”</w:t>
      </w:r>
      <w:r>
        <w:t xml:space="preserve"> </w:t>
      </w:r>
      <w:r>
        <w:rPr>
          <w:iCs/>
          <w:i/>
        </w:rPr>
        <w:t xml:space="preserve">TAG. Theoretical and applied genetics. Theoretische und angewandte Genetik</w:t>
      </w:r>
      <w:r>
        <w:t xml:space="preserve"> </w:t>
      </w:r>
      <w:r>
        <w:t xml:space="preserve">107 (3): 552–59.</w:t>
      </w:r>
      <w:r>
        <w:t xml:space="preserve"> </w:t>
      </w:r>
      <w:hyperlink r:id="rId87">
        <w:r>
          <w:rPr>
            <w:rStyle w:val="Hyperlink"/>
          </w:rPr>
          <w:t xml:space="preserve">https://doi.org/10.1007/s00122-003-1281-5</w:t>
        </w:r>
      </w:hyperlink>
      <w:r>
        <w:t xml:space="preserve">.</w:t>
      </w:r>
    </w:p>
    <w:bookmarkEnd w:id="88"/>
    <w:bookmarkStart w:id="90" w:name="X92243c07a006347d94051ae9c641cdbb9c2dd5c"/>
    <w:p>
      <w:pPr>
        <w:pStyle w:val="Bibliography"/>
      </w:pPr>
      <w:r>
        <w:t xml:space="preserve">Garrick, Dorian J., Jeremy F. Taylor, and Rohan L. Fernando. 2009.</w:t>
      </w:r>
      <w:r>
        <w:t xml:space="preserve"> </w:t>
      </w:r>
      <w:r>
        <w:t xml:space="preserve">“Deregressing Estimated Breeding Values and Weighting Information for Genomic Regression Analyses.”</w:t>
      </w:r>
      <w:r>
        <w:t xml:space="preserve"> </w:t>
      </w:r>
      <w:r>
        <w:rPr>
          <w:iCs/>
          <w:i/>
        </w:rPr>
        <w:t xml:space="preserve">Genetics Selection Evolution</w:t>
      </w:r>
      <w:r>
        <w:t xml:space="preserve"> </w:t>
      </w:r>
      <w:r>
        <w:t xml:space="preserve">41 (1): 55.</w:t>
      </w:r>
      <w:r>
        <w:t xml:space="preserve"> </w:t>
      </w:r>
      <w:hyperlink r:id="rId89">
        <w:r>
          <w:rPr>
            <w:rStyle w:val="Hyperlink"/>
          </w:rPr>
          <w:t xml:space="preserve">https://doi.org/10.1186/1297-9686-41-55</w:t>
        </w:r>
      </w:hyperlink>
      <w:r>
        <w:t xml:space="preserve">.</w:t>
      </w:r>
    </w:p>
    <w:bookmarkEnd w:id="90"/>
    <w:bookmarkStart w:id="92" w:name="Xc886f86a13171cb4eeb304f3ac45b93c587c62b"/>
    <w:p>
      <w:pPr>
        <w:pStyle w:val="Bibliography"/>
      </w:pPr>
      <w:r>
        <w:t xml:space="preserve">Gómez-Cadenas, Aurelio, Steven D. Verhey, Lynn D. Holappa, Qingxi Shen, Tuan-Hua David Ho, and M. K. Walker-Simmons. 1999.</w:t>
      </w:r>
      <w:r>
        <w:t xml:space="preserve"> </w:t>
      </w:r>
      <w:r>
        <w:t xml:space="preserve">“An Abscisic Acid-Induced Protein Kinase, PKABA1, Mediates Abscisic Acid-Suppressed Gene Expression in Barley Aleurone Layers.”</w:t>
      </w:r>
      <w:r>
        <w:t xml:space="preserve"> </w:t>
      </w:r>
      <w:r>
        <w:rPr>
          <w:iCs/>
          <w:i/>
        </w:rPr>
        <w:t xml:space="preserve">Proceedings of the National Academy of Sciences</w:t>
      </w:r>
      <w:r>
        <w:t xml:space="preserve"> </w:t>
      </w:r>
      <w:r>
        <w:t xml:space="preserve">96 (4): 1767–72.</w:t>
      </w:r>
      <w:r>
        <w:t xml:space="preserve"> </w:t>
      </w:r>
      <w:hyperlink r:id="rId91">
        <w:r>
          <w:rPr>
            <w:rStyle w:val="Hyperlink"/>
          </w:rPr>
          <w:t xml:space="preserve">https://doi.org/10.1073/pnas.96.4.1767</w:t>
        </w:r>
      </w:hyperlink>
      <w:r>
        <w:t xml:space="preserve">.</w:t>
      </w:r>
    </w:p>
    <w:bookmarkEnd w:id="92"/>
    <w:bookmarkStart w:id="94" w:name="ref-gongSeedDormancyBarley2014"/>
    <w:p>
      <w:pPr>
        <w:pStyle w:val="Bibliography"/>
      </w:pPr>
      <w:r>
        <w:t xml:space="preserve">Gong, Xue, Chengdao Li, Meixue Zhou, Yumiko Bonnardeaux, and Guijun Yan. 2014.</w:t>
      </w:r>
      <w:r>
        <w:t xml:space="preserve"> </w:t>
      </w:r>
      <w:r>
        <w:t xml:space="preserve">“Seed Dormancy in Barley Is Dictated by Genetics, Environments and Their Interactions.”</w:t>
      </w:r>
      <w:r>
        <w:t xml:space="preserve"> </w:t>
      </w:r>
      <w:r>
        <w:rPr>
          <w:iCs/>
          <w:i/>
        </w:rPr>
        <w:t xml:space="preserve">Euphytica</w:t>
      </w:r>
      <w:r>
        <w:t xml:space="preserve"> </w:t>
      </w:r>
      <w:r>
        <w:t xml:space="preserve">197 (3): 355–68.</w:t>
      </w:r>
      <w:r>
        <w:t xml:space="preserve"> </w:t>
      </w:r>
      <w:hyperlink r:id="rId93">
        <w:r>
          <w:rPr>
            <w:rStyle w:val="Hyperlink"/>
          </w:rPr>
          <w:t xml:space="preserve">https://doi.org/10.1007/s10681-014-1072-x</w:t>
        </w:r>
      </w:hyperlink>
      <w:r>
        <w:t xml:space="preserve">.</w:t>
      </w:r>
    </w:p>
    <w:bookmarkEnd w:id="94"/>
    <w:bookmarkStart w:id="96" w:name="ref-gousReviewAmylopectinSynthesis2017"/>
    <w:p>
      <w:pPr>
        <w:pStyle w:val="Bibliography"/>
      </w:pPr>
      <w:r>
        <w:t xml:space="preserve">Gous, Peter W., and Glen P. Fox. 2017.</w:t>
      </w:r>
      <w:r>
        <w:t xml:space="preserve"> </w:t>
      </w:r>
      <w:r>
        <w:t xml:space="preserve">“Review: Amylopectin Synthesis and Hydrolysis</w:t>
      </w:r>
      <w:r>
        <w:t xml:space="preserve"> </w:t>
      </w:r>
      <w:r>
        <w:t xml:space="preserve"> </w:t>
      </w:r>
      <w:r>
        <w:t xml:space="preserve">Understanding Isoamylase and Limit Dextrinase and Their Impact on Starch Structure on Barley (Hordeum Vulgare) Quality.”</w:t>
      </w:r>
      <w:r>
        <w:t xml:space="preserve"> </w:t>
      </w:r>
      <w:r>
        <w:rPr>
          <w:iCs/>
          <w:i/>
        </w:rPr>
        <w:t xml:space="preserve">Trends in Food Science &amp; Technology</w:t>
      </w:r>
      <w:r>
        <w:t xml:space="preserve"> </w:t>
      </w:r>
      <w:r>
        <w:t xml:space="preserve">62 (April): 23–32.</w:t>
      </w:r>
      <w:r>
        <w:t xml:space="preserve"> </w:t>
      </w:r>
      <w:hyperlink r:id="rId95">
        <w:r>
          <w:rPr>
            <w:rStyle w:val="Hyperlink"/>
          </w:rPr>
          <w:t xml:space="preserve">https://doi.org/10.1016/j.tifs.2016.11.013</w:t>
        </w:r>
      </w:hyperlink>
      <w:r>
        <w:t xml:space="preserve">.</w:t>
      </w:r>
    </w:p>
    <w:bookmarkEnd w:id="96"/>
    <w:bookmarkStart w:id="98" w:name="ref-gubler2005"/>
    <w:p>
      <w:pPr>
        <w:pStyle w:val="Bibliography"/>
      </w:pPr>
      <w:r>
        <w:t xml:space="preserve">Gubler, Frank, Anthony A Millar, and John V Jacobsen. 2005.</w:t>
      </w:r>
      <w:r>
        <w:t xml:space="preserve"> </w:t>
      </w:r>
      <w:r>
        <w:t xml:space="preserve">“Dormancy Release, ABA and Pre-Harvest Sprouting.”</w:t>
      </w:r>
      <w:r>
        <w:t xml:space="preserve"> </w:t>
      </w:r>
      <w:r>
        <w:rPr>
          <w:iCs/>
          <w:i/>
        </w:rPr>
        <w:t xml:space="preserve">Current Opinion in Plant Biology</w:t>
      </w:r>
      <w:r>
        <w:t xml:space="preserve">, Genome studies and molecular genetics / Plant biotechnology, 8 (2): 183–87.</w:t>
      </w:r>
      <w:r>
        <w:t xml:space="preserve"> </w:t>
      </w:r>
      <w:hyperlink r:id="rId97">
        <w:r>
          <w:rPr>
            <w:rStyle w:val="Hyperlink"/>
          </w:rPr>
          <w:t xml:space="preserve">https://doi.org/10.1016/j.pbi.2005.01.011</w:t>
        </w:r>
      </w:hyperlink>
      <w:r>
        <w:t xml:space="preserve">.</w:t>
      </w:r>
    </w:p>
    <w:bookmarkEnd w:id="98"/>
    <w:bookmarkStart w:id="100" w:name="ref-han1996"/>
    <w:p>
      <w:pPr>
        <w:pStyle w:val="Bibliography"/>
      </w:pPr>
      <w:r>
        <w:t xml:space="preserve">Han, F., S. E. Ullrich, J. A. Clancy, V. Jitkov, A. Kilian, and I. Romagosa. 1996.</w:t>
      </w:r>
      <w:r>
        <w:t xml:space="preserve"> </w:t>
      </w:r>
      <w:r>
        <w:t xml:space="preserve">“Verification of Barley Seed Dormancy Loci via Linked Molecular Markers.”</w:t>
      </w:r>
      <w:r>
        <w:t xml:space="preserve"> </w:t>
      </w:r>
      <w:r>
        <w:rPr>
          <w:iCs/>
          <w:i/>
        </w:rPr>
        <w:t xml:space="preserve">Theoretical and Applied Genetics</w:t>
      </w:r>
      <w:r>
        <w:t xml:space="preserve"> </w:t>
      </w:r>
      <w:r>
        <w:t xml:space="preserve">92 (1): 87–91.</w:t>
      </w:r>
      <w:r>
        <w:t xml:space="preserve"> </w:t>
      </w:r>
      <w:hyperlink r:id="rId99">
        <w:r>
          <w:rPr>
            <w:rStyle w:val="Hyperlink"/>
          </w:rPr>
          <w:t xml:space="preserve">https://doi.org/10.1007/BF00222956</w:t>
        </w:r>
      </w:hyperlink>
      <w:r>
        <w:t xml:space="preserve">.</w:t>
      </w:r>
    </w:p>
    <w:bookmarkEnd w:id="100"/>
    <w:bookmarkStart w:id="102" w:name="ref-hayesRegistrationLightningBarley2021"/>
    <w:p>
      <w:pPr>
        <w:pStyle w:val="Bibliography"/>
      </w:pPr>
      <w:r>
        <w:t xml:space="preserve">Hayes, P., D. R. Carrijo, T. Filichkin, S. Fisk, L. Helgerson, J. Hernandez, B. Meints, and M. E. Sorrells. 2021.</w:t>
      </w:r>
      <w:r>
        <w:t xml:space="preserve"> </w:t>
      </w:r>
      <w:r>
        <w:t xml:space="preserve">“Registration of</w:t>
      </w:r>
      <w:r>
        <w:t xml:space="preserve"> </w:t>
      </w:r>
      <w:r>
        <w:t xml:space="preserve">‘</w:t>
      </w:r>
      <w:r>
        <w:t xml:space="preserve">Lightning</w:t>
      </w:r>
      <w:r>
        <w:t xml:space="preserve">’</w:t>
      </w:r>
      <w:r>
        <w:t xml:space="preserve"> </w:t>
      </w:r>
      <w:r>
        <w:t xml:space="preserve">Barley.”</w:t>
      </w:r>
      <w:r>
        <w:t xml:space="preserve"> </w:t>
      </w:r>
      <w:r>
        <w:rPr>
          <w:iCs/>
          <w:i/>
        </w:rPr>
        <w:t xml:space="preserve">Journal of Plant Registrations</w:t>
      </w:r>
      <w:r>
        <w:t xml:space="preserve"> </w:t>
      </w:r>
      <w:r>
        <w:t xml:space="preserve">15 (3): 407–14.</w:t>
      </w:r>
      <w:r>
        <w:t xml:space="preserve"> </w:t>
      </w:r>
      <w:hyperlink r:id="rId101">
        <w:r>
          <w:rPr>
            <w:rStyle w:val="Hyperlink"/>
          </w:rPr>
          <w:t xml:space="preserve">https://doi.org/10.1002/plr2.20129</w:t>
        </w:r>
      </w:hyperlink>
      <w:r>
        <w:t xml:space="preserve">.</w:t>
      </w:r>
    </w:p>
    <w:bookmarkEnd w:id="102"/>
    <w:bookmarkStart w:id="104" w:name="ref-hisano2022"/>
    <w:p>
      <w:pPr>
        <w:pStyle w:val="Bibliography"/>
      </w:pPr>
      <w:r>
        <w:t xml:space="preserve">Hisano, Hiroshi, Robert E. Hoffie, Fumitaka Abe, Hiromi Munemori, Takakazu Matsuura, Masaki Endo, Masafumi Mikami, Shingo Nakamura, Jochen Kumlehn, and Kazuhiro Sato. 2022.</w:t>
      </w:r>
      <w:r>
        <w:t xml:space="preserve"> </w:t>
      </w:r>
      <w:r>
        <w:t xml:space="preserve">“Regulation of Germination by Targeted Mutagenesis of Grain Dormancy Genes in Barley.”</w:t>
      </w:r>
      <w:r>
        <w:t xml:space="preserve"> </w:t>
      </w:r>
      <w:r>
        <w:rPr>
          <w:iCs/>
          <w:i/>
        </w:rPr>
        <w:t xml:space="preserve">Plant Biotechnology Journal</w:t>
      </w:r>
      <w:r>
        <w:t xml:space="preserve"> </w:t>
      </w:r>
      <w:r>
        <w:t xml:space="preserve">20 (1): 37–46.</w:t>
      </w:r>
      <w:r>
        <w:t xml:space="preserve"> </w:t>
      </w:r>
      <w:hyperlink r:id="rId103">
        <w:r>
          <w:rPr>
            <w:rStyle w:val="Hyperlink"/>
          </w:rPr>
          <w:t xml:space="preserve">https://doi.org/10.1111/pbi.13692</w:t>
        </w:r>
      </w:hyperlink>
      <w:r>
        <w:t xml:space="preserve">.</w:t>
      </w:r>
    </w:p>
    <w:bookmarkEnd w:id="104"/>
    <w:bookmarkStart w:id="106" w:name="Xab117d8a952fca661189e15a55de9a8d64a2886"/>
    <w:p>
      <w:pPr>
        <w:pStyle w:val="Bibliography"/>
      </w:pPr>
      <w:r>
        <w:t xml:space="preserve">Kuester, H., E. Austin, S. Chan, R. Fasset, B. Sanders, R. Hills, G. Smith, G. Laycock, J. Lowe, and M. Munar. 1997.</w:t>
      </w:r>
      <w:r>
        <w:t xml:space="preserve"> </w:t>
      </w:r>
      <w:r>
        <w:t xml:space="preserve">“Simultaneous Determination of Germination Energy, Water Sensitivity, and Germination Capacity in Barley.”</w:t>
      </w:r>
      <w:r>
        <w:t xml:space="preserve"> </w:t>
      </w:r>
      <w:r>
        <w:rPr>
          <w:iCs/>
          <w:i/>
        </w:rPr>
        <w:t xml:space="preserve">Journal of the American Society of Brewing Chemists</w:t>
      </w:r>
      <w:r>
        <w:t xml:space="preserve"> </w:t>
      </w:r>
      <w:r>
        <w:t xml:space="preserve">55 (4): 179182. https://doi.org/</w:t>
      </w:r>
      <w:hyperlink r:id="rId105">
        <w:r>
          <w:rPr>
            <w:rStyle w:val="Hyperlink"/>
          </w:rPr>
          <w:t xml:space="preserve">https://doi.org/10.1094/ASBCJ-55-0179</w:t>
        </w:r>
      </w:hyperlink>
      <w:r>
        <w:t xml:space="preserve">.</w:t>
      </w:r>
    </w:p>
    <w:bookmarkEnd w:id="106"/>
    <w:bookmarkStart w:id="108" w:name="ref-liMajorQTLControlling2003"/>
    <w:p>
      <w:pPr>
        <w:pStyle w:val="Bibliography"/>
      </w:pPr>
      <w:r>
        <w:t xml:space="preserve">Li, C. D., A. Tarr, R. C. M. Lance, S. Harasymow, J. Uhlmann, S. Westcot, K. J. Young, et al. 2003.</w:t>
      </w:r>
      <w:r>
        <w:t xml:space="preserve"> </w:t>
      </w:r>
      <w:r>
        <w:t xml:space="preserve">“A Major QTL Controlling Seed Dormancy and Pre-Harvest Sprouting/Grain α-Amylase in Two-Rowed Barley (Hordeum Vulgare L.).”</w:t>
      </w:r>
      <w:r>
        <w:t xml:space="preserve"> </w:t>
      </w:r>
      <w:r>
        <w:rPr>
          <w:iCs/>
          <w:i/>
        </w:rPr>
        <w:t xml:space="preserve">Australian Journal of Agricultural Research</w:t>
      </w:r>
      <w:r>
        <w:t xml:space="preserve"> </w:t>
      </w:r>
      <w:r>
        <w:t xml:space="preserve">54 (12): 1303–13.</w:t>
      </w:r>
      <w:r>
        <w:t xml:space="preserve"> </w:t>
      </w:r>
      <w:hyperlink r:id="rId107">
        <w:r>
          <w:rPr>
            <w:rStyle w:val="Hyperlink"/>
          </w:rPr>
          <w:t xml:space="preserve">https://doi.org/10.1071/ar02210</w:t>
        </w:r>
      </w:hyperlink>
      <w:r>
        <w:t xml:space="preserve">.</w:t>
      </w:r>
    </w:p>
    <w:bookmarkEnd w:id="108"/>
    <w:bookmarkStart w:id="110" w:name="ref-linQTLMappingDormancy2009"/>
    <w:p>
      <w:pPr>
        <w:pStyle w:val="Bibliography"/>
      </w:pPr>
      <w:r>
        <w:t xml:space="preserve">Lin, R., R. D. Horsley, N. L. V. Lapitan, Z. Ma, and P. B. Schwarz. 2009.</w:t>
      </w:r>
      <w:r>
        <w:t xml:space="preserve"> </w:t>
      </w:r>
      <w:r>
        <w:t xml:space="preserve">“QTL Mapping of Dormancy in Barley Using the Harrington/Morex and Chevron/Stander Mapping Populations.”</w:t>
      </w:r>
      <w:r>
        <w:t xml:space="preserve"> </w:t>
      </w:r>
      <w:r>
        <w:rPr>
          <w:iCs/>
          <w:i/>
        </w:rPr>
        <w:t xml:space="preserve">Crop Science</w:t>
      </w:r>
      <w:r>
        <w:t xml:space="preserve"> </w:t>
      </w:r>
      <w:r>
        <w:t xml:space="preserve">49 (3): 841–49.</w:t>
      </w:r>
      <w:r>
        <w:t xml:space="preserve"> </w:t>
      </w:r>
      <w:hyperlink r:id="rId109">
        <w:r>
          <w:rPr>
            <w:rStyle w:val="Hyperlink"/>
          </w:rPr>
          <w:t xml:space="preserve">https://doi.org/10.2135/cropsci2008.05.0269</w:t>
        </w:r>
      </w:hyperlink>
      <w:r>
        <w:t xml:space="preserve">.</w:t>
      </w:r>
    </w:p>
    <w:bookmarkEnd w:id="110"/>
    <w:bookmarkStart w:id="112" w:name="ref-mascherLongreadSequenceAssembly2021"/>
    <w:p>
      <w:pPr>
        <w:pStyle w:val="Bibliography"/>
      </w:pPr>
      <w:r>
        <w:t xml:space="preserve">Mascher, Martin, Thomas Wicker, Jerry Jenkins, Christopher Plott, Thomas Lux, Chu Shin Koh, Jennifer Ens, et al. 2021.</w:t>
      </w:r>
      <w:r>
        <w:t xml:space="preserve"> </w:t>
      </w:r>
      <w:r>
        <w:t xml:space="preserve">“Long-Read Sequence Assembly: A Technical Evaluation in Barley.”</w:t>
      </w:r>
      <w:r>
        <w:t xml:space="preserve"> </w:t>
      </w:r>
      <w:r>
        <w:rPr>
          <w:iCs/>
          <w:i/>
        </w:rPr>
        <w:t xml:space="preserve">The Plant Cell</w:t>
      </w:r>
      <w:r>
        <w:t xml:space="preserve"> </w:t>
      </w:r>
      <w:r>
        <w:t xml:space="preserve">33 (6): 1888–1906.</w:t>
      </w:r>
      <w:r>
        <w:t xml:space="preserve"> </w:t>
      </w:r>
      <w:hyperlink r:id="rId111">
        <w:r>
          <w:rPr>
            <w:rStyle w:val="Hyperlink"/>
          </w:rPr>
          <w:t xml:space="preserve">https://doi.org/10.1093/plcell/koab077</w:t>
        </w:r>
      </w:hyperlink>
      <w:r>
        <w:t xml:space="preserve">.</w:t>
      </w:r>
    </w:p>
    <w:bookmarkEnd w:id="112"/>
    <w:bookmarkStart w:id="114" w:name="ref-mauriGEMMemberGRAM2016"/>
    <w:p>
      <w:pPr>
        <w:pStyle w:val="Bibliography"/>
      </w:pPr>
      <w:r>
        <w:t xml:space="preserve">Mauri, Nuria, María Fernández-Marcos, Celina Costas, Bénédicte Desvoyes, Antonio Pichel, Elena Caro, and Crisanto Gutierrez. 2016.</w:t>
      </w:r>
      <w:r>
        <w:t xml:space="preserve"> </w:t>
      </w:r>
      <w:r>
        <w:t xml:space="preserve">“GEM, a Member of the GRAM Domain Family of Proteins, Is Part of the ABA Signaling Pathway.”</w:t>
      </w:r>
      <w:r>
        <w:t xml:space="preserve"> </w:t>
      </w:r>
      <w:r>
        <w:rPr>
          <w:iCs/>
          <w:i/>
        </w:rPr>
        <w:t xml:space="preserve">Scientific Reports</w:t>
      </w:r>
      <w:r>
        <w:t xml:space="preserve"> </w:t>
      </w:r>
      <w:r>
        <w:t xml:space="preserve">6 (March): 22660.</w:t>
      </w:r>
      <w:r>
        <w:t xml:space="preserve"> </w:t>
      </w:r>
      <w:hyperlink r:id="rId113">
        <w:r>
          <w:rPr>
            <w:rStyle w:val="Hyperlink"/>
          </w:rPr>
          <w:t xml:space="preserve">https://doi.org/10.1038/srep22660</w:t>
        </w:r>
      </w:hyperlink>
      <w:r>
        <w:t xml:space="preserve">.</w:t>
      </w:r>
    </w:p>
    <w:bookmarkEnd w:id="114"/>
    <w:bookmarkStart w:id="116" w:name="ref-menaMajorBarleyAllergen1992"/>
    <w:p>
      <w:pPr>
        <w:pStyle w:val="Bibliography"/>
      </w:pPr>
      <w:r>
        <w:t xml:space="preserve">Mena, M., R. Sanchez-Monge, L. Gomez, G. Salcedo, and P. Carbonero. 1992.</w:t>
      </w:r>
      <w:r>
        <w:t xml:space="preserve"> </w:t>
      </w:r>
      <w:r>
        <w:t xml:space="preserve">“A major barley allergen associated with baker’s asthma disease is a glycosylated monomeric inhibitor of insect alpha-amylase: cDNA cloning and chromosomal location of the gene.”</w:t>
      </w:r>
      <w:r>
        <w:t xml:space="preserve"> </w:t>
      </w:r>
      <w:r>
        <w:rPr>
          <w:iCs/>
          <w:i/>
        </w:rPr>
        <w:t xml:space="preserve">Plant Molecular Biology</w:t>
      </w:r>
      <w:r>
        <w:t xml:space="preserve"> </w:t>
      </w:r>
      <w:r>
        <w:t xml:space="preserve">20 (3): 451–58.</w:t>
      </w:r>
      <w:r>
        <w:t xml:space="preserve"> </w:t>
      </w:r>
      <w:hyperlink r:id="rId115">
        <w:r>
          <w:rPr>
            <w:rStyle w:val="Hyperlink"/>
          </w:rPr>
          <w:t xml:space="preserve">https://doi.org/10.1007/BF00040604</w:t>
        </w:r>
      </w:hyperlink>
      <w:r>
        <w:t xml:space="preserve">.</w:t>
      </w:r>
    </w:p>
    <w:bookmarkEnd w:id="116"/>
    <w:bookmarkStart w:id="118" w:name="X080e289fd9581d602069bb2b273f4b78c073569"/>
    <w:p>
      <w:pPr>
        <w:pStyle w:val="Bibliography"/>
      </w:pPr>
      <w:r>
        <w:t xml:space="preserve">Mohammadi, Mohsen, Thomas K. Blake, Allen D. Budde, Shiaoman Chao, Patrick M. Hayes, Richard D. Horsley, Donald E. Obert, Steven E. Ullrich, and Kevin P. Smith. 2015.</w:t>
      </w:r>
      <w:r>
        <w:t xml:space="preserve"> </w:t>
      </w:r>
      <w:r>
        <w:t xml:space="preserve">“A Genome-Wide Association Study of Malting Quality Across Eight U.S. Barley Breeding Programs.”</w:t>
      </w:r>
      <w:r>
        <w:t xml:space="preserve"> </w:t>
      </w:r>
      <w:r>
        <w:rPr>
          <w:iCs/>
          <w:i/>
        </w:rPr>
        <w:t xml:space="preserve">Theoretical and Applied Genetics</w:t>
      </w:r>
      <w:r>
        <w:t xml:space="preserve"> </w:t>
      </w:r>
      <w:r>
        <w:t xml:space="preserve">128 (4): 705–21.</w:t>
      </w:r>
      <w:r>
        <w:t xml:space="preserve"> </w:t>
      </w:r>
      <w:hyperlink r:id="rId117">
        <w:r>
          <w:rPr>
            <w:rStyle w:val="Hyperlink"/>
          </w:rPr>
          <w:t xml:space="preserve">https://doi.org/10.1007/s00122-015-2465-5</w:t>
        </w:r>
      </w:hyperlink>
      <w:r>
        <w:t xml:space="preserve">.</w:t>
      </w:r>
    </w:p>
    <w:bookmarkEnd w:id="118"/>
    <w:bookmarkStart w:id="120" w:name="Xd8872a6267b401567dada093beca241c933a74f"/>
    <w:p>
      <w:pPr>
        <w:pStyle w:val="Bibliography"/>
      </w:pPr>
      <w:r>
        <w:t xml:space="preserve">Möhring, J., and H.-P. Piepho. 2009.</w:t>
      </w:r>
      <w:r>
        <w:t xml:space="preserve"> </w:t>
      </w:r>
      <w:r>
        <w:t xml:space="preserve">“Comparison of Weighting in Two-Stage Analysis of Plant Breeding Trials.”</w:t>
      </w:r>
      <w:r>
        <w:t xml:space="preserve"> </w:t>
      </w:r>
      <w:r>
        <w:rPr>
          <w:iCs/>
          <w:i/>
        </w:rPr>
        <w:t xml:space="preserve">Crop Science</w:t>
      </w:r>
      <w:r>
        <w:t xml:space="preserve"> </w:t>
      </w:r>
      <w:r>
        <w:t xml:space="preserve">49 (6): 1977–88.</w:t>
      </w:r>
      <w:r>
        <w:t xml:space="preserve"> </w:t>
      </w:r>
      <w:hyperlink r:id="rId119">
        <w:r>
          <w:rPr>
            <w:rStyle w:val="Hyperlink"/>
          </w:rPr>
          <w:t xml:space="preserve">https://doi.org/10.2135/cropsci2009.02.0083</w:t>
        </w:r>
      </w:hyperlink>
      <w:r>
        <w:t xml:space="preserve">.</w:t>
      </w:r>
    </w:p>
    <w:bookmarkEnd w:id="120"/>
    <w:bookmarkStart w:id="122" w:name="X14ff13f1d88fe3af8a9e316ac0563d686c41cae"/>
    <w:p>
      <w:pPr>
        <w:pStyle w:val="Bibliography"/>
      </w:pPr>
      <w:r>
        <w:t xml:space="preserve">Monat, Cécile, Sudharsan Padmarasu, Thomas Lux, Thomas Wicker, Heidrun Gundlach, Axel Himmelbach, Jennifer Ens, et al. 2019.</w:t>
      </w:r>
      <w:r>
        <w:t xml:space="preserve"> </w:t>
      </w:r>
      <w:r>
        <w:t xml:space="preserve">“TRITEX: Chromosome-Scale Sequence Assembly of Triticeae Genomes with Open-Source Tools.”</w:t>
      </w:r>
      <w:r>
        <w:t xml:space="preserve"> </w:t>
      </w:r>
      <w:r>
        <w:rPr>
          <w:iCs/>
          <w:i/>
        </w:rPr>
        <w:t xml:space="preserve">Genome Biology</w:t>
      </w:r>
      <w:r>
        <w:t xml:space="preserve"> </w:t>
      </w:r>
      <w:r>
        <w:t xml:space="preserve">20 (1): 284.</w:t>
      </w:r>
      <w:r>
        <w:t xml:space="preserve"> </w:t>
      </w:r>
      <w:hyperlink r:id="rId121">
        <w:r>
          <w:rPr>
            <w:rStyle w:val="Hyperlink"/>
          </w:rPr>
          <w:t xml:space="preserve">https://doi.org/10.1186/s13059-019-1899-5</w:t>
        </w:r>
      </w:hyperlink>
      <w:r>
        <w:t xml:space="preserve">.</w:t>
      </w:r>
    </w:p>
    <w:bookmarkEnd w:id="122"/>
    <w:bookmarkStart w:id="124" w:name="ref-monierRTASSELInterfaceTASSEL2022"/>
    <w:p>
      <w:pPr>
        <w:pStyle w:val="Bibliography"/>
      </w:pPr>
      <w:r>
        <w:t xml:space="preserve">Monier, Brandon, Terry M. Casstevens, Peter J. Bradbury, and Edward S. Buckler. 2022.</w:t>
      </w:r>
      <w:r>
        <w:t xml:space="preserve"> </w:t>
      </w:r>
      <w:r>
        <w:t xml:space="preserve">“rTASSEL: An R Interface to TASSEL for Analyzing Genomic Diversity.”</w:t>
      </w:r>
      <w:r>
        <w:t xml:space="preserve"> </w:t>
      </w:r>
      <w:r>
        <w:rPr>
          <w:iCs/>
          <w:i/>
        </w:rPr>
        <w:t xml:space="preserve">Journal of Open Source Software</w:t>
      </w:r>
      <w:r>
        <w:t xml:space="preserve"> </w:t>
      </w:r>
      <w:r>
        <w:t xml:space="preserve">7 (76): 4530.</w:t>
      </w:r>
      <w:r>
        <w:t xml:space="preserve"> </w:t>
      </w:r>
      <w:hyperlink r:id="rId123">
        <w:r>
          <w:rPr>
            <w:rStyle w:val="Hyperlink"/>
          </w:rPr>
          <w:t xml:space="preserve">https://doi.org/10.21105/joss.04530</w:t>
        </w:r>
      </w:hyperlink>
      <w:r>
        <w:t xml:space="preserve">.</w:t>
      </w:r>
    </w:p>
    <w:bookmarkEnd w:id="124"/>
    <w:bookmarkStart w:id="126" w:name="ref-nagelNovelLociRole2019"/>
    <w:p>
      <w:pPr>
        <w:pStyle w:val="Bibliography"/>
      </w:pPr>
      <w:r>
        <w:t xml:space="preserve">Nagel, Manuela, Ahmad M. Alqudah, Marlène Bailly, Loïc Rajjou, Sibylle Pistrick, Gabriele Matzig, Andreas Börner, and Ilse Kranner. 2019.</w:t>
      </w:r>
      <w:r>
        <w:t xml:space="preserve"> </w:t>
      </w:r>
      <w:r>
        <w:t xml:space="preserve">“Novel Loci and a Role for Nitric Oxide for Seed Dormancy and Preharvest Sprouting in Barley.”</w:t>
      </w:r>
      <w:r>
        <w:t xml:space="preserve"> </w:t>
      </w:r>
      <w:r>
        <w:rPr>
          <w:iCs/>
          <w:i/>
        </w:rPr>
        <w:t xml:space="preserve">Plant, Cell &amp; Environment</w:t>
      </w:r>
      <w:r>
        <w:t xml:space="preserve"> </w:t>
      </w:r>
      <w:r>
        <w:t xml:space="preserve">42 (4): 1318–27.</w:t>
      </w:r>
      <w:r>
        <w:t xml:space="preserve"> </w:t>
      </w:r>
      <w:hyperlink r:id="rId125">
        <w:r>
          <w:rPr>
            <w:rStyle w:val="Hyperlink"/>
          </w:rPr>
          <w:t xml:space="preserve">https://doi.org/10.1111/pce.13483</w:t>
        </w:r>
      </w:hyperlink>
      <w:r>
        <w:t xml:space="preserve">.</w:t>
      </w:r>
    </w:p>
    <w:bookmarkEnd w:id="126"/>
    <w:bookmarkStart w:id="128" w:name="ref-nakamura2016"/>
    <w:p>
      <w:pPr>
        <w:pStyle w:val="Bibliography"/>
      </w:pPr>
      <w:r>
        <w:t xml:space="preserve">Nakamura, Shingo, Mohammad Pourkheirandish, Hiromi Morishige, Yuta Kubo, Masako Nakamura, Kazuya Ichimura, Shigemi Seo, et al. 2016.</w:t>
      </w:r>
      <w:r>
        <w:t xml:space="preserve"> </w:t>
      </w:r>
      <w:r>
        <w:t xml:space="preserve">“Mitogen-Activated Protein Kinase Kinase 3 Regulates Seed Dormancy in Barley.”</w:t>
      </w:r>
      <w:r>
        <w:t xml:space="preserve"> </w:t>
      </w:r>
      <w:r>
        <w:rPr>
          <w:iCs/>
          <w:i/>
        </w:rPr>
        <w:t xml:space="preserve">Current Biology</w:t>
      </w:r>
      <w:r>
        <w:t xml:space="preserve"> </w:t>
      </w:r>
      <w:r>
        <w:t xml:space="preserve">26 (6): 775–81.</w:t>
      </w:r>
      <w:r>
        <w:t xml:space="preserve"> </w:t>
      </w:r>
      <w:hyperlink r:id="rId127">
        <w:r>
          <w:rPr>
            <w:rStyle w:val="Hyperlink"/>
          </w:rPr>
          <w:t xml:space="preserve">https://doi.org/10.1016/j.cub.2016.01.024</w:t>
        </w:r>
      </w:hyperlink>
      <w:r>
        <w:t xml:space="preserve">.</w:t>
      </w:r>
    </w:p>
    <w:bookmarkEnd w:id="128"/>
    <w:bookmarkStart w:id="130" w:name="ref-oberthurGeneticAnalysisSeed1995"/>
    <w:p>
      <w:pPr>
        <w:pStyle w:val="Bibliography"/>
      </w:pPr>
      <w:r>
        <w:t xml:space="preserve">Oberthur, L., Thomas K. Blake, W. R. Dyer, and S. E. Ullrich. 1995.</w:t>
      </w:r>
      <w:r>
        <w:t xml:space="preserve"> </w:t>
      </w:r>
      <w:r>
        <w:t xml:space="preserve">“Genetic Analysis of Seed Dormancy in Barley (Hordeum Vulgare l.).”</w:t>
      </w:r>
      <w:r>
        <w:t xml:space="preserve"> </w:t>
      </w:r>
      <w:hyperlink r:id="rId129">
        <w:r>
          <w:rPr>
            <w:rStyle w:val="Hyperlink"/>
          </w:rPr>
          <w:t xml:space="preserve">https://wheat.pw.usda.gov/jag/papers95/paper495/dormancy.html</w:t>
        </w:r>
      </w:hyperlink>
      <w:r>
        <w:t xml:space="preserve">.</w:t>
      </w:r>
    </w:p>
    <w:bookmarkEnd w:id="130"/>
    <w:bookmarkStart w:id="132" w:name="X7b94c8d9d24d92511a00d56afd2bc4242f4d1d0"/>
    <w:p>
      <w:pPr>
        <w:pStyle w:val="Bibliography"/>
      </w:pPr>
      <w:r>
        <w:t xml:space="preserve">Piskurewicz, Urszula, Yusuke Jikumaru, Natsuko Kinoshita, Eiji Nambara, Yuji Kamiya, and Luis Lopez-Molina. 2008.</w:t>
      </w:r>
      <w:r>
        <w:t xml:space="preserve"> </w:t>
      </w:r>
      <w:r>
        <w:t xml:space="preserve">“The Gibberellic Acid Signaling Repressor RGL2 Inhibits Arabidopsis Seed Germination by Stimulating Abscisic Acid Synthesis and ABI5 Activity.”</w:t>
      </w:r>
      <w:r>
        <w:t xml:space="preserve"> </w:t>
      </w:r>
      <w:r>
        <w:rPr>
          <w:iCs/>
          <w:i/>
        </w:rPr>
        <w:t xml:space="preserve">The Plant Cell</w:t>
      </w:r>
      <w:r>
        <w:t xml:space="preserve"> </w:t>
      </w:r>
      <w:r>
        <w:t xml:space="preserve">20 (10): 2729–45.</w:t>
      </w:r>
      <w:r>
        <w:t xml:space="preserve"> </w:t>
      </w:r>
      <w:hyperlink r:id="rId131">
        <w:r>
          <w:rPr>
            <w:rStyle w:val="Hyperlink"/>
          </w:rPr>
          <w:t xml:space="preserve">https://doi.org/10.1105/tpc.108.061515</w:t>
        </w:r>
      </w:hyperlink>
      <w:r>
        <w:t xml:space="preserve">.</w:t>
      </w:r>
    </w:p>
    <w:bookmarkEnd w:id="132"/>
    <w:bookmarkStart w:id="134" w:name="ref-pricePrincipalComponentsAnalysis2006"/>
    <w:p>
      <w:pPr>
        <w:pStyle w:val="Bibliography"/>
      </w:pPr>
      <w:r>
        <w:t xml:space="preserve">Price, Alkes L., Nick J. Patterson, Robert M. Plenge, Michael E. Weinblatt, Nancy A. Shadick, and David Reich. 2006.</w:t>
      </w:r>
      <w:r>
        <w:t xml:space="preserve"> </w:t>
      </w:r>
      <w:r>
        <w:t xml:space="preserve">“Principal Components Analysis Corrects for Stratification in Genome-Wide Association Studies.”</w:t>
      </w:r>
      <w:r>
        <w:t xml:space="preserve"> </w:t>
      </w:r>
      <w:r>
        <w:rPr>
          <w:iCs/>
          <w:i/>
        </w:rPr>
        <w:t xml:space="preserve">Nature Genetics</w:t>
      </w:r>
      <w:r>
        <w:t xml:space="preserve"> </w:t>
      </w:r>
      <w:r>
        <w:t xml:space="preserve">38 (8): 904–9.</w:t>
      </w:r>
      <w:r>
        <w:t xml:space="preserve"> </w:t>
      </w:r>
      <w:hyperlink r:id="rId133">
        <w:r>
          <w:rPr>
            <w:rStyle w:val="Hyperlink"/>
          </w:rPr>
          <w:t xml:space="preserve">https://doi.org/10.1038/ng1847</w:t>
        </w:r>
      </w:hyperlink>
      <w:r>
        <w:t xml:space="preserve">.</w:t>
      </w:r>
    </w:p>
    <w:bookmarkEnd w:id="134"/>
    <w:bookmarkStart w:id="136" w:name="ref-reginaControlStarchBranching2010"/>
    <w:p>
      <w:pPr>
        <w:pStyle w:val="Bibliography"/>
      </w:pPr>
      <w:r>
        <w:t xml:space="preserve">Regina, Ahmed, Behjat Kosar-Hashemi, Samuel Ling, Zhongyi Li, Sadequr Rahman, and Matthew Morell. 2010.</w:t>
      </w:r>
      <w:r>
        <w:t xml:space="preserve"> </w:t>
      </w:r>
      <w:r>
        <w:t xml:space="preserve">“Control of Starch Branching in Barley Defined Through Differential RNAi Suppression of Starch Branching Enzyme IIa and IIb.”</w:t>
      </w:r>
      <w:r>
        <w:t xml:space="preserve"> </w:t>
      </w:r>
      <w:r>
        <w:rPr>
          <w:iCs/>
          <w:i/>
        </w:rPr>
        <w:t xml:space="preserve">Journal of Experimental Botany</w:t>
      </w:r>
      <w:r>
        <w:t xml:space="preserve"> </w:t>
      </w:r>
      <w:r>
        <w:t xml:space="preserve">61 (5): 1469–82.</w:t>
      </w:r>
      <w:r>
        <w:t xml:space="preserve"> </w:t>
      </w:r>
      <w:hyperlink r:id="rId135">
        <w:r>
          <w:rPr>
            <w:rStyle w:val="Hyperlink"/>
          </w:rPr>
          <w:t xml:space="preserve">https://doi.org/10.1093/jxb/erq011</w:t>
        </w:r>
      </w:hyperlink>
      <w:r>
        <w:t xml:space="preserve">.</w:t>
      </w:r>
    </w:p>
    <w:bookmarkEnd w:id="136"/>
    <w:bookmarkStart w:id="138" w:name="ref-rodriguezDormancyCerealsNot2015"/>
    <w:p>
      <w:pPr>
        <w:pStyle w:val="Bibliography"/>
      </w:pPr>
      <w:r>
        <w:t xml:space="preserve">Rodríguez, María V., José M. Barrero, Francoise Corbineau, Frank Gubler, and Roberto L. Benech-Arnold. 2015.</w:t>
      </w:r>
      <w:r>
        <w:t xml:space="preserve"> </w:t>
      </w:r>
      <w:r>
        <w:t xml:space="preserve">“Dormancy in Cereals (Not Too Much, Not so Little): About the Mechanisms Behind This Trait.”</w:t>
      </w:r>
      <w:r>
        <w:t xml:space="preserve"> </w:t>
      </w:r>
      <w:r>
        <w:rPr>
          <w:iCs/>
          <w:i/>
        </w:rPr>
        <w:t xml:space="preserve">Seed Science Research</w:t>
      </w:r>
      <w:r>
        <w:t xml:space="preserve"> </w:t>
      </w:r>
      <w:r>
        <w:t xml:space="preserve">25 (2): 99–119.</w:t>
      </w:r>
      <w:r>
        <w:t xml:space="preserve"> </w:t>
      </w:r>
      <w:hyperlink r:id="rId137">
        <w:r>
          <w:rPr>
            <w:rStyle w:val="Hyperlink"/>
          </w:rPr>
          <w:t xml:space="preserve">https://doi.org/10.1017/S0960258515000021</w:t>
        </w:r>
      </w:hyperlink>
      <w:r>
        <w:t xml:space="preserve">.</w:t>
      </w:r>
    </w:p>
    <w:bookmarkEnd w:id="138"/>
    <w:bookmarkStart w:id="140" w:name="ref-romagosaIndividualLocusEffects1999"/>
    <w:p>
      <w:pPr>
        <w:pStyle w:val="Bibliography"/>
      </w:pPr>
      <w:r>
        <w:t xml:space="preserve">Romagosa, Ignacio, Feng Han, Janet A. Clancy, and Steven E. Ullrich. 1999.</w:t>
      </w:r>
      <w:r>
        <w:t xml:space="preserve"> </w:t>
      </w:r>
      <w:r>
        <w:t xml:space="preserve">“Individual Locus Effects on Dormancy During Seed Development and After Ripening in Barley.”</w:t>
      </w:r>
      <w:r>
        <w:t xml:space="preserve"> </w:t>
      </w:r>
      <w:r>
        <w:rPr>
          <w:iCs/>
          <w:i/>
        </w:rPr>
        <w:t xml:space="preserve">Crop Science</w:t>
      </w:r>
      <w:r>
        <w:t xml:space="preserve"> </w:t>
      </w:r>
      <w:r>
        <w:t xml:space="preserve">39 (1): cropsci1999.0011183X003900010012x.</w:t>
      </w:r>
      <w:r>
        <w:t xml:space="preserve"> </w:t>
      </w:r>
      <w:hyperlink r:id="rId139">
        <w:r>
          <w:rPr>
            <w:rStyle w:val="Hyperlink"/>
          </w:rPr>
          <w:t xml:space="preserve">https://doi.org/10.2135/cropsci1999.0011183X003900010012x</w:t>
        </w:r>
      </w:hyperlink>
      <w:r>
        <w:t xml:space="preserve">.</w:t>
      </w:r>
    </w:p>
    <w:bookmarkEnd w:id="140"/>
    <w:bookmarkStart w:id="142" w:name="Xa619781977bcc33d8759a173a2a841e3d9c5a82"/>
    <w:p>
      <w:pPr>
        <w:pStyle w:val="Bibliography"/>
      </w:pPr>
      <w:r>
        <w:t xml:space="preserve">Sato, Kazuhiro, Miki Yamane, Nami Yamaji, Hiroyuki Kanamori, Akemi Tagiri, Julian G. Schwerdt, Geoffrey B. Fincher, Takashi Matsumoto, Kazuyoshi Takeda, and Takao Komatsuda. 2016.</w:t>
      </w:r>
      <w:r>
        <w:t xml:space="preserve"> </w:t>
      </w:r>
      <w:r>
        <w:t xml:space="preserve">“Alanine Aminotransferase Controls Seed Dormancy in Barley.”</w:t>
      </w:r>
      <w:r>
        <w:t xml:space="preserve"> </w:t>
      </w:r>
      <w:r>
        <w:rPr>
          <w:iCs/>
          <w:i/>
        </w:rPr>
        <w:t xml:space="preserve">Nature Communications</w:t>
      </w:r>
      <w:r>
        <w:t xml:space="preserve"> </w:t>
      </w:r>
      <w:r>
        <w:t xml:space="preserve">7 (1): 11625.</w:t>
      </w:r>
      <w:r>
        <w:t xml:space="preserve"> </w:t>
      </w:r>
      <w:hyperlink r:id="rId141">
        <w:r>
          <w:rPr>
            <w:rStyle w:val="Hyperlink"/>
          </w:rPr>
          <w:t xml:space="preserve">https://doi.org/10.1038/ncomms11625</w:t>
        </w:r>
      </w:hyperlink>
      <w:r>
        <w:t xml:space="preserve">.</w:t>
      </w:r>
    </w:p>
    <w:bookmarkEnd w:id="142"/>
    <w:bookmarkStart w:id="144" w:name="ref-seilerAbscisicAcidFlux2014"/>
    <w:p>
      <w:pPr>
        <w:pStyle w:val="Bibliography"/>
      </w:pPr>
      <w:r>
        <w:t xml:space="preserve">Seiler, Christiane, Vokkaliga T. Harshavardhan, Palakolanu S. Reddy, Götz Hensel, Jochen Kumlehn, Lennart Eschen-Lippold, Kalladan Rajesh, et al. 2014.</w:t>
      </w:r>
      <w:r>
        <w:t xml:space="preserve"> </w:t>
      </w:r>
      <w:r>
        <w:t xml:space="preserve">“Abscisic Acid Flux Alterations Result in Differential Abscisic Acid Signaling Responses and Impact Assimilation Efficiency in Barley Under Terminal Drought Stress1[c][w][OPEN].”</w:t>
      </w:r>
      <w:r>
        <w:t xml:space="preserve"> </w:t>
      </w:r>
      <w:r>
        <w:rPr>
          <w:iCs/>
          <w:i/>
        </w:rPr>
        <w:t xml:space="preserve">Plant Physiology</w:t>
      </w:r>
      <w:r>
        <w:t xml:space="preserve"> </w:t>
      </w:r>
      <w:r>
        <w:t xml:space="preserve">164 (4): 1677–96.</w:t>
      </w:r>
      <w:r>
        <w:t xml:space="preserve"> </w:t>
      </w:r>
      <w:hyperlink r:id="rId143">
        <w:r>
          <w:rPr>
            <w:rStyle w:val="Hyperlink"/>
          </w:rPr>
          <w:t xml:space="preserve">https://doi.org/10.1104/pp.113.229062</w:t>
        </w:r>
      </w:hyperlink>
      <w:r>
        <w:t xml:space="preserve">.</w:t>
      </w:r>
    </w:p>
    <w:bookmarkEnd w:id="144"/>
    <w:bookmarkStart w:id="146" w:name="X0c81dccd21fc9f4b865921f2e03d6f9f74b1470"/>
    <w:p>
      <w:pPr>
        <w:pStyle w:val="Bibliography"/>
      </w:pPr>
      <w:r>
        <w:t xml:space="preserve">Shu, Xiaoli, and Søren K. Rasmussen. 2014.</w:t>
      </w:r>
      <w:r>
        <w:t xml:space="preserve"> </w:t>
      </w:r>
      <w:r>
        <w:t xml:space="preserve">“Quantification of amylose, amylopectin, and β-glucan in search for genes controlling the three major quality traits in barley by genome-wide association studies.”</w:t>
      </w:r>
      <w:r>
        <w:t xml:space="preserve"> </w:t>
      </w:r>
      <w:r>
        <w:rPr>
          <w:iCs/>
          <w:i/>
        </w:rPr>
        <w:t xml:space="preserve">Frontiers in Plant Science</w:t>
      </w:r>
      <w:r>
        <w:t xml:space="preserve"> </w:t>
      </w:r>
      <w:r>
        <w:t xml:space="preserve">5: 197.</w:t>
      </w:r>
      <w:r>
        <w:t xml:space="preserve"> </w:t>
      </w:r>
      <w:hyperlink r:id="rId145">
        <w:r>
          <w:rPr>
            <w:rStyle w:val="Hyperlink"/>
          </w:rPr>
          <w:t xml:space="preserve">https://doi.org/10.3389/fpls.2014.00197</w:t>
        </w:r>
      </w:hyperlink>
      <w:r>
        <w:t xml:space="preserve">.</w:t>
      </w:r>
    </w:p>
    <w:bookmarkEnd w:id="146"/>
    <w:bookmarkStart w:id="148" w:name="ref-sunTwoGenesEncoding1998"/>
    <w:p>
      <w:pPr>
        <w:pStyle w:val="Bibliography"/>
      </w:pPr>
      <w:r>
        <w:t xml:space="preserve">Sun, C., P. Sathish, S. Ahlandsberg, and C. Jansson. 1998.</w:t>
      </w:r>
      <w:r>
        <w:t xml:space="preserve"> </w:t>
      </w:r>
      <w:r>
        <w:t xml:space="preserve">“The two genes encoding starch-branching enzymes IIa and IIb are differentially expressed in barley.”</w:t>
      </w:r>
      <w:r>
        <w:t xml:space="preserve"> </w:t>
      </w:r>
      <w:r>
        <w:rPr>
          <w:iCs/>
          <w:i/>
        </w:rPr>
        <w:t xml:space="preserve">Plant Physiology</w:t>
      </w:r>
      <w:r>
        <w:t xml:space="preserve"> </w:t>
      </w:r>
      <w:r>
        <w:t xml:space="preserve">118 (1): 37–49.</w:t>
      </w:r>
      <w:r>
        <w:t xml:space="preserve"> </w:t>
      </w:r>
      <w:hyperlink r:id="rId147">
        <w:r>
          <w:rPr>
            <w:rStyle w:val="Hyperlink"/>
          </w:rPr>
          <w:t xml:space="preserve">https://doi.org/10.1104/pp.118.1.37</w:t>
        </w:r>
      </w:hyperlink>
      <w:r>
        <w:t xml:space="preserve">.</w:t>
      </w:r>
    </w:p>
    <w:bookmarkEnd w:id="148"/>
    <w:bookmarkStart w:id="150" w:name="ref-sweeney2021_QTL"/>
    <w:p>
      <w:pPr>
        <w:pStyle w:val="Bibliography"/>
      </w:pPr>
      <w:r>
        <w:t xml:space="preserve">Sweeney, Daniel W., Karl H. Kunze, and Mark E. Sorrells. 2021.</w:t>
      </w:r>
      <w:r>
        <w:t xml:space="preserve"> </w:t>
      </w:r>
      <w:r>
        <w:t xml:space="preserve">“QTL x Environment Modeling of Malting Barley Preharvest Sprouting.”</w:t>
      </w:r>
      <w:r>
        <w:t xml:space="preserve"> </w:t>
      </w:r>
      <w:r>
        <w:rPr>
          <w:iCs/>
          <w:i/>
        </w:rPr>
        <w:t xml:space="preserve">Theoretical and Applied Genetics</w:t>
      </w:r>
      <w:r>
        <w:t xml:space="preserve"> </w:t>
      </w:r>
      <w:r>
        <w:t xml:space="preserve">135 (1): 217–32.</w:t>
      </w:r>
      <w:r>
        <w:t xml:space="preserve"> </w:t>
      </w:r>
      <w:hyperlink r:id="rId149">
        <w:r>
          <w:rPr>
            <w:rStyle w:val="Hyperlink"/>
          </w:rPr>
          <w:t xml:space="preserve">https://doi.org/10.1007/s00122-021-03961-5</w:t>
        </w:r>
      </w:hyperlink>
      <w:r>
        <w:t xml:space="preserve">.</w:t>
      </w:r>
    </w:p>
    <w:bookmarkEnd w:id="150"/>
    <w:bookmarkStart w:id="152" w:name="ref-sweeneyInteractionsBarleySD12021"/>
    <w:p>
      <w:pPr>
        <w:pStyle w:val="Bibliography"/>
      </w:pPr>
      <w:r>
        <w:t xml:space="preserve">Sweeney, Daniel W., Travis E. Rooney, Jason G. Walling, and Mark E. Sorrells. 2021.</w:t>
      </w:r>
      <w:r>
        <w:t xml:space="preserve"> </w:t>
      </w:r>
      <w:r>
        <w:t xml:space="preserve">“Interactions of the Barley SD1 and SD2 Seed Dormancy Loci Influence Preharvest Sprouting, Seed Dormancy, and Malting Quality.”</w:t>
      </w:r>
      <w:r>
        <w:t xml:space="preserve"> </w:t>
      </w:r>
      <w:r>
        <w:rPr>
          <w:iCs/>
          <w:i/>
        </w:rPr>
        <w:t xml:space="preserve">Crop Science</w:t>
      </w:r>
      <w:r>
        <w:t xml:space="preserve"> </w:t>
      </w:r>
      <w:r>
        <w:t xml:space="preserve">62 (1): 120–38.</w:t>
      </w:r>
      <w:r>
        <w:t xml:space="preserve"> </w:t>
      </w:r>
      <w:hyperlink r:id="rId151">
        <w:r>
          <w:rPr>
            <w:rStyle w:val="Hyperlink"/>
          </w:rPr>
          <w:t xml:space="preserve">https://doi.org/10.1002/csc2.20641</w:t>
        </w:r>
      </w:hyperlink>
      <w:r>
        <w:t xml:space="preserve">.</w:t>
      </w:r>
    </w:p>
    <w:bookmarkEnd w:id="152"/>
    <w:bookmarkStart w:id="154" w:name="X3bda0c89b4d6bd8a2ffbac7e8d8f656101f2390"/>
    <w:p>
      <w:pPr>
        <w:pStyle w:val="Bibliography"/>
      </w:pPr>
      <w:r>
        <w:t xml:space="preserve">Ullrich, S. E., H. Lee, J. A. Clancy, I. A. del Blanco, V. A. Jitkov, A. Kleinhofs, F. Han, D. Prada, I. Romagosa, and J. L. Molina-Cano. 2009.</w:t>
      </w:r>
      <w:r>
        <w:t xml:space="preserve"> </w:t>
      </w:r>
      <w:r>
        <w:t xml:space="preserve">“Genetic Relationships Between Preharvest Sprouting and Dormancy in Barley.”</w:t>
      </w:r>
      <w:r>
        <w:t xml:space="preserve"> </w:t>
      </w:r>
      <w:r>
        <w:rPr>
          <w:iCs/>
          <w:i/>
        </w:rPr>
        <w:t xml:space="preserve">Euphytica</w:t>
      </w:r>
      <w:r>
        <w:t xml:space="preserve"> </w:t>
      </w:r>
      <w:r>
        <w:t xml:space="preserve">168 (3): 331–45.</w:t>
      </w:r>
      <w:r>
        <w:t xml:space="preserve"> </w:t>
      </w:r>
      <w:hyperlink r:id="rId153">
        <w:r>
          <w:rPr>
            <w:rStyle w:val="Hyperlink"/>
          </w:rPr>
          <w:t xml:space="preserve">https://doi.org/10.1007/s10681-009-9936-1</w:t>
        </w:r>
      </w:hyperlink>
      <w:r>
        <w:t xml:space="preserve">.</w:t>
      </w:r>
    </w:p>
    <w:bookmarkEnd w:id="154"/>
    <w:bookmarkStart w:id="156" w:name="ref-vetchMutationsHvMKK3HvAlaAT12020"/>
    <w:p>
      <w:pPr>
        <w:pStyle w:val="Bibliography"/>
      </w:pPr>
      <w:r>
        <w:t xml:space="preserve">Vetch, Justin M., Jason G. Walling, Jamie Sherman, John M. Martin, and Michael J. Giroux. 2020.</w:t>
      </w:r>
      <w:r>
        <w:t xml:space="preserve"> </w:t>
      </w:r>
      <w:r>
        <w:t xml:space="preserve">“Mutations in the HvMKK3 and HvAlaAT1 Genes Affect Barley Preharvest Sprouting and After-Ripened Seed Dormancy.”</w:t>
      </w:r>
      <w:r>
        <w:t xml:space="preserve"> </w:t>
      </w:r>
      <w:r>
        <w:rPr>
          <w:iCs/>
          <w:i/>
        </w:rPr>
        <w:t xml:space="preserve">Crop Science</w:t>
      </w:r>
      <w:r>
        <w:t xml:space="preserve"> </w:t>
      </w:r>
      <w:r>
        <w:t xml:space="preserve">60 (4): 1897–1906.</w:t>
      </w:r>
      <w:r>
        <w:t xml:space="preserve"> </w:t>
      </w:r>
      <w:hyperlink r:id="rId155">
        <w:r>
          <w:rPr>
            <w:rStyle w:val="Hyperlink"/>
          </w:rPr>
          <w:t xml:space="preserve">https://doi.org/10.1002/csc2.20178</w:t>
        </w:r>
      </w:hyperlink>
      <w:r>
        <w:t xml:space="preserve">.</w:t>
      </w:r>
    </w:p>
    <w:bookmarkEnd w:id="156"/>
    <w:bookmarkStart w:id="158" w:name="ref-wangGAPITVersionBoosting2021"/>
    <w:p>
      <w:pPr>
        <w:pStyle w:val="Bibliography"/>
      </w:pPr>
      <w:r>
        <w:t xml:space="preserve">Wang, Jiabo, and Zhiwu Zhang. 2021.</w:t>
      </w:r>
      <w:r>
        <w:t xml:space="preserve"> </w:t>
      </w:r>
      <w:r>
        <w:t xml:space="preserve">“GAPIT Version 3: Boosting Power and Accuracy for Genomic Association and Prediction.”</w:t>
      </w:r>
      <w:r>
        <w:t xml:space="preserve"> </w:t>
      </w:r>
      <w:r>
        <w:rPr>
          <w:iCs/>
          <w:i/>
        </w:rPr>
        <w:t xml:space="preserve">Genomics, Proteomics &amp; Bioinformatics</w:t>
      </w:r>
      <w:r>
        <w:t xml:space="preserve">, Bioinformatics Commons, 19 (4): 629–40.</w:t>
      </w:r>
      <w:r>
        <w:t xml:space="preserve"> </w:t>
      </w:r>
      <w:hyperlink r:id="rId157">
        <w:r>
          <w:rPr>
            <w:rStyle w:val="Hyperlink"/>
          </w:rPr>
          <w:t xml:space="preserve">https://doi.org/10.1016/j.gpb.2021.08.005</w:t>
        </w:r>
      </w:hyperlink>
      <w:r>
        <w:t xml:space="preserve">.</w:t>
      </w:r>
    </w:p>
    <w:bookmarkEnd w:id="158"/>
    <w:bookmarkStart w:id="160" w:name="X0ebe6e6e2c674cc3ee45acc5e93d8a19c2c8a1c"/>
    <w:p>
      <w:pPr>
        <w:pStyle w:val="Bibliography"/>
      </w:pPr>
      <w:r>
        <w:t xml:space="preserve">Wei, Wenxin, Xiaoyu Min, Siyao Shan, Hao Jiang, Jiajia Cao, Li Li, Jianfeng Wang, et al. 2019.</w:t>
      </w:r>
      <w:r>
        <w:t xml:space="preserve"> </w:t>
      </w:r>
      <w:r>
        <w:t xml:space="preserve">“Isolation and Characterization of TaQsd1 Genes for Period of Dormancy in Common Wheat (Triticum Aestivum L.).”</w:t>
      </w:r>
      <w:r>
        <w:t xml:space="preserve"> </w:t>
      </w:r>
      <w:r>
        <w:rPr>
          <w:iCs/>
          <w:i/>
        </w:rPr>
        <w:t xml:space="preserve">Molecular Breeding</w:t>
      </w:r>
      <w:r>
        <w:t xml:space="preserve"> </w:t>
      </w:r>
      <w:r>
        <w:t xml:space="preserve">39 (10): 150.</w:t>
      </w:r>
      <w:r>
        <w:t xml:space="preserve"> </w:t>
      </w:r>
      <w:hyperlink r:id="rId159">
        <w:r>
          <w:rPr>
            <w:rStyle w:val="Hyperlink"/>
          </w:rPr>
          <w:t xml:space="preserve">https://doi.org/10.1007/s11032-019-1060-x</w:t>
        </w:r>
      </w:hyperlink>
      <w:r>
        <w:t xml:space="preserve">.</w:t>
      </w:r>
    </w:p>
    <w:bookmarkEnd w:id="160"/>
    <w:bookmarkStart w:id="162" w:name="ref-yuGeneticAssociationMapping2006"/>
    <w:p>
      <w:pPr>
        <w:pStyle w:val="Bibliography"/>
      </w:pPr>
      <w:r>
        <w:t xml:space="preserve">Yu, Jianming, and Edward S. Buckler. 2006.</w:t>
      </w:r>
      <w:r>
        <w:t xml:space="preserve"> </w:t>
      </w:r>
      <w:r>
        <w:t xml:space="preserve">“Genetic association mapping and genome organization of maize.”</w:t>
      </w:r>
      <w:r>
        <w:t xml:space="preserve"> </w:t>
      </w:r>
      <w:r>
        <w:rPr>
          <w:iCs/>
          <w:i/>
        </w:rPr>
        <w:t xml:space="preserve">Current Opinion in Biotechnology</w:t>
      </w:r>
      <w:r>
        <w:t xml:space="preserve"> </w:t>
      </w:r>
      <w:r>
        <w:t xml:space="preserve">17 (2): 155–60.</w:t>
      </w:r>
      <w:r>
        <w:t xml:space="preserve"> </w:t>
      </w:r>
      <w:hyperlink r:id="rId161">
        <w:r>
          <w:rPr>
            <w:rStyle w:val="Hyperlink"/>
          </w:rPr>
          <w:t xml:space="preserve">https://doi.org/10.1016/j.copbio.2006.02.003</w:t>
        </w:r>
      </w:hyperlink>
      <w:r>
        <w:t xml:space="preserve">.</w:t>
      </w:r>
    </w:p>
    <w:bookmarkEnd w:id="162"/>
    <w:bookmarkEnd w:id="163"/>
    <w:bookmarkEnd w:id="164"/>
    <w:sectPr w:rsidR="00C64DAE" w:rsidRPr="004F5F1D" w:rsidSect="00B91989">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EA019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65403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BCCEC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3506D8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CDA18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BBC27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29C8F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540E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E32AD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969F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F6CC9E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297796" w:numId="1">
    <w:abstractNumId w:val="10"/>
  </w:num>
  <w:num w16cid:durableId="978531399" w:numId="2">
    <w:abstractNumId w:val="9"/>
  </w:num>
  <w:num w16cid:durableId="1527209381" w:numId="3">
    <w:abstractNumId w:val="7"/>
  </w:num>
  <w:num w16cid:durableId="907694978" w:numId="4">
    <w:abstractNumId w:val="6"/>
  </w:num>
  <w:num w16cid:durableId="918101831" w:numId="5">
    <w:abstractNumId w:val="5"/>
  </w:num>
  <w:num w16cid:durableId="357200543" w:numId="6">
    <w:abstractNumId w:val="4"/>
  </w:num>
  <w:num w16cid:durableId="1213037997" w:numId="7">
    <w:abstractNumId w:val="8"/>
  </w:num>
  <w:num w16cid:durableId="1121075243" w:numId="8">
    <w:abstractNumId w:val="3"/>
  </w:num>
  <w:num w16cid:durableId="945886419" w:numId="9">
    <w:abstractNumId w:val="2"/>
  </w:num>
  <w:num w16cid:durableId="1872381643" w:numId="10">
    <w:abstractNumId w:val="1"/>
  </w:num>
  <w:num w16cid:durableId="1915895900"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F11E8"/>
    <w:pPr>
      <w:keepNext/>
      <w:keepLines/>
      <w:spacing w:after="0" w:before="480"/>
      <w:outlineLvl w:val="0"/>
    </w:pPr>
    <w:rPr>
      <w:rFonts w:ascii="Times New Roman" w:cstheme="majorBidi" w:eastAsiaTheme="majorEastAsia" w:hAnsi="Times New Roman"/>
      <w:b/>
      <w:bCs/>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F11E8"/>
    <w:pPr>
      <w:spacing w:after="180" w:before="180"/>
    </w:pPr>
    <w:rPr>
      <w:rFonts w:ascii="Times New Roman" w:hAnsi="Times New Roman"/>
    </w:rPr>
  </w:style>
  <w:style w:customStyle="1" w:styleId="FirstParagraph" w:type="paragraph">
    <w:name w:val="First Paragraph"/>
    <w:basedOn w:val="BodyText"/>
    <w:next w:val="BodyText"/>
    <w:qFormat/>
    <w:rsid w:val="008F11E8"/>
  </w:style>
  <w:style w:customStyle="1" w:styleId="Compact" w:type="paragraph">
    <w:name w:val="Compact"/>
    <w:basedOn w:val="BodyText"/>
    <w:qFormat/>
    <w:pPr>
      <w:spacing w:after="36" w:before="36"/>
    </w:pPr>
  </w:style>
  <w:style w:styleId="Title" w:type="paragraph">
    <w:name w:val="Title"/>
    <w:basedOn w:val="Normal"/>
    <w:next w:val="BodyText"/>
    <w:qFormat/>
    <w:rsid w:val="008F11E8"/>
    <w:pPr>
      <w:keepNext/>
      <w:keepLines/>
      <w:spacing w:after="240" w:before="480"/>
      <w:jc w:val="center"/>
    </w:pPr>
    <w:rPr>
      <w:rFonts w:ascii="Times New Roman" w:cstheme="majorBidi" w:eastAsiaTheme="majorEastAsia" w:hAnsi="Times New Roman"/>
      <w:b/>
      <w:bCs/>
      <w:szCs w:val="36"/>
    </w:rPr>
  </w:style>
  <w:style w:styleId="Subtitle" w:type="paragraph">
    <w:name w:val="Subtitle"/>
    <w:basedOn w:val="Title"/>
    <w:next w:val="BodyText"/>
    <w:qFormat/>
    <w:rsid w:val="008F11E8"/>
    <w:pPr>
      <w:spacing w:before="240"/>
    </w:pPr>
    <w:rPr>
      <w:szCs w:val="30"/>
    </w:rPr>
  </w:style>
  <w:style w:customStyle="1" w:styleId="Author" w:type="paragraph">
    <w:name w:val="Author"/>
    <w:next w:val="BodyText"/>
    <w:qFormat/>
    <w:rsid w:val="008F11E8"/>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8F11E8"/>
    <w:rPr>
      <w:rFonts w:ascii="Times New Roman" w:hAnsi="Times New Roman"/>
    </w:rPr>
  </w:style>
  <w:style w:styleId="LineNumber" w:type="character">
    <w:name w:val="line number"/>
    <w:basedOn w:val="DefaultParagraphFont"/>
    <w:semiHidden/>
    <w:unhideWhenUsed/>
    <w:rsid w:val="00B91989"/>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hyperlink" Id="rId155" Target="https://doi.org/10.1002/csc2.20178" TargetMode="External" /><Relationship Type="http://schemas.openxmlformats.org/officeDocument/2006/relationships/hyperlink" Id="rId151" Target="https://doi.org/10.1002/csc2.20641" TargetMode="External" /><Relationship Type="http://schemas.openxmlformats.org/officeDocument/2006/relationships/hyperlink" Id="rId101" Target="https://doi.org/10.1002/plr2.20129" TargetMode="External" /><Relationship Type="http://schemas.openxmlformats.org/officeDocument/2006/relationships/hyperlink" Id="rId70" Target="https://doi.org/10.1007/978-1-4614-4693-4_6" TargetMode="External" /><Relationship Type="http://schemas.openxmlformats.org/officeDocument/2006/relationships/hyperlink" Id="rId74" Target="https://doi.org/10.1007/978-94-017-1293-4_5" TargetMode="External" /><Relationship Type="http://schemas.openxmlformats.org/officeDocument/2006/relationships/hyperlink" Id="rId115" Target="https://doi.org/10.1007/BF00040604" TargetMode="External" /><Relationship Type="http://schemas.openxmlformats.org/officeDocument/2006/relationships/hyperlink" Id="rId99" Target="https://doi.org/10.1007/BF00222956" TargetMode="External" /><Relationship Type="http://schemas.openxmlformats.org/officeDocument/2006/relationships/hyperlink" Id="rId87" Target="https://doi.org/10.1007/s00122-003-1281-5" TargetMode="External" /><Relationship Type="http://schemas.openxmlformats.org/officeDocument/2006/relationships/hyperlink" Id="rId117" Target="https://doi.org/10.1007/s00122-015-2465-5" TargetMode="External" /><Relationship Type="http://schemas.openxmlformats.org/officeDocument/2006/relationships/hyperlink" Id="rId149" Target="https://doi.org/10.1007/s00122-021-03961-5" TargetMode="External" /><Relationship Type="http://schemas.openxmlformats.org/officeDocument/2006/relationships/hyperlink" Id="rId80" Target="https://doi.org/10.1007/s00122-023-04298-x" TargetMode="External" /><Relationship Type="http://schemas.openxmlformats.org/officeDocument/2006/relationships/hyperlink" Id="rId153" Target="https://doi.org/10.1007/s10681-009-9936-1" TargetMode="External" /><Relationship Type="http://schemas.openxmlformats.org/officeDocument/2006/relationships/hyperlink" Id="rId93" Target="https://doi.org/10.1007/s10681-014-1072-x" TargetMode="External" /><Relationship Type="http://schemas.openxmlformats.org/officeDocument/2006/relationships/hyperlink" Id="rId159" Target="https://doi.org/10.1007/s11032-019-1060-x" TargetMode="External" /><Relationship Type="http://schemas.openxmlformats.org/officeDocument/2006/relationships/hyperlink" Id="rId161" Target="https://doi.org/10.1016/j.copbio.2006.02.003" TargetMode="External" /><Relationship Type="http://schemas.openxmlformats.org/officeDocument/2006/relationships/hyperlink" Id="rId127" Target="https://doi.org/10.1016/j.cub.2016.01.024" TargetMode="External" /><Relationship Type="http://schemas.openxmlformats.org/officeDocument/2006/relationships/hyperlink" Id="rId157" Target="https://doi.org/10.1016/j.gpb.2021.08.005" TargetMode="External" /><Relationship Type="http://schemas.openxmlformats.org/officeDocument/2006/relationships/hyperlink" Id="rId97" Target="https://doi.org/10.1016/j.pbi.2005.01.011" TargetMode="External" /><Relationship Type="http://schemas.openxmlformats.org/officeDocument/2006/relationships/hyperlink" Id="rId95" Target="https://doi.org/10.1016/j.tifs.2016.11.013" TargetMode="External" /><Relationship Type="http://schemas.openxmlformats.org/officeDocument/2006/relationships/hyperlink" Id="rId72" Target="https://doi.org/10.1017/S0960258500002713" TargetMode="External" /><Relationship Type="http://schemas.openxmlformats.org/officeDocument/2006/relationships/hyperlink" Id="rId137" Target="https://doi.org/10.1017/S0960258515000021" TargetMode="External" /><Relationship Type="http://schemas.openxmlformats.org/officeDocument/2006/relationships/hyperlink" Id="rId141" Target="https://doi.org/10.1038/ncomms11625" TargetMode="External" /><Relationship Type="http://schemas.openxmlformats.org/officeDocument/2006/relationships/hyperlink" Id="rId133" Target="https://doi.org/10.1038/ng1847" TargetMode="External" /><Relationship Type="http://schemas.openxmlformats.org/officeDocument/2006/relationships/hyperlink" Id="rId113" Target="https://doi.org/10.1038/srep22660" TargetMode="External" /><Relationship Type="http://schemas.openxmlformats.org/officeDocument/2006/relationships/hyperlink" Id="rId107" Target="https://doi.org/10.1071/ar02210" TargetMode="External" /><Relationship Type="http://schemas.openxmlformats.org/officeDocument/2006/relationships/hyperlink" Id="rId91" Target="https://doi.org/10.1073/pnas.96.4.1767" TargetMode="External" /><Relationship Type="http://schemas.openxmlformats.org/officeDocument/2006/relationships/hyperlink" Id="rId68" Target="https://doi.org/10.1093/jxb/erj122" TargetMode="External" /><Relationship Type="http://schemas.openxmlformats.org/officeDocument/2006/relationships/hyperlink" Id="rId135" Target="https://doi.org/10.1093/jxb/erq011" TargetMode="External" /><Relationship Type="http://schemas.openxmlformats.org/officeDocument/2006/relationships/hyperlink" Id="rId111" Target="https://doi.org/10.1093/plcell/koab077" TargetMode="External" /><Relationship Type="http://schemas.openxmlformats.org/officeDocument/2006/relationships/hyperlink" Id="rId105" Target="https://doi.org/10.1094/ASBCJ-55-0179" TargetMode="External" /><Relationship Type="http://schemas.openxmlformats.org/officeDocument/2006/relationships/hyperlink" Id="rId143" Target="https://doi.org/10.1104/pp.113.229062" TargetMode="External" /><Relationship Type="http://schemas.openxmlformats.org/officeDocument/2006/relationships/hyperlink" Id="rId147" Target="https://doi.org/10.1104/pp.118.1.37" TargetMode="External" /><Relationship Type="http://schemas.openxmlformats.org/officeDocument/2006/relationships/hyperlink" Id="rId131" Target="https://doi.org/10.1105/tpc.108.061515" TargetMode="External" /><Relationship Type="http://schemas.openxmlformats.org/officeDocument/2006/relationships/hyperlink" Id="rId82" Target="https://doi.org/10.1111/j.1469-8137.2006.01787.x" TargetMode="External" /><Relationship Type="http://schemas.openxmlformats.org/officeDocument/2006/relationships/hyperlink" Id="rId103" Target="https://doi.org/10.1111/pbi.13692" TargetMode="External" /><Relationship Type="http://schemas.openxmlformats.org/officeDocument/2006/relationships/hyperlink" Id="rId125" Target="https://doi.org/10.1111/pce.13483" TargetMode="External" /><Relationship Type="http://schemas.openxmlformats.org/officeDocument/2006/relationships/hyperlink" Id="rId89" Target="https://doi.org/10.1186/1297-9686-41-55" TargetMode="External" /><Relationship Type="http://schemas.openxmlformats.org/officeDocument/2006/relationships/hyperlink" Id="rId121" Target="https://doi.org/10.1186/s13059-019-1899-5" TargetMode="External" /><Relationship Type="http://schemas.openxmlformats.org/officeDocument/2006/relationships/hyperlink" Id="rId84" Target="https://doi.org/10.17221/314/2010-CJFS" TargetMode="External" /><Relationship Type="http://schemas.openxmlformats.org/officeDocument/2006/relationships/hyperlink" Id="rId123" Target="https://doi.org/10.21105/joss.04530" TargetMode="External" /><Relationship Type="http://schemas.openxmlformats.org/officeDocument/2006/relationships/hyperlink" Id="rId78" Target="https://doi.org/10.2135/cropsci1985.0011183X002500050028x" TargetMode="External" /><Relationship Type="http://schemas.openxmlformats.org/officeDocument/2006/relationships/hyperlink" Id="rId64" Target="https://doi.org/10.2135/cropsci1993.0011183X003300030008x" TargetMode="External" /><Relationship Type="http://schemas.openxmlformats.org/officeDocument/2006/relationships/hyperlink" Id="rId139" Target="https://doi.org/10.2135/cropsci1999.0011183X003900010012x" TargetMode="External" /><Relationship Type="http://schemas.openxmlformats.org/officeDocument/2006/relationships/hyperlink" Id="rId109" Target="https://doi.org/10.2135/cropsci2008.05.0269" TargetMode="External" /><Relationship Type="http://schemas.openxmlformats.org/officeDocument/2006/relationships/hyperlink" Id="rId119" Target="https://doi.org/10.2135/cropsci2009.02.0083" TargetMode="External" /><Relationship Type="http://schemas.openxmlformats.org/officeDocument/2006/relationships/hyperlink" Id="rId145" Target="https://doi.org/10.3389/fpls.2014.00197" TargetMode="External" /><Relationship Type="http://schemas.openxmlformats.org/officeDocument/2006/relationships/hyperlink" Id="rId129" Target="https://wheat.pw.usda.gov/jag/papers95/paper495/dormancy.html" TargetMode="External" /><Relationship Type="http://schemas.openxmlformats.org/officeDocument/2006/relationships/hyperlink" Id="rId66" Target="https://www.frontiersin.org/articles/10.3389/fpls.2017.01792" TargetMode="External" /><Relationship Type="http://schemas.openxmlformats.org/officeDocument/2006/relationships/hyperlink" Id="rId76" Target="https://www.frontiersin.org/articles/10.3389/fpls.2020.01138" TargetMode="External" /></Relationships>
</file>

<file path=word/_rels/footnotes.xml.rels><?xml version="1.0" encoding="UTF-8"?><Relationships xmlns="http://schemas.openxmlformats.org/package/2006/relationships"><Relationship Type="http://schemas.openxmlformats.org/officeDocument/2006/relationships/hyperlink" Id="rId155" Target="https://doi.org/10.1002/csc2.20178" TargetMode="External" /><Relationship Type="http://schemas.openxmlformats.org/officeDocument/2006/relationships/hyperlink" Id="rId151" Target="https://doi.org/10.1002/csc2.20641" TargetMode="External" /><Relationship Type="http://schemas.openxmlformats.org/officeDocument/2006/relationships/hyperlink" Id="rId101" Target="https://doi.org/10.1002/plr2.20129" TargetMode="External" /><Relationship Type="http://schemas.openxmlformats.org/officeDocument/2006/relationships/hyperlink" Id="rId70" Target="https://doi.org/10.1007/978-1-4614-4693-4_6" TargetMode="External" /><Relationship Type="http://schemas.openxmlformats.org/officeDocument/2006/relationships/hyperlink" Id="rId74" Target="https://doi.org/10.1007/978-94-017-1293-4_5" TargetMode="External" /><Relationship Type="http://schemas.openxmlformats.org/officeDocument/2006/relationships/hyperlink" Id="rId115" Target="https://doi.org/10.1007/BF00040604" TargetMode="External" /><Relationship Type="http://schemas.openxmlformats.org/officeDocument/2006/relationships/hyperlink" Id="rId99" Target="https://doi.org/10.1007/BF00222956" TargetMode="External" /><Relationship Type="http://schemas.openxmlformats.org/officeDocument/2006/relationships/hyperlink" Id="rId87" Target="https://doi.org/10.1007/s00122-003-1281-5" TargetMode="External" /><Relationship Type="http://schemas.openxmlformats.org/officeDocument/2006/relationships/hyperlink" Id="rId117" Target="https://doi.org/10.1007/s00122-015-2465-5" TargetMode="External" /><Relationship Type="http://schemas.openxmlformats.org/officeDocument/2006/relationships/hyperlink" Id="rId149" Target="https://doi.org/10.1007/s00122-021-03961-5" TargetMode="External" /><Relationship Type="http://schemas.openxmlformats.org/officeDocument/2006/relationships/hyperlink" Id="rId80" Target="https://doi.org/10.1007/s00122-023-04298-x" TargetMode="External" /><Relationship Type="http://schemas.openxmlformats.org/officeDocument/2006/relationships/hyperlink" Id="rId153" Target="https://doi.org/10.1007/s10681-009-9936-1" TargetMode="External" /><Relationship Type="http://schemas.openxmlformats.org/officeDocument/2006/relationships/hyperlink" Id="rId93" Target="https://doi.org/10.1007/s10681-014-1072-x" TargetMode="External" /><Relationship Type="http://schemas.openxmlformats.org/officeDocument/2006/relationships/hyperlink" Id="rId159" Target="https://doi.org/10.1007/s11032-019-1060-x" TargetMode="External" /><Relationship Type="http://schemas.openxmlformats.org/officeDocument/2006/relationships/hyperlink" Id="rId161" Target="https://doi.org/10.1016/j.copbio.2006.02.003" TargetMode="External" /><Relationship Type="http://schemas.openxmlformats.org/officeDocument/2006/relationships/hyperlink" Id="rId127" Target="https://doi.org/10.1016/j.cub.2016.01.024" TargetMode="External" /><Relationship Type="http://schemas.openxmlformats.org/officeDocument/2006/relationships/hyperlink" Id="rId157" Target="https://doi.org/10.1016/j.gpb.2021.08.005" TargetMode="External" /><Relationship Type="http://schemas.openxmlformats.org/officeDocument/2006/relationships/hyperlink" Id="rId97" Target="https://doi.org/10.1016/j.pbi.2005.01.011" TargetMode="External" /><Relationship Type="http://schemas.openxmlformats.org/officeDocument/2006/relationships/hyperlink" Id="rId95" Target="https://doi.org/10.1016/j.tifs.2016.11.013" TargetMode="External" /><Relationship Type="http://schemas.openxmlformats.org/officeDocument/2006/relationships/hyperlink" Id="rId72" Target="https://doi.org/10.1017/S0960258500002713" TargetMode="External" /><Relationship Type="http://schemas.openxmlformats.org/officeDocument/2006/relationships/hyperlink" Id="rId137" Target="https://doi.org/10.1017/S0960258515000021" TargetMode="External" /><Relationship Type="http://schemas.openxmlformats.org/officeDocument/2006/relationships/hyperlink" Id="rId141" Target="https://doi.org/10.1038/ncomms11625" TargetMode="External" /><Relationship Type="http://schemas.openxmlformats.org/officeDocument/2006/relationships/hyperlink" Id="rId133" Target="https://doi.org/10.1038/ng1847" TargetMode="External" /><Relationship Type="http://schemas.openxmlformats.org/officeDocument/2006/relationships/hyperlink" Id="rId113" Target="https://doi.org/10.1038/srep22660" TargetMode="External" /><Relationship Type="http://schemas.openxmlformats.org/officeDocument/2006/relationships/hyperlink" Id="rId107" Target="https://doi.org/10.1071/ar02210" TargetMode="External" /><Relationship Type="http://schemas.openxmlformats.org/officeDocument/2006/relationships/hyperlink" Id="rId91" Target="https://doi.org/10.1073/pnas.96.4.1767" TargetMode="External" /><Relationship Type="http://schemas.openxmlformats.org/officeDocument/2006/relationships/hyperlink" Id="rId68" Target="https://doi.org/10.1093/jxb/erj122" TargetMode="External" /><Relationship Type="http://schemas.openxmlformats.org/officeDocument/2006/relationships/hyperlink" Id="rId135" Target="https://doi.org/10.1093/jxb/erq011" TargetMode="External" /><Relationship Type="http://schemas.openxmlformats.org/officeDocument/2006/relationships/hyperlink" Id="rId111" Target="https://doi.org/10.1093/plcell/koab077" TargetMode="External" /><Relationship Type="http://schemas.openxmlformats.org/officeDocument/2006/relationships/hyperlink" Id="rId105" Target="https://doi.org/10.1094/ASBCJ-55-0179" TargetMode="External" /><Relationship Type="http://schemas.openxmlformats.org/officeDocument/2006/relationships/hyperlink" Id="rId143" Target="https://doi.org/10.1104/pp.113.229062" TargetMode="External" /><Relationship Type="http://schemas.openxmlformats.org/officeDocument/2006/relationships/hyperlink" Id="rId147" Target="https://doi.org/10.1104/pp.118.1.37" TargetMode="External" /><Relationship Type="http://schemas.openxmlformats.org/officeDocument/2006/relationships/hyperlink" Id="rId131" Target="https://doi.org/10.1105/tpc.108.061515" TargetMode="External" /><Relationship Type="http://schemas.openxmlformats.org/officeDocument/2006/relationships/hyperlink" Id="rId82" Target="https://doi.org/10.1111/j.1469-8137.2006.01787.x" TargetMode="External" /><Relationship Type="http://schemas.openxmlformats.org/officeDocument/2006/relationships/hyperlink" Id="rId103" Target="https://doi.org/10.1111/pbi.13692" TargetMode="External" /><Relationship Type="http://schemas.openxmlformats.org/officeDocument/2006/relationships/hyperlink" Id="rId125" Target="https://doi.org/10.1111/pce.13483" TargetMode="External" /><Relationship Type="http://schemas.openxmlformats.org/officeDocument/2006/relationships/hyperlink" Id="rId89" Target="https://doi.org/10.1186/1297-9686-41-55" TargetMode="External" /><Relationship Type="http://schemas.openxmlformats.org/officeDocument/2006/relationships/hyperlink" Id="rId121" Target="https://doi.org/10.1186/s13059-019-1899-5" TargetMode="External" /><Relationship Type="http://schemas.openxmlformats.org/officeDocument/2006/relationships/hyperlink" Id="rId84" Target="https://doi.org/10.17221/314/2010-CJFS" TargetMode="External" /><Relationship Type="http://schemas.openxmlformats.org/officeDocument/2006/relationships/hyperlink" Id="rId123" Target="https://doi.org/10.21105/joss.04530" TargetMode="External" /><Relationship Type="http://schemas.openxmlformats.org/officeDocument/2006/relationships/hyperlink" Id="rId78" Target="https://doi.org/10.2135/cropsci1985.0011183X002500050028x" TargetMode="External" /><Relationship Type="http://schemas.openxmlformats.org/officeDocument/2006/relationships/hyperlink" Id="rId64" Target="https://doi.org/10.2135/cropsci1993.0011183X003300030008x" TargetMode="External" /><Relationship Type="http://schemas.openxmlformats.org/officeDocument/2006/relationships/hyperlink" Id="rId139" Target="https://doi.org/10.2135/cropsci1999.0011183X003900010012x" TargetMode="External" /><Relationship Type="http://schemas.openxmlformats.org/officeDocument/2006/relationships/hyperlink" Id="rId109" Target="https://doi.org/10.2135/cropsci2008.05.0269" TargetMode="External" /><Relationship Type="http://schemas.openxmlformats.org/officeDocument/2006/relationships/hyperlink" Id="rId119" Target="https://doi.org/10.2135/cropsci2009.02.0083" TargetMode="External" /><Relationship Type="http://schemas.openxmlformats.org/officeDocument/2006/relationships/hyperlink" Id="rId145" Target="https://doi.org/10.3389/fpls.2014.00197" TargetMode="External" /><Relationship Type="http://schemas.openxmlformats.org/officeDocument/2006/relationships/hyperlink" Id="rId129" Target="https://wheat.pw.usda.gov/jag/papers95/paper495/dormancy.html" TargetMode="External" /><Relationship Type="http://schemas.openxmlformats.org/officeDocument/2006/relationships/hyperlink" Id="rId66" Target="https://www.frontiersin.org/articles/10.3389/fpls.2017.01792" TargetMode="External" /><Relationship Type="http://schemas.openxmlformats.org/officeDocument/2006/relationships/hyperlink" Id="rId76" Target="https://www.frontiersin.org/articles/10.3389/fpls.2020.011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SD1 seed dormancy locus influence of pre-harvest sprouting resistance and seed dormancy loss over time</dc:title>
  <dc:creator>Karl Kunze; Travis Rooney; Daniel Sweeney; Mark Sorrells</dc:creator>
  <cp:keywords/>
  <dcterms:created xsi:type="dcterms:W3CDTF">2023-04-11T20:41:56Z</dcterms:created>
  <dcterms:modified xsi:type="dcterms:W3CDTF">2023-04-11T20:41:56Z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editor">
    <vt:lpwstr>visual</vt:lpwstr>
  </property>
  <property fmtid="{D5CDD505-2E9C-101B-9397-08002B2CF9AE}" pid="11" name="editor_option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ies>
</file>