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Mark</w:t>
      </w:r>
      <w:r>
        <w:t xml:space="preserve"> </w:t>
      </w:r>
      <w:r>
        <w:t xml:space="preserve">Sorrells</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Dormancy peaks at physiological maturity(PM) where the last photosynate leaves the grain, and degrades over a period of time after harvest. The rate of dormancy loss varies widely from days to months based on genotype and environmental conditions during grainfill. Prolonged seed dormancy is undesirable for malting as germination is uneven, has low vigor and and is expensive to store for long periods of time. Barley that has little to no dormancy at physiological maturity is prone to pre-harvest sprouting(PHS), where wet and humid conditions induce starch degredation and germination in the field before harvest. PHS can be visible in the form of visible radicle and collectible emergence or in pre germination where starch in the grain begins to degrade. Pregerminated grain is most often usuable for malt or food purposes. Acheiving the balance between PHS resistance and high quality malt is a key breed target for barley breeding.</w:t>
      </w:r>
    </w:p>
    <w:p>
      <w:pPr>
        <w:pStyle w:val="BodyText"/>
      </w:pPr>
      <w:r>
        <w:t xml:space="preserve">Genetic sources of PHS resistance and seed dormancy have been well characterized in barley. The large effect QTL loci of SD1 and SD2 on chromosome 5H have been mapped extensively in a wide range of barley germplasm.</w:t>
      </w:r>
      <w:r>
        <w:t xml:space="preserve"> </w:t>
      </w:r>
      <w:r>
        <w:t xml:space="preserve">(</w:t>
      </w:r>
      <w:hyperlink w:anchor="ref-han1996">
        <w:r>
          <w:rPr>
            <w:rStyle w:val="Hyperlink"/>
          </w:rPr>
          <w:t xml:space="preserve">Han et al. 1996</w:t>
        </w:r>
      </w:hyperlink>
      <w:r>
        <w:t xml:space="preserve">;</w:t>
      </w:r>
      <w:r>
        <w:t xml:space="preserve"> </w:t>
      </w:r>
      <w:hyperlink w:anchor="ref-ullrich1992quantitative">
        <w:r>
          <w:rPr>
            <w:rStyle w:val="Hyperlink"/>
            <w:bCs/>
            <w:b/>
          </w:rPr>
          <w:t xml:space="preserve">ullrich1992quantitative?</w:t>
        </w:r>
      </w:hyperlink>
      <w:r>
        <w:t xml:space="preserve">;</w:t>
      </w:r>
      <w:r>
        <w:t xml:space="preserve"> </w:t>
      </w:r>
      <w:hyperlink w:anchor="ref-linQTLMappingDormancy2009">
        <w:r>
          <w:rPr>
            <w:rStyle w:val="Hyperlink"/>
          </w:rPr>
          <w:t xml:space="preserve">Lin et al. 2009</w:t>
        </w:r>
      </w:hyperlink>
      <w:r>
        <w:t xml:space="preserve">)</w:t>
      </w:r>
      <w:r>
        <w:t xml:space="preserve">. Genes have been cloned at each locus: alanine aminotransferase at SD1</w:t>
      </w:r>
      <w:r>
        <w:t xml:space="preserve">(</w:t>
      </w:r>
      <w:r>
        <w:rPr>
          <w:iCs/>
          <w:i/>
        </w:rPr>
        <w:t xml:space="preserve">HvAlaT1</w:t>
      </w:r>
      <w:r>
        <w:t xml:space="preserve"> </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w:t>
      </w:r>
      <w:r>
        <w:t xml:space="preserve">(</w:t>
      </w:r>
      <w:r>
        <w:rPr>
          <w:iCs/>
          <w:i/>
        </w:rPr>
        <w:t xml:space="preserve">HvMKK3</w:t>
      </w:r>
      <w:r>
        <w:t xml:space="preserve"> </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Vetch et al. (</w:t>
      </w:r>
      <w:hyperlink w:anchor="ref-vetchMutationsHvMKK3HvAlaAT12020">
        <w:r>
          <w:rPr>
            <w:rStyle w:val="Hyperlink"/>
          </w:rPr>
          <w:t xml:space="preserve">2020</w:t>
        </w:r>
      </w:hyperlink>
      <w:r>
        <w:t xml:space="preserve">)</w:t>
      </w:r>
      <w:r>
        <w:t xml:space="preserve"> </w:t>
      </w:r>
      <w:r>
        <w:t xml:space="preserve">(</w:t>
      </w:r>
      <w:hyperlink w:anchor="ref-sweeneyInteractionsBarleySD12022">
        <w:r>
          <w:rPr>
            <w:rStyle w:val="Hyperlink"/>
            <w:bCs/>
            <w:b/>
          </w:rPr>
          <w:t xml:space="preserve">sweeneyInteractionsBarleySD12022?</w:t>
        </w:r>
      </w:hyperlink>
      <w:r>
        <w:t xml:space="preserve">)</w:t>
      </w:r>
      <w:r>
        <w:t xml:space="preserve"> </w:t>
      </w:r>
      <w:r>
        <w:t xml:space="preserve">(</w:t>
      </w:r>
      <w:hyperlink w:anchor="ref-sweeney2022">
        <w:r>
          <w:rPr>
            <w:rStyle w:val="Hyperlink"/>
            <w:bCs/>
            <w:b/>
          </w:rPr>
          <w:t xml:space="preserve">sweeney2022?</w:t>
        </w:r>
      </w:hyperlink>
      <w:r>
        <w:t xml:space="preserve">)</w:t>
      </w:r>
      <w:r>
        <w:t xml:space="preserve"> </w:t>
      </w:r>
      <w:r>
        <w:t xml:space="preserve">for spring and winter barley germplasm. The mutation L214F in AlaAT results in a loss of dormancy. ALaAT has been one of the first targets of Cas9-induced mutagenesis in barley</w:t>
      </w:r>
      <w:r>
        <w:t xml:space="preserve"> </w:t>
      </w:r>
      <w:r>
        <w:t xml:space="preserve">Hisano et al. (</w:t>
      </w:r>
      <w:hyperlink w:anchor="ref-hisano2022">
        <w:r>
          <w:rPr>
            <w:rStyle w:val="Hyperlink"/>
          </w:rPr>
          <w:t xml:space="preserve">2022</w:t>
        </w:r>
      </w:hyperlink>
      <w:r>
        <w:t xml:space="preserve">)</w:t>
      </w:r>
      <w:r>
        <w:t xml:space="preserve"> </w:t>
      </w:r>
      <w:r>
        <w:t xml:space="preserve">prolonging dormancy in mutant types.</w:t>
      </w:r>
    </w:p>
    <w:p>
      <w:pPr>
        <w:pStyle w:val="BodyText"/>
      </w:pPr>
      <w:r>
        <w:t xml:space="preserve">Genome wide associations studies(GWAS) have become the standard practice to identify traits of interest in various types of breeding populations. Numerous GWAS methods are available, and improvement to models that account for population structure</w:t>
      </w:r>
      <w:r>
        <w:t xml:space="preserve"> </w:t>
      </w:r>
      <w:r>
        <w:t xml:space="preserve">Yu and Buckler (</w:t>
      </w:r>
      <w:hyperlink w:anchor="ref-yuGeneticAssociationMapping2006">
        <w:r>
          <w:rPr>
            <w:rStyle w:val="Hyperlink"/>
          </w:rPr>
          <w:t xml:space="preserve">2006</w:t>
        </w:r>
      </w:hyperlink>
      <w:r>
        <w:t xml:space="preserve">)</w:t>
      </w:r>
      <w:r>
        <w:t xml:space="preserve"> </w:t>
      </w:r>
      <w:r>
        <w:t xml:space="preserve">using principal component analysis</w:t>
      </w:r>
      <w:r>
        <w:t xml:space="preserve"> </w:t>
      </w:r>
      <w:r>
        <w:t xml:space="preserve">“Price: Principal Components Analysis Corrects for... - Google Scholar”</w:t>
      </w:r>
      <w:r>
        <w:t xml:space="preserve"> </w:t>
      </w:r>
      <w:r>
        <w:t xml:space="preserve">(</w:t>
      </w:r>
      <w:hyperlink w:anchor="ref-PricePrincipalComponents">
        <w:r>
          <w:rPr>
            <w:rStyle w:val="Hyperlink"/>
          </w:rPr>
          <w:t xml:space="preserve">n.d.</w:t>
        </w:r>
      </w:hyperlink>
      <w:r>
        <w:t xml:space="preserve">)</w:t>
      </w:r>
      <w:r>
        <w:t xml:space="preserve"> </w:t>
      </w:r>
      <w:r>
        <w:t xml:space="preserve">and the inclusion of kinship and Q matrix allow for mapping association studies to be conducted across structed populations</w:t>
      </w:r>
    </w:p>
    <w:p>
      <w:pPr>
        <w:pStyle w:val="BodyText"/>
      </w:pPr>
      <w:r>
        <w:t xml:space="preserve">Advances in barley marker platforms such as the Illumina barley 50K SNP chip</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Increased efficiency of models and computation power have allowed not only for the association of high density marker platforms with large phenotypes, but also the use of single step GWAS modeling. Single step GWAS offers more flexibility with the capacity for the integration of more phenotypic information, inclusion of multiple fixed and random effects, as well as retaining more information that can be lost in two step analyses.</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using GWAS and b)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29"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Hayes et al. (</w:t>
      </w:r>
      <w:hyperlink w:anchor="ref-hayesRegistrationLightningBarley2021">
        <w:r>
          <w:rPr>
            <w:rStyle w:val="Hyperlink"/>
          </w:rPr>
          <w:t xml:space="preserve">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Nagel et al. (</w:t>
      </w:r>
      <w:hyperlink w:anchor="ref-nagelNovelLociRole2019">
        <w:r>
          <w:rPr>
            <w:rStyle w:val="Hyperlink"/>
          </w:rPr>
          <w:t xml:space="preserve">2019</w:t>
        </w:r>
      </w:hyperlink>
      <w:r>
        <w:t xml:space="preserve">)</w:t>
      </w:r>
      <w:r>
        <w:t xml:space="preserve"> </w:t>
      </w:r>
      <w:r>
        <w:t xml:space="preserve">The standardization of harvesting and freezing spikes 2 days after the PM of the plot enabled observation of traits at the same number of after-ripening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Anderson, Sorrells, and Tanksley (</w:t>
      </w:r>
      <w:hyperlink w:anchor="ref-andersonRFLPAnalysisGenomic1993">
        <w:r>
          <w:rPr>
            <w:rStyle w:val="Hyperlink"/>
          </w:rPr>
          <w:t xml:space="preserve">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p>
      <w:pPr>
        <w:pStyle w:val="BodyText"/>
      </w:pPr>
      <w:r>
        <w:t xml:space="preserve">In addition to dormancy sampling in 2021, 120 lines were selected for micromalting analysis, with 60 lines overlapping between the two locations and an additional 60 lines selected based on seed avaialability after appropriated amounts for the seed dormancy tests. Lines were processed in an identical manner to the seed dormancy sampling method</w:t>
      </w:r>
    </w:p>
    <w:bookmarkEnd w:id="23"/>
    <w:bookmarkStart w:id="25"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m:oMath>
        <m:r>
          <m:t>G</m:t>
        </m:r>
        <m:sSub>
          <m:e>
            <m:r>
              <m:t>E</m:t>
            </m:r>
          </m:e>
          <m:sub>
            <m:r>
              <m:t>5</m:t>
            </m:r>
            <m:r>
              <m:t>d</m:t>
            </m:r>
            <m:r>
              <m:t>a</m:t>
            </m:r>
            <m:r>
              <m:t>y</m:t>
            </m:r>
          </m:sub>
        </m:sSub>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72, 96 and 120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w:t>
      </w:r>
    </w:p>
    <w:p>
      <w:pPr>
        <w:pStyle w:val="BodyText"/>
      </w:pPr>
      <w:r>
        <w:t xml:space="preserve">Germination Index was calculated as a germination rate following:</w:t>
      </w:r>
      <w:r>
        <w:t xml:space="preserve"> </w:t>
      </w:r>
      <w:r>
        <w:t xml:space="preserve">Frančáková et al. (</w:t>
      </w:r>
      <w:hyperlink w:anchor="ref-francakova2012">
        <w:r>
          <w:rPr>
            <w:rStyle w:val="Hyperlink"/>
          </w:rPr>
          <w:t xml:space="preserve">2012</w:t>
        </w:r>
      </w:hyperlink>
      <w:r>
        <w:t xml:space="preserve">)</w:t>
      </w:r>
    </w:p>
    <w:p>
      <w:pPr>
        <w:pStyle w:val="BodyText"/>
      </w:pPr>
      <w:r>
        <w:t xml:space="preserve">$</w:t>
      </w:r>
      <m:oMath>
        <m:r>
          <m:t>G</m:t>
        </m:r>
        <m:sSub>
          <m:e>
            <m:r>
              <m:t>I</m:t>
            </m:r>
          </m:e>
          <m:sub>
            <m:r>
              <m:t>b</m:t>
            </m:r>
            <m:r>
              <m:t>a</m:t>
            </m:r>
            <m:r>
              <m:t>s</m:t>
            </m:r>
            <m:sSub>
              <m:e>
                <m:r>
                  <m:t>e</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r>
        <w:t xml:space="preserve">$</w:t>
      </w:r>
    </w:p>
    <w:p>
      <w:pPr>
        <w:pStyle w:val="BodyText"/>
      </w:pPr>
      <m:oMath>
        <m:r>
          <m:t>G</m:t>
        </m:r>
        <m:sSub>
          <m:e>
            <m:r>
              <m:t>I</m:t>
            </m:r>
          </m:e>
          <m:sub>
            <m:r>
              <m:t>b</m:t>
            </m:r>
            <m:r>
              <m:t>a</m:t>
            </m:r>
            <m:r>
              <m:t>s</m:t>
            </m:r>
            <m:sSub>
              <m:e>
                <m:r>
                  <m:t>e</m:t>
                </m:r>
              </m:e>
              <m:sub>
                <m:r>
                  <m:t>5</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r>
                  <m:rPr>
                    <m:sty m:val="p"/>
                  </m:rPr>
                  <m:t>+</m:t>
                </m:r>
                <m:sSub>
                  <m:e>
                    <m:r>
                      <m:t>n</m:t>
                    </m:r>
                  </m:e>
                  <m:sub>
                    <m:r>
                      <m:t>96</m:t>
                    </m:r>
                  </m:sub>
                </m:sSub>
                <m:r>
                  <m:rPr>
                    <m:sty m:val="p"/>
                  </m:rPr>
                  <m:t>+</m:t>
                </m:r>
                <m:sSub>
                  <m:e>
                    <m:r>
                      <m:t>n</m:t>
                    </m:r>
                  </m:e>
                  <m:sub>
                    <m:r>
                      <m:t>120</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r>
              <m:rPr>
                <m:sty m:val="p"/>
              </m:rPr>
              <m:t>+</m:t>
            </m:r>
            <m:r>
              <m:t>4</m:t>
            </m:r>
            <m:sSub>
              <m:e>
                <m:r>
                  <m:t>n</m:t>
                </m:r>
              </m:e>
              <m:sub>
                <m:r>
                  <m:t>96</m:t>
                </m:r>
              </m:sub>
            </m:sSub>
            <m:r>
              <m:rPr>
                <m:sty m:val="p"/>
              </m:rPr>
              <m:t>+</m:t>
            </m:r>
            <m:r>
              <m:t>5</m:t>
            </m:r>
            <m:sSub>
              <m:e>
                <m:r>
                  <m:t>n</m:t>
                </m:r>
              </m:e>
              <m:sub>
                <m:r>
                  <m:t>120</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b</m:t>
            </m:r>
            <m:r>
              <m:t>a</m:t>
            </m:r>
            <m:r>
              <m:t>s</m:t>
            </m:r>
            <m:r>
              <m:t>e</m:t>
            </m:r>
          </m:sub>
        </m:sSub>
        <m:r>
          <m:rPr>
            <m:sty m:val="p"/>
          </m:rPr>
          <m:t>*</m:t>
        </m:r>
        <m:r>
          <m:t>G</m:t>
        </m:r>
        <m:r>
          <m:t>E</m:t>
        </m:r>
      </m:oMath>
      <w:r>
        <w:t xml:space="preserve"> </w:t>
      </w:r>
      <w:r>
        <w:t xml:space="preserve">to account for low germination at earlier timepoints.</w:t>
      </w:r>
    </w:p>
    <w:p>
      <w:pPr>
        <w:pStyle w:val="BodyText"/>
      </w:pPr>
      <w:r>
        <w:t xml:space="preserve">GE and GI were measured at five time points for 2020: 5 (TP1), 19 (TP2), 47 (TP3), 96 (TP4), and 152 (TP5) days post PM. GE and GI measured at eight time points for 2021: 5(TP1), 12(TP1.5), 19 (TP2), 33(TP2.5), 47(TP3), 68 (TP3.5), 96 (TP4) and 152(TP5) days post PM.</w:t>
      </w:r>
    </w:p>
    <w:p>
      <w:pPr>
        <w:pStyle w:val="BodyText"/>
      </w:pPr>
      <w:r>
        <w:t xml:space="preserve">In addition to measuring germination, a 120 line malting quality subset previously mentioned were taken out freezing concurrently with the dormancy samples</w:t>
      </w:r>
    </w:p>
    <w:p>
      <w:pPr>
        <w:pStyle w:val="BodyText"/>
      </w:pPr>
      <w:r>
        <w:t xml:space="preserve">Malting quality samples were sent to the USDA Cereal Crops and research unit(CCRU) in Madison, WI. The small grain samples were frozen upon arrival. Each line was malted in single replicates at two different time points corresponding 67 days post PM and 152 post PM. Due to limits on how many tea ball samples could be malted at one time, the samples were malted in batches every week for two months. Malting procedure and analysis were performed in the methods described by</w:t>
      </w:r>
      <w:r>
        <w:t xml:space="preserve"> </w:t>
      </w:r>
      <w:r>
        <w:t xml:space="preserve">Schmitt and Budde (</w:t>
      </w:r>
      <w:hyperlink w:anchor="ref-schmittMaltingExtremelySmall2011">
        <w:r>
          <w:rPr>
            <w:rStyle w:val="Hyperlink"/>
          </w:rPr>
          <w:t xml:space="preserve">2011</w:t>
        </w:r>
      </w:hyperlink>
      <w:r>
        <w:t xml:space="preserve">)</w:t>
      </w:r>
      <w:r>
        <w:t xml:space="preserve"> </w:t>
      </w:r>
      <w:r>
        <w:t xml:space="preserve"># summary statistics</w:t>
      </w:r>
    </w:p>
    <w:bookmarkStart w:id="24" w:name="tbl-H2_all"/>
    <w:p>
      <w:pPr>
        <w:pStyle w:val="BodyText"/>
      </w:pPr>
      <w:r>
        <w:rPr>
          <w:bCs/>
          <w:b/>
        </w:rPr>
        <w:t xml:space="preserve">?(caption)</w:t>
      </w:r>
    </w:p>
    <w:bookmarkEnd w:id="24"/>
    <w:bookmarkEnd w:id="25"/>
    <w:bookmarkStart w:id="26" w:name="genotyping"/>
    <w:p>
      <w:pPr>
        <w:pStyle w:val="Heading2"/>
      </w:pPr>
      <w:r>
        <w:t xml:space="preserve">Genotyping</w:t>
      </w:r>
    </w:p>
    <w:p>
      <w:pPr>
        <w:pStyle w:val="FirstParagraph"/>
      </w:pPr>
      <w:r>
        <w:t xml:space="preserve">The entire double haploid population was genotyped with the 50K Barley SNP array</w:t>
      </w:r>
      <w:r>
        <w:t xml:space="preserve"> </w:t>
      </w:r>
      <w:r>
        <w:t xml:space="preserve">Bayer et al. (</w:t>
      </w:r>
      <w:hyperlink w:anchor="ref-bayerDevelopmentEvaluationBarley2017">
        <w:r>
          <w:rPr>
            <w:rStyle w:val="Hyperlink"/>
          </w:rPr>
          <w:t xml:space="preserve">2017</w:t>
        </w:r>
      </w:hyperlink>
      <w:r>
        <w:t xml:space="preserve">)</w:t>
      </w:r>
      <w:r>
        <w:t xml:space="preserve"> </w:t>
      </w:r>
      <w:r>
        <w:t xml:space="preserve">at the USDA small grains research laborartory in Fargo, ND. Marker positions were based on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Markers were filtered a maximum heterozygosity level of 0.01 and a minumum minor allele frequency of 0.05 using rTASSEL</w:t>
      </w:r>
      <w:r>
        <w:t xml:space="preserve"> </w:t>
      </w:r>
      <w:r>
        <w:t xml:space="preserve">Monier et al. (</w:t>
      </w:r>
      <w:hyperlink w:anchor="ref-monierRTASSELInterfaceTASSEL2022">
        <w:r>
          <w:rPr>
            <w:rStyle w:val="Hyperlink"/>
          </w:rPr>
          <w:t xml:space="preserve">2022</w:t>
        </w:r>
      </w:hyperlink>
      <w:r>
        <w:t xml:space="preserve">)</w:t>
      </w:r>
      <w:r>
        <w:t xml:space="preserve">, resulting in a total of 13,452 markers. The R package @ZhengSNP2012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Kunze, and Sorrells (</w:t>
      </w:r>
      <w:hyperlink w:anchor="ref-sweeney2021_QTL">
        <w:r>
          <w:rPr>
            <w:rStyle w:val="Hyperlink"/>
          </w:rPr>
          <w:t xml:space="preserve">2021</w:t>
        </w:r>
      </w:hyperlink>
      <w:r>
        <w:t xml:space="preserve">)</w:t>
      </w:r>
      <w:r>
        <w:t xml:space="preserve">.</w:t>
      </w:r>
    </w:p>
    <w:bookmarkEnd w:id="26"/>
    <w:bookmarkStart w:id="28" w:name="statisical-analysis"/>
    <w:p>
      <w:pPr>
        <w:pStyle w:val="Heading2"/>
      </w:pPr>
      <w:r>
        <w:t xml:space="preserve">Statisical Analysis</w:t>
      </w:r>
    </w:p>
    <w:p>
      <w:pPr>
        <w:pStyle w:val="FirstParagraph"/>
      </w:pPr>
      <w:r>
        <w:t xml:space="preserve">Given the advancement in computational efficiency, per time point GWAS was analzyed using a single step approach. The package</w:t>
      </w:r>
      <w:r>
        <w:t xml:space="preserve"> </w:t>
      </w:r>
      <w:r>
        <w:t xml:space="preserve">Galli et al. (</w:t>
      </w:r>
      <w:hyperlink w:anchor="ref-ASRgwas">
        <w:r>
          <w:rPr>
            <w:rStyle w:val="Hyperlink"/>
          </w:rPr>
          <w:t xml:space="preserve">2022</w:t>
        </w:r>
      </w:hyperlink>
      <w:r>
        <w:t xml:space="preserve">)</w:t>
      </w:r>
      <w:r>
        <w:t xml:space="preserve"> </w:t>
      </w:r>
      <w:r>
        <w:t xml:space="preserve">was used to develop the K and Q matricies, filter out missing information, and conduct single step GWAS using the raw data as input. ASRgwas model flexibility allowed for the integration of fixed, random, covariate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assoicated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table 2 both for within years and across years. #Model terms</w:t>
      </w:r>
    </w:p>
    <w:bookmarkStart w:id="27" w:name="tbl-model_components"/>
    <w:p>
      <w:pPr>
        <w:pStyle w:val="BodyText"/>
      </w:pPr>
      <w:r>
        <w:rPr>
          <w:bCs/>
          <w:b/>
        </w:rPr>
        <w:t xml:space="preserve">?(caption)</w:t>
      </w:r>
    </w:p>
    <w:bookmarkEnd w:id="27"/>
    <w:p>
      <w:pPr>
        <w:pStyle w:val="BodyText"/>
      </w:pPr>
      <w:r>
        <w:t xml:space="preserve">the package</w:t>
      </w:r>
      <w:r>
        <w:t xml:space="preserve"> </w:t>
      </w:r>
      <w:r>
        <w:t xml:space="preserve">Galli et al. (</w:t>
      </w:r>
      <w:hyperlink w:anchor="ref-ASRgwas">
        <w:r>
          <w:rPr>
            <w:rStyle w:val="Hyperlink"/>
          </w:rPr>
          <w:t xml:space="preserve">2022</w:t>
        </w:r>
      </w:hyperlink>
      <w:r>
        <w:t xml:space="preserve">)</w:t>
      </w:r>
    </w:p>
    <w:p>
      <w:pPr>
        <w:pStyle w:val="BodyText"/>
      </w:pPr>
      <w:r>
        <w:t xml:space="preserve">We previously reported development of a high-throughput Kompetitive Allele Specific Primer (KASP) marker AlaAT1_L214F for the causal mutation in</w:t>
      </w:r>
      <w:r>
        <w:t xml:space="preserve"> </w:t>
      </w:r>
      <w:r>
        <w:rPr>
          <w:iCs/>
          <w:i/>
        </w:rPr>
        <w:t xml:space="preserve">HvAlaAT1</w:t>
      </w:r>
      <w:r>
        <w:t xml:space="preserve"> </w:t>
      </w:r>
      <w:r>
        <w:t xml:space="preserve">discovered by Sato et al. (2016). We also developed KASP assays for a SNP in the 5’ UTR of</w:t>
      </w:r>
      <w:r>
        <w:t xml:space="preserve"> </w:t>
      </w:r>
      <w:r>
        <w:rPr>
          <w:iCs/>
          <w:i/>
        </w:rPr>
        <w:t xml:space="preserve">HvGA20ox1</w:t>
      </w:r>
      <w:r>
        <w:t xml:space="preserve"> </w:t>
      </w:r>
      <w:r>
        <w:t xml:space="preserve">(GA20ox1_331_5UTR), the E165Q mutation in</w:t>
      </w:r>
      <w:r>
        <w:t xml:space="preserve"> </w:t>
      </w:r>
      <w:r>
        <w:rPr>
          <w:iCs/>
          <w:i/>
        </w:rPr>
        <w:t xml:space="preserve">HvMKK3</w:t>
      </w:r>
      <w:r>
        <w:t xml:space="preserve"> </w:t>
      </w:r>
      <w:r>
        <w:t xml:space="preserve">identified in Vetch et al. (2020) for both spring barley and winter barley. A summary of the winter barley haplotypes for the parent lines and checks are found in QTL x environment modeling of malting barley preharvest sprouting (Sweeney et al. 2021). All experimental lines and parent genotypes were monomorphic for dormant HvMKK3. The check lines Charles and Endeavor used as a phs susceptibility check in 2020 and 2021 respectively, have the highly non-dormant (N*) allele for MKK3 and the dormant AlaAT(D) allele, however we cannot make specific conclusions about this haplotype given the low representation in the winter barley population.</w:t>
      </w:r>
    </w:p>
    <w:p>
      <w:pPr>
        <w:pStyle w:val="BodyText"/>
      </w:pPr>
      <w:r>
        <w:t xml:space="preserve">All lines were genotyped with the 50Fk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A summary of the GWA results is presented in Table 1. Models were run for all trait/time point combinations</w:t>
      </w:r>
    </w:p>
    <w:bookmarkEnd w:id="28"/>
    <w:bookmarkEnd w:id="29"/>
    <w:bookmarkStart w:id="31" w:name="results"/>
    <w:p>
      <w:pPr>
        <w:pStyle w:val="Heading1"/>
      </w:pPr>
      <w:r>
        <w:t xml:space="preserve">Results</w:t>
      </w:r>
    </w:p>
    <w:p>
      <w:pPr>
        <w:pStyle w:val="FirstParagraph"/>
      </w:pPr>
      <w:r>
        <w:t xml:space="preserve">Pre-harvest sprouting</w:t>
      </w:r>
    </w:p>
    <w:p>
      <w:pPr>
        <w:pStyle w:val="BodyText"/>
      </w:pPr>
      <w:r>
        <w:t xml:space="preserve">For the 2020 year, we only did a subsample of phs scoring. While the 2020 data did follow the trend explained for the 2021 results, we did not have enough observations to determine whether all experimental lines in the 2020 year were resistant or susceptible to phs in the 2020 environment mainly due to low variation and sample size. In our first complete year observation of the 435 unique lines in our trials, we found that 95% of our experimental lines were pre-harvest sprouting resistant (0-2 score) across two locations. Approximately 4.4 % were somewhat resistant (2-4) and only 1.6 % of our lines were PHS susceptible (above 4). The low mean of phs for most of the lines is encouraging, however phs needs to be tested in at least more than one year to account for different environmental effects. This is particularly important given the significant increased dormancy we observed for the 2021 year. Given the low variation of phs scores, correlations were low to most of the GE and GI timepoints. PHS was only moderately correlated with the first timepoint (PM 5) for GE(0.633) and GI(0.683). Even with a week of after ripening, correlation with phs scores dropped significantly at time point 1.5(12 days post PM) for GE(0.367) and GI(0.415). This suggests that for our winter barley population, there is potential to select for increased dormancy break while maintaining PHS resistance. Broad sense heritability for all germination traits, timepoints, years and combinations were very high(0.9). Heritability dropped slight for GE at later time points due to reduced variation but still retained heritability values a minimum~0.75</w:t>
      </w:r>
    </w:p>
    <w:p>
      <w:pPr>
        <w:pStyle w:val="BodyText"/>
      </w:pPr>
      <w:r>
        <w:t xml:space="preserve">#making a table for significant effects</w:t>
      </w:r>
    </w:p>
    <w:p>
      <w:pPr>
        <w:pStyle w:val="BodyText"/>
      </w:pPr>
      <w:r>
        <w:t xml:space="preserve">#manhattan plot</w:t>
      </w:r>
    </w:p>
    <w:p>
      <w:pPr>
        <w:pStyle w:val="BodyText"/>
      </w:pPr>
      <w:r>
        <w:t xml:space="preserve">Genome wide association results</w:t>
      </w:r>
    </w:p>
    <w:p>
      <w:pPr>
        <w:pStyle w:val="BodyText"/>
      </w:pPr>
      <w:r>
        <w:t xml:space="preserve">If Qsd1 and associated MTAs on 5H are included as fixed effects and removed, markers JHI_Hv50k_2016_275586 JHI_Hv50k_2016_275688 JHI_Hv50k_2016_275904 on 4H reached borderline significant at Timepoints 12 and 19 in 2021 for GI.</w:t>
      </w:r>
      <w:r>
        <w:t xml:space="preserve"> </w:t>
      </w:r>
      <w:r>
        <w:t xml:space="preserve">“</w:t>
      </w:r>
      <w:r>
        <w:t xml:space="preserve">JHI_Hv50k_2016_275586</w:t>
      </w:r>
      <w:r>
        <w:t xml:space="preserve">”</w:t>
      </w:r>
      <w:r>
        <w:t xml:space="preserve"> </w:t>
      </w:r>
      <w:r>
        <w:t xml:space="preserve">“</w:t>
      </w:r>
      <w:r>
        <w:t xml:space="preserve">JHI_Hv50k_2016_275688</w:t>
      </w:r>
      <w:r>
        <w:t xml:space="preserve">”</w:t>
      </w:r>
      <w:r>
        <w:t xml:space="preserve"> </w:t>
      </w:r>
      <w:r>
        <w:t xml:space="preserve">“</w:t>
      </w:r>
      <w:r>
        <w:t xml:space="preserve">JHI_Hv50k_2016_275904</w:t>
      </w:r>
      <w:r>
        <w:t xml:space="preserve">”</w:t>
      </w:r>
      <w:r>
        <w:t xml:space="preserve"> </w:t>
      </w:r>
      <w:r>
        <w:t xml:space="preserve">reached significance in TP 68 2021 GI</w:t>
      </w:r>
    </w:p>
    <w:p>
      <w:pPr>
        <w:pStyle w:val="BodyText"/>
      </w:pPr>
      <w:r>
        <w:t xml:space="preserve">There is also a marker</w:t>
      </w:r>
      <w:r>
        <w:t xml:space="preserve"> </w:t>
      </w:r>
      <w:r>
        <w:t xml:space="preserve">“</w:t>
      </w:r>
      <w:r>
        <w:t xml:space="preserve">JHI_Hv50k_2016_64721</w:t>
      </w:r>
      <w:r>
        <w:t xml:space="preserve">”</w:t>
      </w:r>
      <w:r>
        <w:t xml:space="preserve"> </w:t>
      </w:r>
      <w:r>
        <w:t xml:space="preserve">on 2H that reaches borderline signifcnce in 19 GI 2021</w:t>
      </w:r>
    </w:p>
    <w:p>
      <w:pPr>
        <w:pStyle w:val="BodyText"/>
      </w:pPr>
      <w:r>
        <w:t xml:space="preserve">For single timepoint GWAS, we found a total of 37 significant marker trait associations associated with GE and GI across all timepoints and years. One marker per LD group of the significant single time point GWA was selected in table 1 to prevent redundancy. . The most significant association was the KASP marker for AlaAT_L214F(Qsd1) and the closely associated 50K_JHI-Hv50k-2016-276836(r=0.91) marker. Other potential hits detected in the study include Isoamylase (</w:t>
      </w:r>
      <w:r>
        <w:rPr>
          <w:iCs/>
          <w:i/>
        </w:rPr>
        <w:t xml:space="preserve">HvISA3</w:t>
      </w:r>
      <w:r>
        <w:t xml:space="preserve">,HORVU.MOREX.r2.5HG0404420) which is a starch-debranching enzyme located at 475796690-475807295 bp, 705025 bp distal to marker JHI-Hv50k-2016-311435. Isoamylases hydrolyze α-(1,6) glycosidic linkages and debranch amylopectin during grain filling (Gous and Fox, 2017). Shu and Rasmussen (2014) identified a MTA for amylose content highly associated with the contig MLOC_10776, which includes</w:t>
      </w:r>
      <w:r>
        <w:t xml:space="preserve"> </w:t>
      </w:r>
      <w:r>
        <w:rPr>
          <w:iCs/>
          <w:i/>
        </w:rPr>
        <w:t xml:space="preserve">HvISA3</w:t>
      </w:r>
      <w:r>
        <w:t xml:space="preserve"> </w:t>
      </w:r>
      <w:r>
        <w:t xml:space="preserve">(https://ics.hutton.ac.uk/morexGenes/).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w:t>
      </w:r>
      <w:r>
        <w:t xml:space="preserve"> </w:t>
      </w:r>
      <w:r>
        <w:rPr>
          <w:iCs/>
          <w:i/>
        </w:rPr>
        <w:t xml:space="preserve">HvISA3</w:t>
      </w:r>
      <w:r>
        <w:t xml:space="preserve"> </w:t>
      </w:r>
      <w:r>
        <w:t xml:space="preserve">is limited. This locus may be useful for PHS resistance but a consistent decrease in GI is not desirable. Negative impacts on starch related malting quality traits like malt extract may also be present.Another gene of interest in this region is an abscisic acid responsive protein (Liu et al. 2013). Abscisic acid (ABA) is an important regulator of seed dormancy in barley: increases in ABA maintain seed dormancy and decreases in ABA reduce seed dormancy in barley (Gómez-Cadenas et. al 1999). Other potential novel loci include HvVP1 (Viviparous-1) which may be associated with JHI-Hv50k-2016-165725 on chromosome 3H and segregating in the SY Tepee family. HvVP1 is a master transcription factor regulator that controls switching between seed maturation and germination in barley (Abraham et al. 2016). # Marker table</w:t>
      </w:r>
    </w:p>
    <w:bookmarkStart w:id="30" w:name="role-of-alanine-amino-transferase"/>
    <w:p>
      <w:pPr>
        <w:pStyle w:val="Heading3"/>
      </w:pPr>
      <w:r>
        <w:t xml:space="preserve">Role of alanine amino transferase</w:t>
      </w:r>
    </w:p>
    <w:p>
      <w:pPr>
        <w:pStyle w:val="FirstParagraph"/>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 The significant effect of the year environment on dormancy demonstrates the need to test seed germination traits across multiple years.</w:t>
      </w:r>
    </w:p>
    <w:p>
      <w:pPr>
        <w:pStyle w:val="BodyText"/>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30"/>
    <w:bookmarkEnd w:id="31"/>
    <w:bookmarkStart w:id="32" w:name="discussion"/>
    <w:p>
      <w:pPr>
        <w:pStyle w:val="Heading1"/>
      </w:pPr>
      <w:r>
        <w:t xml:space="preserve">Discussion</w:t>
      </w:r>
    </w:p>
    <w:p>
      <w:pPr>
        <w:pStyle w:val="FirstParagraph"/>
      </w:pPr>
      <w:r>
        <w:t xml:space="preserve">Important point- cooler temperatures during grainfill for winter barley could be a pereptual inducment of longer dormancy JHI_Hv50k_2016_454168 7(24882997) cm(24.21875) 1.23526E-05 0.233 0.12072 Alpha amylase inhibitor protein,,,, HORVU.MOREX.r2.7HG0538600 7H location(24968345 24968677)</w:t>
      </w:r>
    </w:p>
    <w:bookmarkEnd w:id="32"/>
    <w:bookmarkStart w:id="33" w:name="conclusion"/>
    <w:p>
      <w:pPr>
        <w:pStyle w:val="Heading1"/>
      </w:pPr>
      <w:r>
        <w:t xml:space="preserve">Conclusion</w:t>
      </w:r>
    </w:p>
    <w:bookmarkEnd w:id="33"/>
    <w:bookmarkStart w:id="78" w:name="section"/>
    <w:p>
      <w:pPr>
        <w:pStyle w:val="Heading1"/>
      </w:pPr>
    </w:p>
    <w:bookmarkStart w:id="77" w:name="refs"/>
    <w:bookmarkStart w:id="35"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34">
        <w:r>
          <w:rPr>
            <w:rStyle w:val="Hyperlink"/>
          </w:rPr>
          <w:t xml:space="preserve">https://doi.org/10.2135/cropsci1993.0011183X003300030008x</w:t>
        </w:r>
      </w:hyperlink>
      <w:r>
        <w:t xml:space="preserve">.</w:t>
      </w:r>
    </w:p>
    <w:bookmarkEnd w:id="35"/>
    <w:bookmarkStart w:id="37"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36">
        <w:r>
          <w:rPr>
            <w:rStyle w:val="Hyperlink"/>
          </w:rPr>
          <w:t xml:space="preserve">https://www.frontiersin.org/articles/10.3389/fpls.2017.01792</w:t>
        </w:r>
      </w:hyperlink>
      <w:r>
        <w:t xml:space="preserve">.</w:t>
      </w:r>
    </w:p>
    <w:bookmarkEnd w:id="37"/>
    <w:bookmarkStart w:id="39"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38">
        <w:r>
          <w:rPr>
            <w:rStyle w:val="Hyperlink"/>
          </w:rPr>
          <w:t xml:space="preserve">https://doi.org/10.1007/978-1-4614-4693-4_6</w:t>
        </w:r>
      </w:hyperlink>
      <w:r>
        <w:t xml:space="preserve">.</w:t>
      </w:r>
    </w:p>
    <w:bookmarkEnd w:id="39"/>
    <w:bookmarkStart w:id="41"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40">
        <w:r>
          <w:rPr>
            <w:rStyle w:val="Hyperlink"/>
          </w:rPr>
          <w:t xml:space="preserve">https://doi.org/10.17221/314/2010-CJFS</w:t>
        </w:r>
      </w:hyperlink>
      <w:r>
        <w:t xml:space="preserve">.</w:t>
      </w:r>
    </w:p>
    <w:bookmarkEnd w:id="41"/>
    <w:bookmarkStart w:id="42" w:name="ref-ASRgwas"/>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42"/>
    <w:bookmarkStart w:id="44"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43">
        <w:r>
          <w:rPr>
            <w:rStyle w:val="Hyperlink"/>
          </w:rPr>
          <w:t xml:space="preserve">https://doi.org/10.1016/j.pbi.2005.01.011</w:t>
        </w:r>
      </w:hyperlink>
      <w:r>
        <w:t xml:space="preserve">.</w:t>
      </w:r>
    </w:p>
    <w:bookmarkEnd w:id="44"/>
    <w:bookmarkStart w:id="46"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45">
        <w:r>
          <w:rPr>
            <w:rStyle w:val="Hyperlink"/>
          </w:rPr>
          <w:t xml:space="preserve">https://doi.org/10.1007/BF00222956</w:t>
        </w:r>
      </w:hyperlink>
      <w:r>
        <w:t xml:space="preserve">.</w:t>
      </w:r>
    </w:p>
    <w:bookmarkEnd w:id="46"/>
    <w:bookmarkStart w:id="48"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47">
        <w:r>
          <w:rPr>
            <w:rStyle w:val="Hyperlink"/>
          </w:rPr>
          <w:t xml:space="preserve">https://doi.org/10.1002/plr2.20129</w:t>
        </w:r>
      </w:hyperlink>
      <w:r>
        <w:t xml:space="preserve">.</w:t>
      </w:r>
    </w:p>
    <w:bookmarkEnd w:id="48"/>
    <w:bookmarkStart w:id="50"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49">
        <w:r>
          <w:rPr>
            <w:rStyle w:val="Hyperlink"/>
          </w:rPr>
          <w:t xml:space="preserve">https://doi.org/10.1111/pbi.13692</w:t>
        </w:r>
      </w:hyperlink>
      <w:r>
        <w:t xml:space="preserve">.</w:t>
      </w:r>
    </w:p>
    <w:bookmarkEnd w:id="50"/>
    <w:bookmarkStart w:id="52"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51">
        <w:r>
          <w:rPr>
            <w:rStyle w:val="Hyperlink"/>
          </w:rPr>
          <w:t xml:space="preserve">https://doi.org/10.1094/ASBCJ-55-0179</w:t>
        </w:r>
      </w:hyperlink>
      <w:r>
        <w:t xml:space="preserve">.</w:t>
      </w:r>
    </w:p>
    <w:bookmarkEnd w:id="52"/>
    <w:bookmarkStart w:id="54"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53">
        <w:r>
          <w:rPr>
            <w:rStyle w:val="Hyperlink"/>
          </w:rPr>
          <w:t xml:space="preserve">https://doi.org/10.2135/cropsci2008.05.0269</w:t>
        </w:r>
      </w:hyperlink>
      <w:r>
        <w:t xml:space="preserve">.</w:t>
      </w:r>
    </w:p>
    <w:bookmarkEnd w:id="54"/>
    <w:bookmarkStart w:id="56"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55">
        <w:r>
          <w:rPr>
            <w:rStyle w:val="Hyperlink"/>
          </w:rPr>
          <w:t xml:space="preserve">https://doi.org/10.1093/plcell/koab077</w:t>
        </w:r>
      </w:hyperlink>
      <w:r>
        <w:t xml:space="preserve">.</w:t>
      </w:r>
    </w:p>
    <w:bookmarkEnd w:id="56"/>
    <w:bookmarkStart w:id="58"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57">
        <w:r>
          <w:rPr>
            <w:rStyle w:val="Hyperlink"/>
          </w:rPr>
          <w:t xml:space="preserve">https://doi.org/10.21105/joss.04530</w:t>
        </w:r>
      </w:hyperlink>
      <w:r>
        <w:t xml:space="preserve">.</w:t>
      </w:r>
    </w:p>
    <w:bookmarkEnd w:id="58"/>
    <w:bookmarkStart w:id="60"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59">
        <w:r>
          <w:rPr>
            <w:rStyle w:val="Hyperlink"/>
          </w:rPr>
          <w:t xml:space="preserve">https://doi.org/10.1111/pce.13483</w:t>
        </w:r>
      </w:hyperlink>
      <w:r>
        <w:t xml:space="preserve">.</w:t>
      </w:r>
    </w:p>
    <w:bookmarkEnd w:id="60"/>
    <w:bookmarkStart w:id="62"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61">
        <w:r>
          <w:rPr>
            <w:rStyle w:val="Hyperlink"/>
          </w:rPr>
          <w:t xml:space="preserve">https://doi.org/10.1016/j.cub.2016.01.024</w:t>
        </w:r>
      </w:hyperlink>
      <w:r>
        <w:t xml:space="preserve">.</w:t>
      </w:r>
    </w:p>
    <w:bookmarkEnd w:id="62"/>
    <w:bookmarkStart w:id="64" w:name="ref-PricePrincipalComponents"/>
    <w:p>
      <w:pPr>
        <w:pStyle w:val="Bibliography"/>
      </w:pPr>
      <w:r>
        <w:t xml:space="preserve">“Price: Principal Components Analysis Corrects for... - Google Scholar.”</w:t>
      </w:r>
      <w:r>
        <w:t xml:space="preserve"> </w:t>
      </w:r>
      <w:r>
        <w:t xml:space="preserve">n.d.</w:t>
      </w:r>
      <w:r>
        <w:t xml:space="preserve"> </w:t>
      </w:r>
      <w:hyperlink r:id="rId63">
        <w:r>
          <w:rPr>
            <w:rStyle w:val="Hyperlink"/>
          </w:rPr>
          <w:t xml:space="preserve">https://scholar.google.com/scholar_lookup?journal=Nat.+Genet.&amp;title=Principal+components+analysis+corrects+for+stratification+in+genome-wide+association+studies&amp;author=A.L.+Price&amp;volume=38&amp;publication_year=2006&amp;pages=904-909&amp;pmid=16862161&amp;</w:t>
        </w:r>
      </w:hyperlink>
      <w:r>
        <w:t xml:space="preserve">.</w:t>
      </w:r>
    </w:p>
    <w:bookmarkEnd w:id="64"/>
    <w:bookmarkStart w:id="66"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65">
        <w:r>
          <w:rPr>
            <w:rStyle w:val="Hyperlink"/>
          </w:rPr>
          <w:t xml:space="preserve">https://doi.org/10.1038/ncomms11625</w:t>
        </w:r>
      </w:hyperlink>
      <w:r>
        <w:t xml:space="preserve">.</w:t>
      </w:r>
    </w:p>
    <w:bookmarkEnd w:id="66"/>
    <w:bookmarkStart w:id="68" w:name="ref-schmittMaltingExtremelySmall2011"/>
    <w:p>
      <w:pPr>
        <w:pStyle w:val="Bibliography"/>
      </w:pPr>
      <w:r>
        <w:t xml:space="preserve">Schmitt, Mark R., and Allen D. Budde. 2011.</w:t>
      </w:r>
      <w:r>
        <w:t xml:space="preserve"> </w:t>
      </w:r>
      <w:r>
        <w:t xml:space="preserve">“Malting Extremely Small Quantities of Barley.”</w:t>
      </w:r>
      <w:r>
        <w:t xml:space="preserve"> </w:t>
      </w:r>
      <w:r>
        <w:rPr>
          <w:iCs/>
          <w:i/>
        </w:rPr>
        <w:t xml:space="preserve">Journal of the American Society of Brewing Chemists</w:t>
      </w:r>
      <w:r>
        <w:t xml:space="preserve"> </w:t>
      </w:r>
      <w:r>
        <w:t xml:space="preserve">69 (4): 191–99.</w:t>
      </w:r>
      <w:r>
        <w:t xml:space="preserve"> </w:t>
      </w:r>
      <w:hyperlink r:id="rId67">
        <w:r>
          <w:rPr>
            <w:rStyle w:val="Hyperlink"/>
          </w:rPr>
          <w:t xml:space="preserve">https://doi.org/10.1094/ASBCJ-2011-0728-01</w:t>
        </w:r>
      </w:hyperlink>
      <w:r>
        <w:t xml:space="preserve">.</w:t>
      </w:r>
    </w:p>
    <w:bookmarkEnd w:id="68"/>
    <w:bookmarkStart w:id="70"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69">
        <w:r>
          <w:rPr>
            <w:rStyle w:val="Hyperlink"/>
          </w:rPr>
          <w:t xml:space="preserve">https://doi.org/10.1007/s00122-021-03961-5</w:t>
        </w:r>
      </w:hyperlink>
      <w:r>
        <w:t xml:space="preserve">.</w:t>
      </w:r>
    </w:p>
    <w:bookmarkEnd w:id="70"/>
    <w:bookmarkStart w:id="72"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71">
        <w:r>
          <w:rPr>
            <w:rStyle w:val="Hyperlink"/>
          </w:rPr>
          <w:t xml:space="preserve">https://doi.org/10.1002/csc2.20641</w:t>
        </w:r>
      </w:hyperlink>
      <w:r>
        <w:t xml:space="preserve">.</w:t>
      </w:r>
    </w:p>
    <w:bookmarkEnd w:id="72"/>
    <w:bookmarkStart w:id="74"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73">
        <w:r>
          <w:rPr>
            <w:rStyle w:val="Hyperlink"/>
          </w:rPr>
          <w:t xml:space="preserve">https://doi.org/10.1002/csc2.20178</w:t>
        </w:r>
      </w:hyperlink>
      <w:r>
        <w:t xml:space="preserve">.</w:t>
      </w:r>
    </w:p>
    <w:bookmarkEnd w:id="74"/>
    <w:bookmarkStart w:id="76"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75">
        <w:r>
          <w:rPr>
            <w:rStyle w:val="Hyperlink"/>
          </w:rPr>
          <w:t xml:space="preserve">https://doi.org/10.1016/j.copbio.2006.02.003</w:t>
        </w:r>
      </w:hyperlink>
      <w:r>
        <w:t xml:space="preserve">.</w:t>
      </w:r>
    </w:p>
    <w:bookmarkEnd w:id="76"/>
    <w:bookmarkEnd w:id="77"/>
    <w:bookmarkEnd w:id="78"/>
    <w:sectPr w:rsidR="00C64DAE" w:rsidSect="00B91989">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EA019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5403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BCCEC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3506D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DA18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BC27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9C8F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540E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E32AD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969F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6CC9E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297796" w:numId="1">
    <w:abstractNumId w:val="10"/>
  </w:num>
  <w:num w16cid:durableId="978531399" w:numId="2">
    <w:abstractNumId w:val="9"/>
  </w:num>
  <w:num w16cid:durableId="1527209381" w:numId="3">
    <w:abstractNumId w:val="7"/>
  </w:num>
  <w:num w16cid:durableId="907694978" w:numId="4">
    <w:abstractNumId w:val="6"/>
  </w:num>
  <w:num w16cid:durableId="918101831" w:numId="5">
    <w:abstractNumId w:val="5"/>
  </w:num>
  <w:num w16cid:durableId="357200543" w:numId="6">
    <w:abstractNumId w:val="4"/>
  </w:num>
  <w:num w16cid:durableId="1213037997" w:numId="7">
    <w:abstractNumId w:val="8"/>
  </w:num>
  <w:num w16cid:durableId="1121075243" w:numId="8">
    <w:abstractNumId w:val="3"/>
  </w:num>
  <w:num w16cid:durableId="945886419" w:numId="9">
    <w:abstractNumId w:val="2"/>
  </w:num>
  <w:num w16cid:durableId="1872381643" w:numId="10">
    <w:abstractNumId w:val="1"/>
  </w:num>
  <w:num w16cid:durableId="191589590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F11E8"/>
    <w:pPr>
      <w:keepNext/>
      <w:keepLines/>
      <w:spacing w:after="0" w:before="480"/>
      <w:outlineLvl w:val="0"/>
    </w:pPr>
    <w:rPr>
      <w:rFonts w:ascii="Times New Roman" w:cstheme="majorBidi" w:eastAsiaTheme="majorEastAsia" w:hAnsi="Times New Roman"/>
      <w:b/>
      <w:bCs/>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E8"/>
    <w:pPr>
      <w:spacing w:after="180" w:before="180"/>
    </w:pPr>
    <w:rPr>
      <w:rFonts w:ascii="Times New Roman" w:hAnsi="Times New Roman"/>
    </w:rPr>
  </w:style>
  <w:style w:customStyle="1" w:styleId="FirstParagraph" w:type="paragraph">
    <w:name w:val="First Paragraph"/>
    <w:basedOn w:val="BodyText"/>
    <w:next w:val="BodyText"/>
    <w:qFormat/>
    <w:rsid w:val="008F11E8"/>
  </w:style>
  <w:style w:customStyle="1" w:styleId="Compact" w:type="paragraph">
    <w:name w:val="Compact"/>
    <w:basedOn w:val="BodyText"/>
    <w:qFormat/>
    <w:pPr>
      <w:spacing w:after="36" w:before="36"/>
    </w:pPr>
  </w:style>
  <w:style w:styleId="Title" w:type="paragraph">
    <w:name w:val="Title"/>
    <w:basedOn w:val="Normal"/>
    <w:next w:val="BodyText"/>
    <w:qFormat/>
    <w:rsid w:val="008F11E8"/>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rsid w:val="008F11E8"/>
    <w:pPr>
      <w:spacing w:before="240"/>
    </w:pPr>
    <w:rPr>
      <w:szCs w:val="30"/>
    </w:rPr>
  </w:style>
  <w:style w:customStyle="1" w:styleId="Author" w:type="paragraph">
    <w:name w:val="Author"/>
    <w:next w:val="BodyText"/>
    <w:qFormat/>
    <w:rsid w:val="008F11E8"/>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F11E8"/>
    <w:rPr>
      <w:rFonts w:ascii="Times New Roman" w:hAnsi="Times New Roman"/>
    </w:rPr>
  </w:style>
  <w:style w:styleId="LineNumber" w:type="character">
    <w:name w:val="line number"/>
    <w:basedOn w:val="DefaultParagraphFont"/>
    <w:semiHidden/>
    <w:unhideWhenUsed/>
    <w:rsid w:val="00B9198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i.org/10.1002/csc2.20178" TargetMode="External" /><Relationship Type="http://schemas.openxmlformats.org/officeDocument/2006/relationships/hyperlink" Id="rId71" Target="https://doi.org/10.1002/csc2.20641" TargetMode="External" /><Relationship Type="http://schemas.openxmlformats.org/officeDocument/2006/relationships/hyperlink" Id="rId47" Target="https://doi.org/10.1002/plr2.20129" TargetMode="External" /><Relationship Type="http://schemas.openxmlformats.org/officeDocument/2006/relationships/hyperlink" Id="rId38" Target="https://doi.org/10.1007/978-1-4614-4693-4_6" TargetMode="External" /><Relationship Type="http://schemas.openxmlformats.org/officeDocument/2006/relationships/hyperlink" Id="rId45" Target="https://doi.org/10.1007/BF00222956" TargetMode="External" /><Relationship Type="http://schemas.openxmlformats.org/officeDocument/2006/relationships/hyperlink" Id="rId69" Target="https://doi.org/10.1007/s00122-021-03961-5" TargetMode="External" /><Relationship Type="http://schemas.openxmlformats.org/officeDocument/2006/relationships/hyperlink" Id="rId75" Target="https://doi.org/10.1016/j.copbio.2006.02.003" TargetMode="External" /><Relationship Type="http://schemas.openxmlformats.org/officeDocument/2006/relationships/hyperlink" Id="rId61" Target="https://doi.org/10.1016/j.cub.2016.01.024" TargetMode="External" /><Relationship Type="http://schemas.openxmlformats.org/officeDocument/2006/relationships/hyperlink" Id="rId43" Target="https://doi.org/10.1016/j.pbi.2005.01.011" TargetMode="External" /><Relationship Type="http://schemas.openxmlformats.org/officeDocument/2006/relationships/hyperlink" Id="rId65" Target="https://doi.org/10.1038/ncomms11625" TargetMode="External" /><Relationship Type="http://schemas.openxmlformats.org/officeDocument/2006/relationships/hyperlink" Id="rId55" Target="https://doi.org/10.1093/plcell/koab077" TargetMode="External" /><Relationship Type="http://schemas.openxmlformats.org/officeDocument/2006/relationships/hyperlink" Id="rId67" Target="https://doi.org/10.1094/ASBCJ-2011-0728-01" TargetMode="External" /><Relationship Type="http://schemas.openxmlformats.org/officeDocument/2006/relationships/hyperlink" Id="rId51" Target="https://doi.org/10.1094/ASBCJ-55-0179" TargetMode="External" /><Relationship Type="http://schemas.openxmlformats.org/officeDocument/2006/relationships/hyperlink" Id="rId49" Target="https://doi.org/10.1111/pbi.13692" TargetMode="External" /><Relationship Type="http://schemas.openxmlformats.org/officeDocument/2006/relationships/hyperlink" Id="rId59" Target="https://doi.org/10.1111/pce.13483" TargetMode="External" /><Relationship Type="http://schemas.openxmlformats.org/officeDocument/2006/relationships/hyperlink" Id="rId40" Target="https://doi.org/10.17221/314/2010-CJFS" TargetMode="External" /><Relationship Type="http://schemas.openxmlformats.org/officeDocument/2006/relationships/hyperlink" Id="rId57" Target="https://doi.org/10.21105/joss.04530" TargetMode="External" /><Relationship Type="http://schemas.openxmlformats.org/officeDocument/2006/relationships/hyperlink" Id="rId34" Target="https://doi.org/10.2135/cropsci1993.0011183X003300030008x" TargetMode="External" /><Relationship Type="http://schemas.openxmlformats.org/officeDocument/2006/relationships/hyperlink" Id="rId53" Target="https://doi.org/10.2135/cropsci2008.05.0269" TargetMode="External" /><Relationship Type="http://schemas.openxmlformats.org/officeDocument/2006/relationships/hyperlink" Id="rId63"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6" Target="https://www.frontiersin.org/articles/10.3389/fpls.2017.01792"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2/csc2.20178" TargetMode="External" /><Relationship Type="http://schemas.openxmlformats.org/officeDocument/2006/relationships/hyperlink" Id="rId71" Target="https://doi.org/10.1002/csc2.20641" TargetMode="External" /><Relationship Type="http://schemas.openxmlformats.org/officeDocument/2006/relationships/hyperlink" Id="rId47" Target="https://doi.org/10.1002/plr2.20129" TargetMode="External" /><Relationship Type="http://schemas.openxmlformats.org/officeDocument/2006/relationships/hyperlink" Id="rId38" Target="https://doi.org/10.1007/978-1-4614-4693-4_6" TargetMode="External" /><Relationship Type="http://schemas.openxmlformats.org/officeDocument/2006/relationships/hyperlink" Id="rId45" Target="https://doi.org/10.1007/BF00222956" TargetMode="External" /><Relationship Type="http://schemas.openxmlformats.org/officeDocument/2006/relationships/hyperlink" Id="rId69" Target="https://doi.org/10.1007/s00122-021-03961-5" TargetMode="External" /><Relationship Type="http://schemas.openxmlformats.org/officeDocument/2006/relationships/hyperlink" Id="rId75" Target="https://doi.org/10.1016/j.copbio.2006.02.003" TargetMode="External" /><Relationship Type="http://schemas.openxmlformats.org/officeDocument/2006/relationships/hyperlink" Id="rId61" Target="https://doi.org/10.1016/j.cub.2016.01.024" TargetMode="External" /><Relationship Type="http://schemas.openxmlformats.org/officeDocument/2006/relationships/hyperlink" Id="rId43" Target="https://doi.org/10.1016/j.pbi.2005.01.011" TargetMode="External" /><Relationship Type="http://schemas.openxmlformats.org/officeDocument/2006/relationships/hyperlink" Id="rId65" Target="https://doi.org/10.1038/ncomms11625" TargetMode="External" /><Relationship Type="http://schemas.openxmlformats.org/officeDocument/2006/relationships/hyperlink" Id="rId55" Target="https://doi.org/10.1093/plcell/koab077" TargetMode="External" /><Relationship Type="http://schemas.openxmlformats.org/officeDocument/2006/relationships/hyperlink" Id="rId67" Target="https://doi.org/10.1094/ASBCJ-2011-0728-01" TargetMode="External" /><Relationship Type="http://schemas.openxmlformats.org/officeDocument/2006/relationships/hyperlink" Id="rId51" Target="https://doi.org/10.1094/ASBCJ-55-0179" TargetMode="External" /><Relationship Type="http://schemas.openxmlformats.org/officeDocument/2006/relationships/hyperlink" Id="rId49" Target="https://doi.org/10.1111/pbi.13692" TargetMode="External" /><Relationship Type="http://schemas.openxmlformats.org/officeDocument/2006/relationships/hyperlink" Id="rId59" Target="https://doi.org/10.1111/pce.13483" TargetMode="External" /><Relationship Type="http://schemas.openxmlformats.org/officeDocument/2006/relationships/hyperlink" Id="rId40" Target="https://doi.org/10.17221/314/2010-CJFS" TargetMode="External" /><Relationship Type="http://schemas.openxmlformats.org/officeDocument/2006/relationships/hyperlink" Id="rId57" Target="https://doi.org/10.21105/joss.04530" TargetMode="External" /><Relationship Type="http://schemas.openxmlformats.org/officeDocument/2006/relationships/hyperlink" Id="rId34" Target="https://doi.org/10.2135/cropsci1993.0011183X003300030008x" TargetMode="External" /><Relationship Type="http://schemas.openxmlformats.org/officeDocument/2006/relationships/hyperlink" Id="rId53" Target="https://doi.org/10.2135/cropsci2008.05.0269" TargetMode="External" /><Relationship Type="http://schemas.openxmlformats.org/officeDocument/2006/relationships/hyperlink" Id="rId63" Target="https://scholar.google.com/scholar_lookup?journal=Nat.+Genet.&amp;title=Principal+components+analysis+corrects+for+stratification+in+genome-wide+association+studies&amp;author=A.L.+Price&amp;volume=38&amp;publication_year=2006&amp;pages=904-909&amp;pmid=16862161&amp;" TargetMode="External" /><Relationship Type="http://schemas.openxmlformats.org/officeDocument/2006/relationships/hyperlink" Id="rId36" Target="https://www.frontiersin.org/articles/10.3389/fpls.2017.017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Mark Sorrells</dc:creator>
  <cp:keywords/>
  <dcterms:created xsi:type="dcterms:W3CDTF">2023-04-03T22:22:26Z</dcterms:created>
  <dcterms:modified xsi:type="dcterms:W3CDTF">2023-04-03T22:22:26Z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toc-title">
    <vt:lpwstr>Table of contents</vt:lpwstr>
  </property>
</Properties>
</file>