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Summary of the fixed and residual model terms fitted at each timepoint across germination energy, germination index, and preharvest sprouting for genome wide assocation modeling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451"/>
        <w:gridCol w:w="778"/>
        <w:gridCol w:w="753"/>
        <w:gridCol w:w="533"/>
        <w:gridCol w:w="3444"/>
        <w:gridCol w:w="1242"/>
        <w:gridCol w:w="753"/>
      </w:tblGrid>
      <w:tr>
        <w:trPr>
          <w:trHeight w:val="144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trait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 matrix?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Fixed effect term(s)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Residual terms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Converged?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Location:Rep + 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 +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replication:Row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Note: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PM date: days after physiological maturity; PCs: Number of Principal components included in the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GE: Germination Energy, GI: Germination index, GI 0:unadjusted germination index, PHS: Preharvest sprouting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Rep:Replication of dormancy assay measured within each timepoint; Row: spatial effect of Row in the field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2023-05-31T17:44:22Z</dcterms:modified>
  <cp:category/>
</cp:coreProperties>
</file>