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Summary of the fixed and residual model terms fitted at each timepoint across germination energy, germination index, and preharvest sprouting for genome wide assocation modeling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3"/>
        <w:gridCol w:w="1451"/>
        <w:gridCol w:w="778"/>
        <w:gridCol w:w="753"/>
        <w:gridCol w:w="533"/>
        <w:gridCol w:w="3444"/>
        <w:gridCol w:w="1242"/>
        <w:gridCol w:w="753"/>
      </w:tblGrid>
      <w:tr>
        <w:trPr>
          <w:trHeight w:val="144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trait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PM date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Q matrix?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Fixed effect term(s)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Residual terms</w:t>
            </w: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Converged?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Location:Rep + 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 + 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 + 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 + Year:replication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2020/2021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Year+ Year:Location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61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replication:Row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61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Location:Row + replication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GI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both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Note: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PM date: days after physiological maturity; PCs: Number of Principal components included in the model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a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GE: Germination Energy, GI: Germination index, GI 0:unadjusted germination index, PHS: Preharvest sprouting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b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Rep:Replication of dormancy assay measured within each timepoint; Row: spatial effect of Row in the field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2023-04-16T12:33:14Z</dcterms:modified>
  <cp:category/>
</cp:coreProperties>
</file>