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Summary of the fixed and residual model terms fitted at each timepoint across germination energy, germination index, and preharvest sprouting for genome wide assocation modeling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451"/>
        <w:gridCol w:w="778"/>
        <w:gridCol w:w="753"/>
        <w:gridCol w:w="533"/>
        <w:gridCol w:w="3444"/>
        <w:gridCol w:w="1242"/>
        <w:gridCol w:w="753"/>
      </w:tblGrid>
      <w:tr>
        <w:trPr>
          <w:trHeight w:val="144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trait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 matrix?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Fixed effect term(s)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Residual terms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Converged?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Location:Rep + 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 +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replication:Row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Note: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PM date: days after physiological maturity; PCs: Number of Principal components included in the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GE: Germination Energy, GI: Germination index, GI 0:unadjusted germination index, PHS: Preharvest sprouting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Rep:Replication of dormancy assay measured within each timepoint; Row: spatial effect of Row in the field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2023-05-31T17:23:43Z</dcterms:modified>
  <cp:category/>
</cp:coreProperties>
</file>