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Summary of the fixed and residual model terms fitted at each timepoint across germination energy, germination index, and preharvest sprouting for genome wide assocation modeling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1451"/>
        <w:gridCol w:w="778"/>
        <w:gridCol w:w="753"/>
        <w:gridCol w:w="533"/>
        <w:gridCol w:w="3444"/>
        <w:gridCol w:w="1242"/>
        <w:gridCol w:w="753"/>
      </w:tblGrid>
      <w:tr>
        <w:trPr>
          <w:trHeight w:val="144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trait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PM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 matrix?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Fixed effect term(s)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Residual terms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Converged?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Location:Rep + 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 +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replication:Row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Note: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PM date: days after physiological maturity; PCs: Number of Principal components included in the model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GE: Germination Energy, GI: Germination index, GI 0:unadjusted germination index, PHS: Preharvest sprouting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Rep:Replication of dormancy assay measured within each timepoint; Row: spatial effect of Row in the field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2023-05-31T13:24:14Z</dcterms:modified>
  <cp:category/>
</cp:coreProperties>
</file>