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priorizações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jgtfm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pos="8503"/>
            </w:tabs>
            <w:spacing w:before="8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"_heading=h.kduvfkcniham"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6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8kqfx74gy7zz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"_heading=h.8kqfx74gy7zz"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7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72is72dasa5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"_heading=h.72is72dasa5h"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"_heading=h.9ppmulvieldr"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9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c7di7qmsma4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"_heading=h.c7di7qmsma46"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A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z377z49ulok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"_heading=h.z377z49ulok6"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B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b460rcth26pm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"_heading=h.b460rcth26pm"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C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"_heading=h.kzkgqw9di5du"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D">
          <w:pPr>
            <w:tabs>
              <w:tab w:val="right" w:pos="8503"/>
            </w:tabs>
            <w:spacing w:after="80"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1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42">
      <w:pPr>
        <w:spacing w:line="360" w:lineRule="auto"/>
        <w:ind w:firstLine="85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prioridades foram definidas utilizando os seguintes critérios: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Alta: H.U. necessárias para o funcionamento do sistema;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Média: H.U. que são features, sugestões convenientes e funcionalidades que são boas mas sem elas o sistema continua funcional;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Baixa: funcionalidades médias que são de difícil implementação [ podem atrasar todo o projeto 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80" w:before="28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4B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280" w:before="28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7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7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7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8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9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A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A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B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B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D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D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E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0E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0F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0F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0F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que foram acatadas</w:t>
      </w:r>
    </w:p>
    <w:p w:rsidR="00000000" w:rsidDel="00000000" w:rsidP="00000000" w:rsidRDefault="00000000" w:rsidRPr="00000000" w14:paraId="0000010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0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1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1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3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3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4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4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5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5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heading=h.ceqrx8ikfn7k" w:id="9"/>
      <w:bookmarkEnd w:id="9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9RdY/0OWoruBaECxdtcgC4K8rA==">AMUW2mUJtxNiWHn1LLmnY6YNURLH4eIqG2emGzRIALFjMo17pl9t+/WvsEKP9vKP++uV6zPpxiT2bFYIHP5zUIDs41yS3K0RlDzc+O9zOy85YZl61y2mMd8yxqflR0leYTItg/ZU/iKH5s3oQ+Oks5DcXTt6Tv5prBbpcpqW5B2vT5kkCf7OeffNWXzAe4Vk8mDNBkWavqtF/DvfptU6K0nK9nmKMlr8bwcafVlV86hbKAcM+8CrLU+HI9uUCXgZWB44Pv0BF0dOdVvSV2ZDarDE1r7cLBxY195fxqZUTbEkeMhjnwX01Thc9jZPGFOzPbHGaEPWsk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