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Boston University Questrom School of Business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MF 793 – Fall 2021</w:t>
      </w:r>
    </w:p>
    <w:p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Eric Jacquier</w:t>
      </w:r>
    </w:p>
    <w:p>
      <w:pPr>
        <w:spacing w:after="0"/>
        <w:jc w:val="center"/>
        <w:rPr>
          <w:sz w:val="28"/>
          <w:szCs w:val="28"/>
        </w:rPr>
      </w:pPr>
    </w:p>
    <w:p>
      <w:pPr>
        <w:spacing w:after="0"/>
        <w:jc w:val="center"/>
        <w:rPr>
          <w:b/>
        </w:rPr>
      </w:pPr>
      <w:r>
        <w:rPr>
          <w:b/>
        </w:rPr>
        <w:t>Problem Set 3</w:t>
      </w:r>
    </w:p>
    <w:p>
      <w:pPr>
        <w:spacing w:after="0"/>
        <w:jc w:val="center"/>
        <w:rPr>
          <w:b/>
        </w:rPr>
      </w:pPr>
      <w:r>
        <w:rPr>
          <w:b/>
        </w:rPr>
        <w:t>Not Due Sunday October 24</w:t>
      </w:r>
      <w:r>
        <w:rPr>
          <w:b/>
          <w:vertAlign w:val="superscript"/>
        </w:rPr>
        <w:t>rd</w:t>
      </w:r>
      <w:r>
        <w:rPr>
          <w:b/>
        </w:rPr>
        <w:t xml:space="preserve"> at 1pm Boston Time</w:t>
      </w:r>
    </w:p>
    <w:p>
      <w:pPr>
        <w:spacing w:after="0"/>
        <w:jc w:val="center"/>
        <w:rPr>
          <w:b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"/>
        </w:rPr>
        <w:t>This Problem Set is intended to help you further prepare for the midterm. It will not be graded.</w:t>
      </w:r>
      <w:r>
        <w:rPr>
          <w:rFonts w:cs="Times"/>
          <w:color w:val="000000" w:themeColor="text1"/>
          <w14:textFill>
            <w14:solidFill>
              <w14:schemeClr w14:val="tx1"/>
            </w14:solidFill>
          </w14:textFill>
        </w:rPr>
        <w:t xml:space="preserve"> A purely numerical solution with no explanation and no R code will be posted on Sunday October 24</w:t>
      </w:r>
      <w:r>
        <w:rPr>
          <w:rFonts w:cs="Times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cs="Times"/>
          <w:color w:val="000000" w:themeColor="text1"/>
          <w14:textFill>
            <w14:solidFill>
              <w14:schemeClr w14:val="tx1"/>
            </w14:solidFill>
          </w14:textFill>
        </w:rPr>
        <w:t xml:space="preserve"> at 1pm Boston time.</w:t>
      </w:r>
    </w:p>
    <w:p>
      <w:pPr>
        <w:spacing w:after="0"/>
      </w:pPr>
    </w:p>
    <w:p>
      <w:pPr>
        <w:rPr>
          <w:b/>
        </w:rPr>
      </w:pPr>
    </w:p>
    <w:p>
      <w:pPr>
        <w:spacing w:after="0"/>
        <w:rPr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  <w:r>
        <w:rPr>
          <w:rFonts w:cs="Times"/>
          <w:b/>
          <w:u w:val="single"/>
        </w:rPr>
        <w:t xml:space="preserve">Problem 1: 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The file Vanguard.csv contains the weekly NAV of two Vanguard funds for 5 years. Compute the log-returns.</w:t>
      </w: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Find out what these funds are trying to do. Describe in a line for each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VSIAX: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This low-cost index fund offers exposure to small-capitalization U.S. value stocks. Value stocks are those that may be temporarily undervalued by investors. These companies typically grow at a slower pace than the typical company. The fund seeks to track a value-style index of small-sized companies. One of the fund’s primary risks is its focus on the small-cap arena, which is an often-volatile segment of the market. Investors looking to add a passively managed, small-cap value allocation to an already diversified portfolio may wish to consider this fund.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VSG</w:t>
      </w:r>
      <w:r>
        <w:rPr>
          <w:rFonts w:hint="eastAsia" w:cs="Times"/>
          <w:lang w:val="en-US" w:eastAsia="zh-Hans"/>
        </w:rPr>
        <w:t>A</w:t>
      </w:r>
      <w:r>
        <w:rPr>
          <w:rFonts w:cs="Times"/>
        </w:rPr>
        <w:t>X: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This low-cost index fund offers exposure to small-capitalization U.S. growth stocks, which tend to grow more quickly than the broader market. The fund seeks to track a growth-style index of small-sized companies. One of the fund’s primary risks is its focus on the small-cap arena, which is an often-volatile segment of the market.  Investors looking to add a passively managed, small-cap growth allocation to an already diversified portfolio may wish to consider this fund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Estimate the means and std. devs. of the two funds. Make the usual assumption for the aggregation formulas to work. Assume 52 weeks per year. Fill in Table 1 with the 95% confidence intervals for these four quantities for both funds and show your work below. 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Fill in skewness and kurtosis estimates in Table 1. Also fill in Table 1 with in an asymptotic </w:t>
      </w:r>
      <w:r>
        <w:rPr>
          <w:rFonts w:cs="Times"/>
          <w:color w:val="000000" w:themeColor="text1"/>
          <w14:textFill>
            <w14:solidFill>
              <w14:schemeClr w14:val="tx1"/>
            </w14:solidFill>
          </w14:textFill>
        </w:rPr>
        <w:t xml:space="preserve">95% </w:t>
      </w:r>
      <w:r>
        <w:rPr>
          <w:rFonts w:cs="Times"/>
        </w:rPr>
        <w:t xml:space="preserve">confidence intervals for the skewness estimate and a </w:t>
      </w:r>
      <w:r>
        <w:rPr>
          <w:rFonts w:cs="Times"/>
          <w:b/>
          <w:color w:val="FF0000"/>
        </w:rPr>
        <w:t xml:space="preserve">90% </w:t>
      </w:r>
      <w:r>
        <w:rPr>
          <w:rFonts w:cs="Times"/>
        </w:rPr>
        <w:t xml:space="preserve"> asymptotic confidence interval (</w:t>
      </w:r>
      <w:r>
        <w:rPr>
          <w:rFonts w:cs="Times"/>
          <w:b/>
          <w:color w:val="00B0F0"/>
        </w:rPr>
        <w:t>CI</w:t>
      </w:r>
      <w:r>
        <w:rPr>
          <w:rFonts w:cs="Times"/>
        </w:rPr>
        <w:t>)for the kurtosis estimate.</w:t>
      </w:r>
    </w:p>
    <w:p>
      <w:pPr>
        <w:pStyle w:val="8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>
      <w:pPr>
        <w:pStyle w:val="8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>
      <w:pPr>
        <w:pStyle w:val="8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Can you reject the null of zero skewness, of kurtosis equal to 3, at the 5% level? Assume a two-sided alternative for skewness and a one-sided alternative for Kurtosis (i.e. true kurtosis can’t be smaller than 3)</w:t>
      </w: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pStyle w:val="8"/>
        <w:numPr>
          <w:ilvl w:val="0"/>
          <w:numId w:val="1"/>
        </w:numPr>
        <w:spacing w:after="0"/>
        <w:rPr>
          <w:rFonts w:cs="Times"/>
        </w:rPr>
      </w:pPr>
      <w:r>
        <w:rPr>
          <w:rFonts w:cs="Times"/>
        </w:rPr>
        <w:t>Learn what the Jarque-Bera test of normality is, write its formula and its asypmtotic distribution under the null of normality:</w:t>
      </w: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spacing w:after="0"/>
        <w:ind w:left="360"/>
        <w:rPr>
          <w:rFonts w:cs="Times"/>
        </w:rPr>
      </w:pPr>
      <w:r>
        <w:rPr>
          <w:rFonts w:cs="Times"/>
        </w:rPr>
        <w:t xml:space="preserve">JB = </w:t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 xml:space="preserve">JB </w:t>
      </w:r>
      <m:oMath>
        <m:acc>
          <m:accPr>
            <m:chr m:val="̇"/>
            <m:ctrlPr>
              <w:rPr>
                <w:rFonts w:ascii="Cambria Math" w:hAnsi="Cambria Math" w:cs="Times"/>
                <w:i/>
              </w:rPr>
            </m:ctrlPr>
          </m:accPr>
          <m:e>
            <m:r>
              <w:rPr>
                <w:rFonts w:ascii="Cambria Math" w:hAnsi="Cambria Math" w:cs="Times"/>
              </w:rPr>
              <m:t>~</m:t>
            </m:r>
            <m:ctrlPr>
              <w:rPr>
                <w:rFonts w:ascii="Cambria Math" w:hAnsi="Cambria Math" w:cs="Times"/>
                <w:i/>
              </w:rPr>
            </m:ctrlPr>
          </m:e>
        </m:acc>
      </m:oMath>
      <w:r>
        <w:rPr>
          <w:rFonts w:cs="Times"/>
        </w:rPr>
        <w:t xml:space="preserve"> </w:t>
      </w: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spacing w:after="0"/>
        <w:ind w:left="360"/>
        <w:rPr>
          <w:rFonts w:cs="Times"/>
        </w:rPr>
      </w:pPr>
      <w:r>
        <w:rPr>
          <w:rFonts w:cs="Times"/>
        </w:rPr>
        <w:t xml:space="preserve">Fill in the JB estimates and </w:t>
      </w:r>
      <w:r>
        <w:rPr>
          <w:rFonts w:cs="Times"/>
          <w:b/>
          <w:i/>
          <w:color w:val="00B0F0"/>
        </w:rPr>
        <w:t>p-values</w:t>
      </w:r>
      <w:r>
        <w:rPr>
          <w:rFonts w:cs="Times"/>
        </w:rPr>
        <w:t xml:space="preserve"> in Table 1</w:t>
      </w:r>
    </w:p>
    <w:p>
      <w:pPr>
        <w:spacing w:after="0"/>
        <w:rPr>
          <w:rFonts w:cs="Times"/>
        </w:rPr>
      </w:pPr>
    </w:p>
    <w:p>
      <w:pPr>
        <w:spacing w:after="0"/>
        <w:ind w:left="360"/>
        <w:rPr>
          <w:rFonts w:cs="Times"/>
        </w:rPr>
      </w:pPr>
      <w:r>
        <w:rPr>
          <w:rFonts w:cs="Times"/>
        </w:rPr>
        <w:t>Given these, do you reject the null of Normality?</w:t>
      </w: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Write a 95% confidence interval (annualized) for the difference between the two means. Fill in Table 1 for VSIAX – VSGX. Can you reject the null hypothesis that the two funds have equal returns?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Compute the classic Variance Ratio statistic, and test (See the F distribution) the hypothesis that the two funds have equal variance at the 5% level.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 xml:space="preserve">VR = </w:t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 xml:space="preserve">VR </w:t>
      </w:r>
      <w:r>
        <w:rPr>
          <w:rFonts w:ascii="Cambria Math" w:hAnsi="Cambria Math" w:cs="Cambria Math"/>
        </w:rPr>
        <w:t>∼</w:t>
      </w:r>
      <w:r>
        <w:rPr>
          <w:rFonts w:cs="Times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>
      <w:pPr>
        <w:ind w:left="360"/>
      </w:pPr>
      <w:r>
        <w:t>Test cut-off value:</w:t>
      </w: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</w:p>
    <w:p>
      <w:pPr>
        <w:spacing w:after="0"/>
        <w:rPr>
          <w:rFonts w:cs="Times"/>
        </w:rPr>
      </w:pPr>
      <w:r>
        <w:rPr>
          <w:rFonts w:cs="Times"/>
        </w:rPr>
        <w:t>Table 1: Estimates, CI’s in brackets</w:t>
      </w:r>
    </w:p>
    <w:tbl>
      <w:tblPr>
        <w:tblStyle w:val="7"/>
        <w:tblW w:w="972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080"/>
        <w:gridCol w:w="1080"/>
        <w:gridCol w:w="1080"/>
        <w:gridCol w:w="1080"/>
        <w:gridCol w:w="1080"/>
        <w:gridCol w:w="1170"/>
        <w:gridCol w:w="1170"/>
      </w:tblGrid>
      <w:tr>
        <w:trPr>
          <w:trHeight w:val="288" w:hRule="exact"/>
        </w:trPr>
        <w:tc>
          <w:tcPr>
            <w:tcW w:w="1980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Weekly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Annualize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980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D"/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73"/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D"/>
            </w:r>
            <w:r>
              <w:rPr>
                <w:sz w:val="22"/>
                <w:szCs w:val="22"/>
                <w:vertAlign w:val="subscript"/>
              </w:rPr>
              <w:t>ann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73"/>
            </w:r>
            <w:r>
              <w:rPr>
                <w:sz w:val="22"/>
                <w:szCs w:val="22"/>
                <w:vertAlign w:val="subscript"/>
              </w:rPr>
              <w:t>ann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9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VSIAX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9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17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17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9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VSGX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9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17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9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VSIAX-VSGX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17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17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  ]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7E7E7E" w:themeFill="text1" w:themeFillTint="80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7E7E7E" w:themeFill="text1" w:themeFillTint="80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7E7E7E" w:themeFill="text1" w:themeFillTint="80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</w:tr>
    </w:tbl>
    <w:p>
      <w:pPr>
        <w:pStyle w:val="8"/>
        <w:widowControl w:val="0"/>
        <w:autoSpaceDE w:val="0"/>
        <w:autoSpaceDN w:val="0"/>
        <w:adjustRightInd w:val="0"/>
        <w:spacing w:after="0"/>
      </w:pPr>
    </w:p>
    <w:p>
      <w:pPr>
        <w:pStyle w:val="8"/>
        <w:widowControl w:val="0"/>
        <w:autoSpaceDE w:val="0"/>
        <w:autoSpaceDN w:val="0"/>
        <w:adjustRightInd w:val="0"/>
        <w:spacing w:after="0"/>
      </w:pPr>
    </w:p>
    <w:p/>
    <w:p/>
    <w:p/>
    <w:p/>
    <w:p>
      <w:pPr>
        <w:spacing w:after="0"/>
      </w:pPr>
      <w: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Problem 2:  Gains (?) from higher frequency data.</w:t>
      </w:r>
    </w:p>
    <w:p>
      <w:pPr>
        <w:ind w:right="-720"/>
      </w:pPr>
      <w:r>
        <w:t xml:space="preserve">The stk-11 files have daily and monthly returns on 11 stocks. Consider GE  for the entire period. To be precise, convert these discrete returns into log-returns. </w:t>
      </w:r>
    </w:p>
    <w:p>
      <w:pPr>
        <w:spacing w:after="0"/>
        <w:rPr>
          <w:rFonts w:cs="Times"/>
        </w:rPr>
      </w:pPr>
      <w:r>
        <w:rPr>
          <w:rFonts w:cs="Times"/>
        </w:rPr>
        <w:t>1) Fill in Table 2</w:t>
      </w:r>
    </w:p>
    <w:p>
      <w:pPr>
        <w:spacing w:after="0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Table 2: Estimates and CI’s for GE</w:t>
      </w:r>
    </w:p>
    <w:tbl>
      <w:tblPr>
        <w:tblStyle w:val="7"/>
        <w:tblW w:w="1008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440" w:type="dxa"/>
            <w:tcBorders>
              <w:top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432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Daily data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44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D"/>
            </w:r>
            <w:r>
              <w:rPr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73"/>
            </w:r>
            <w:r>
              <w:rPr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72"/>
            </w:r>
            <w:r>
              <w:rPr>
                <w:sz w:val="22"/>
                <w:szCs w:val="22"/>
                <w:vertAlign w:val="subscript"/>
              </w:rPr>
              <w:t>D</w:t>
            </w:r>
            <w:r>
              <w:rPr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72"/>
            </w:r>
            <w:r>
              <w:rPr>
                <w:sz w:val="22"/>
                <w:szCs w:val="22"/>
                <w:vertAlign w:val="subscript"/>
              </w:rPr>
              <w:t>D</w:t>
            </w:r>
            <w:r>
              <w:rPr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Kurtosis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D"/>
            </w:r>
            <w:r>
              <w:rPr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73"/>
            </w:r>
            <w:r>
              <w:rPr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Kurtosis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44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Raw Data 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x.xx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x.xx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0.xx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0.xx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x.xx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x.xx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x.xx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x.xx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44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44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Monthly</w:t>
            </w:r>
            <w:r>
              <w:rPr>
                <w:sz w:val="22"/>
                <w:szCs w:val="22"/>
              </w:rPr>
              <w:t>-ized</w:t>
            </w: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  <w:highlight w:val="cyan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nil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exact"/>
        </w:trPr>
        <w:tc>
          <w:tcPr>
            <w:tcW w:w="144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       ,      ]  ]</w:t>
            </w: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rPr>
                <w:color w:val="00B0F0"/>
                <w:sz w:val="22"/>
                <w:szCs w:val="22"/>
                <w:highlight w:val="cyan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sz w:val="22"/>
          <w:szCs w:val="22"/>
        </w:rPr>
      </w:pPr>
      <w:r>
        <w:rPr>
          <w:sz w:val="22"/>
          <w:szCs w:val="22"/>
        </w:rPr>
        <w:t>* In each box, the top-row is the estimate, the bottom row [   ,  ] is a 95% CI, The approximate variance of an autocorrelation estimate is 1/T.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** All means and standard deviations in %, i.e., 1.5 is 1.5% or 0.015</w:t>
      </w:r>
    </w:p>
    <w:p>
      <w:r>
        <w:t>2) Using monthly returns, write the t-statistic for the null hypothesis H</w:t>
      </w:r>
      <w:r>
        <w:rPr>
          <w:vertAlign w:val="subscript"/>
        </w:rPr>
        <w:t>0</w:t>
      </w:r>
      <w:r>
        <w:t xml:space="preserve">: </w:t>
      </w:r>
      <w:r>
        <w:rPr/>
        <w:sym w:font="Symbol" w:char="F06D"/>
      </w:r>
      <w:r>
        <w:rPr>
          <w:vertAlign w:val="subscript"/>
        </w:rPr>
        <w:t>M</w:t>
      </w:r>
      <w:r>
        <w:t xml:space="preserve"> = 0.01</w:t>
      </w:r>
    </w:p>
    <w:p>
      <w:r>
        <w:tab/>
      </w:r>
      <w:r>
        <w:t>t</w:t>
      </w:r>
      <w:r>
        <w:rPr>
          <w:vertAlign w:val="subscript"/>
        </w:rPr>
        <w:t>M</w:t>
      </w:r>
      <w:r>
        <w:t xml:space="preserve"> = </w:t>
      </w:r>
    </w:p>
    <w:p/>
    <w:p/>
    <w:p>
      <w:r>
        <w:t xml:space="preserve">3) From daily returns, write the t-statistic for the null hypothesis on </w:t>
      </w:r>
      <w:r>
        <w:rPr/>
        <w:sym w:font="Symbol" w:char="F06D"/>
      </w:r>
      <w:r>
        <w:rPr>
          <w:vertAlign w:val="subscript"/>
        </w:rPr>
        <w:t>D</w:t>
      </w:r>
      <w:r>
        <w:t xml:space="preserve"> which corresponds exactly to the H</w:t>
      </w:r>
      <w:r>
        <w:rPr>
          <w:vertAlign w:val="subscript"/>
        </w:rPr>
        <w:t>0</w:t>
      </w:r>
      <w:r>
        <w:t xml:space="preserve"> tested in 2).</w:t>
      </w:r>
    </w:p>
    <w:p>
      <w:r>
        <w:tab/>
      </w:r>
      <w:r>
        <w:t>H</w:t>
      </w:r>
      <w:r>
        <w:rPr>
          <w:vertAlign w:val="subscript"/>
        </w:rPr>
        <w:t>0</w:t>
      </w:r>
      <w:r>
        <w:t xml:space="preserve">:  </w:t>
      </w:r>
      <w:r>
        <w:rPr/>
        <w:sym w:font="Symbol" w:char="F06D"/>
      </w:r>
      <w:r>
        <w:rPr>
          <w:vertAlign w:val="subscript"/>
        </w:rPr>
        <w:t>D</w:t>
      </w:r>
      <w:r>
        <w:t xml:space="preserve"> = </w:t>
      </w:r>
    </w:p>
    <w:p>
      <w:r>
        <w:tab/>
      </w:r>
      <w:r>
        <w:t>t</w:t>
      </w:r>
      <w:r>
        <w:rPr>
          <w:vertAlign w:val="subscript"/>
        </w:rPr>
        <w:t>d</w:t>
      </w:r>
      <w:r>
        <w:t xml:space="preserve"> = </w:t>
      </w:r>
    </w:p>
    <w:p/>
    <w:p>
      <w:r>
        <w:t>4) Using the monthly returns, write a 95% CI for σ</w:t>
      </w:r>
      <w:r>
        <w:rPr>
          <w:vertAlign w:val="subscript"/>
        </w:rPr>
        <w:t>M</w:t>
      </w:r>
      <w:r>
        <w:t xml:space="preserve"> </w:t>
      </w:r>
      <w:r>
        <w:rPr>
          <w:b/>
        </w:rPr>
        <w:t>both ways</w:t>
      </w:r>
      <w:r>
        <w:t>, first using the approximate distribution of s</w:t>
      </w:r>
      <w:r>
        <w:rPr>
          <w:vertAlign w:val="subscript"/>
        </w:rPr>
        <w:t>M</w:t>
      </w:r>
      <w:r>
        <w:t>, second using its exact distribution under the assumption that the log-returns are normally distributed</w:t>
      </w:r>
    </w:p>
    <w:p>
      <w:r>
        <w:t>Approximate:</w:t>
      </w:r>
    </w:p>
    <w:p/>
    <w:p/>
    <w:p>
      <w:r>
        <w:t xml:space="preserve">Exact: </w:t>
      </w:r>
    </w:p>
    <w:p/>
    <w:p/>
    <w:p/>
    <w:p>
      <w:r>
        <w:t>Are these CIs very different?</w:t>
      </w:r>
      <w:r>
        <w:br w:type="page"/>
      </w:r>
    </w:p>
    <w:p>
      <w:r>
        <w:t xml:space="preserve">5) Do the same thing for the daily data. </w:t>
      </w:r>
    </w:p>
    <w:p>
      <w:r>
        <w:t>Approximate:</w:t>
      </w:r>
    </w:p>
    <w:p/>
    <w:p/>
    <w:p>
      <w:r>
        <w:t xml:space="preserve">Exact: </w:t>
      </w:r>
    </w:p>
    <w:p/>
    <w:p/>
    <w:p>
      <w:r>
        <w:t>Are these CIs very different (more or less than for monthly data), conclude?</w:t>
      </w:r>
    </w:p>
    <w:p/>
    <w:p/>
    <w:p>
      <w:pPr>
        <w:spacing w:after="0"/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b/>
          <w:u w:val="single"/>
        </w:rPr>
        <w:t>Problem 3: Another way to gauge the effect of Fat-tails</w:t>
      </w:r>
    </w:p>
    <w:p>
      <w:r>
        <w:t xml:space="preserve">The kurtosis should be 3 if the distribution is normal. So, is 4.5 very different from 3? Hard to have any intuition for this. Risk managers care about the frequency of extreme </w:t>
      </w:r>
      <w:r>
        <w:rPr>
          <w:b/>
          <w:i/>
          <w:outline/>
          <w:color w:va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ly bad!</w:t>
      </w:r>
      <w:r>
        <w:t xml:space="preserve"> values. What Philip Sun showed during his presentation is precisely what prompted researchers to investigate how to model the non-normality of financial series: There is about no chance that one would encounter the extremely large negative shocks such as October 19</w:t>
      </w:r>
      <w:r>
        <w:rPr>
          <w:vertAlign w:val="superscript"/>
        </w:rPr>
        <w:t>th</w:t>
      </w:r>
      <w:r>
        <w:t xml:space="preserve"> 1987 with a normal or lognormal distribution. You now verify this yourself in a slightly different way.</w:t>
      </w:r>
    </w:p>
    <w:p>
      <w:r>
        <w:t>Use the daily KF factor file,  compute the total daily market log-returns from 1941-2020 included. Count the exact number of days.</w:t>
      </w:r>
    </w:p>
    <w:p>
      <w:r>
        <w:t>Under the assumption of lognormal returns with constant mean and variance, how many days over the 80 years would one expect to find a return more than</w:t>
      </w:r>
      <w:r>
        <w:tab/>
      </w:r>
      <w:r>
        <w:t xml:space="preserve">(10, 5, 4, 3, 2, 1.96, 1.644 ) standard deviations below the mean. </w:t>
      </w:r>
    </w:p>
    <w:p>
      <w:r>
        <w:t>Compare with the actual stock returns, i.e., how many days do we actually have a return more than (10, 5, 4, 3, 2, 1.96, 1.644 ) standard deviations below the mean.</w:t>
      </w:r>
    </w:p>
    <w:p>
      <w:r>
        <w:t xml:space="preserve">Another food for thought, is the negative skewness driven mostly by a very small number of extreme negative days or is </w:t>
      </w:r>
      <w:bookmarkStart w:id="0" w:name="_GoBack"/>
      <w:bookmarkEnd w:id="0"/>
      <w:r>
        <w:t xml:space="preserve">it more pervasive in the 5% tail range. </w:t>
      </w:r>
    </w:p>
    <w:sectPr>
      <w:pgSz w:w="12240" w:h="15840"/>
      <w:pgMar w:top="657" w:right="1440" w:bottom="1152" w:left="1440" w:header="706" w:footer="706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6770"/>
    <w:multiLevelType w:val="multilevel"/>
    <w:tmpl w:val="079767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DC"/>
    <w:rsid w:val="00003868"/>
    <w:rsid w:val="00003BC8"/>
    <w:rsid w:val="00004E06"/>
    <w:rsid w:val="00005D4B"/>
    <w:rsid w:val="00005D8F"/>
    <w:rsid w:val="00005F95"/>
    <w:rsid w:val="000063D9"/>
    <w:rsid w:val="000103F7"/>
    <w:rsid w:val="000150CE"/>
    <w:rsid w:val="00015E88"/>
    <w:rsid w:val="00017986"/>
    <w:rsid w:val="0002139E"/>
    <w:rsid w:val="000244AC"/>
    <w:rsid w:val="00024A49"/>
    <w:rsid w:val="000267C0"/>
    <w:rsid w:val="00027C62"/>
    <w:rsid w:val="00030EDE"/>
    <w:rsid w:val="000339D1"/>
    <w:rsid w:val="000377B4"/>
    <w:rsid w:val="00043DC4"/>
    <w:rsid w:val="00045DD3"/>
    <w:rsid w:val="0004645D"/>
    <w:rsid w:val="000467BE"/>
    <w:rsid w:val="00052927"/>
    <w:rsid w:val="000579E4"/>
    <w:rsid w:val="0006365E"/>
    <w:rsid w:val="00066BB9"/>
    <w:rsid w:val="00072EA7"/>
    <w:rsid w:val="00074D6E"/>
    <w:rsid w:val="00085084"/>
    <w:rsid w:val="0009003C"/>
    <w:rsid w:val="0009068E"/>
    <w:rsid w:val="000979A6"/>
    <w:rsid w:val="000A40DE"/>
    <w:rsid w:val="000B5FAC"/>
    <w:rsid w:val="000C16A3"/>
    <w:rsid w:val="000C58B0"/>
    <w:rsid w:val="000C7385"/>
    <w:rsid w:val="000D47F3"/>
    <w:rsid w:val="000D7002"/>
    <w:rsid w:val="000D76BA"/>
    <w:rsid w:val="000E448B"/>
    <w:rsid w:val="000E7477"/>
    <w:rsid w:val="000F4702"/>
    <w:rsid w:val="00105075"/>
    <w:rsid w:val="00110C3F"/>
    <w:rsid w:val="00112880"/>
    <w:rsid w:val="00112C13"/>
    <w:rsid w:val="00113B2B"/>
    <w:rsid w:val="00120682"/>
    <w:rsid w:val="00120E5F"/>
    <w:rsid w:val="00146256"/>
    <w:rsid w:val="0015603F"/>
    <w:rsid w:val="0015623C"/>
    <w:rsid w:val="00161659"/>
    <w:rsid w:val="00163F4A"/>
    <w:rsid w:val="0016695D"/>
    <w:rsid w:val="00171334"/>
    <w:rsid w:val="0017426B"/>
    <w:rsid w:val="00176B74"/>
    <w:rsid w:val="00180BFE"/>
    <w:rsid w:val="0018275D"/>
    <w:rsid w:val="001864D9"/>
    <w:rsid w:val="001869CC"/>
    <w:rsid w:val="0018740C"/>
    <w:rsid w:val="00190444"/>
    <w:rsid w:val="00190BB0"/>
    <w:rsid w:val="00192130"/>
    <w:rsid w:val="001939FF"/>
    <w:rsid w:val="00197F6C"/>
    <w:rsid w:val="001A1921"/>
    <w:rsid w:val="001A6F96"/>
    <w:rsid w:val="001A7F1B"/>
    <w:rsid w:val="001B520C"/>
    <w:rsid w:val="001B63DC"/>
    <w:rsid w:val="001C1842"/>
    <w:rsid w:val="001D6E3A"/>
    <w:rsid w:val="001D6FDC"/>
    <w:rsid w:val="001E180F"/>
    <w:rsid w:val="001E3927"/>
    <w:rsid w:val="001F0ECB"/>
    <w:rsid w:val="001F3D74"/>
    <w:rsid w:val="0021313C"/>
    <w:rsid w:val="00216364"/>
    <w:rsid w:val="002213AE"/>
    <w:rsid w:val="00222ACE"/>
    <w:rsid w:val="00225095"/>
    <w:rsid w:val="002258D3"/>
    <w:rsid w:val="002275FA"/>
    <w:rsid w:val="00227E42"/>
    <w:rsid w:val="00233A51"/>
    <w:rsid w:val="00235F6F"/>
    <w:rsid w:val="00240A68"/>
    <w:rsid w:val="00242077"/>
    <w:rsid w:val="002452B3"/>
    <w:rsid w:val="00250BB0"/>
    <w:rsid w:val="00251EB2"/>
    <w:rsid w:val="00256336"/>
    <w:rsid w:val="0026195F"/>
    <w:rsid w:val="00265FED"/>
    <w:rsid w:val="002722B8"/>
    <w:rsid w:val="002769B2"/>
    <w:rsid w:val="0028141E"/>
    <w:rsid w:val="002900D5"/>
    <w:rsid w:val="00292B08"/>
    <w:rsid w:val="00292B96"/>
    <w:rsid w:val="002935B9"/>
    <w:rsid w:val="002A3B86"/>
    <w:rsid w:val="002A4A52"/>
    <w:rsid w:val="002A4F37"/>
    <w:rsid w:val="002A53C2"/>
    <w:rsid w:val="002A5EC7"/>
    <w:rsid w:val="002A6205"/>
    <w:rsid w:val="002A7F00"/>
    <w:rsid w:val="002B13DC"/>
    <w:rsid w:val="002B666E"/>
    <w:rsid w:val="002E1725"/>
    <w:rsid w:val="002E341B"/>
    <w:rsid w:val="002F04B5"/>
    <w:rsid w:val="002F1BF8"/>
    <w:rsid w:val="002F2270"/>
    <w:rsid w:val="002F4362"/>
    <w:rsid w:val="003017B3"/>
    <w:rsid w:val="00303334"/>
    <w:rsid w:val="003064C6"/>
    <w:rsid w:val="00320CD2"/>
    <w:rsid w:val="00327CAD"/>
    <w:rsid w:val="003324BE"/>
    <w:rsid w:val="00336681"/>
    <w:rsid w:val="00344A06"/>
    <w:rsid w:val="0034563E"/>
    <w:rsid w:val="00346776"/>
    <w:rsid w:val="00347B12"/>
    <w:rsid w:val="00350B8F"/>
    <w:rsid w:val="00354A5A"/>
    <w:rsid w:val="00361A19"/>
    <w:rsid w:val="00362DDA"/>
    <w:rsid w:val="00374466"/>
    <w:rsid w:val="00376EEA"/>
    <w:rsid w:val="00377A24"/>
    <w:rsid w:val="00381CB8"/>
    <w:rsid w:val="0038424E"/>
    <w:rsid w:val="003A471B"/>
    <w:rsid w:val="003A5598"/>
    <w:rsid w:val="003A7D01"/>
    <w:rsid w:val="003B1223"/>
    <w:rsid w:val="003C192E"/>
    <w:rsid w:val="003C7B8D"/>
    <w:rsid w:val="003D3A5B"/>
    <w:rsid w:val="003D3B4B"/>
    <w:rsid w:val="003D698F"/>
    <w:rsid w:val="003E2A19"/>
    <w:rsid w:val="003E5255"/>
    <w:rsid w:val="003F0D27"/>
    <w:rsid w:val="003F242B"/>
    <w:rsid w:val="003F2EB5"/>
    <w:rsid w:val="003F6A8F"/>
    <w:rsid w:val="00400743"/>
    <w:rsid w:val="00401818"/>
    <w:rsid w:val="0041560D"/>
    <w:rsid w:val="004245CD"/>
    <w:rsid w:val="00435782"/>
    <w:rsid w:val="00436324"/>
    <w:rsid w:val="00440A58"/>
    <w:rsid w:val="00440C9B"/>
    <w:rsid w:val="00445D5A"/>
    <w:rsid w:val="00453EF5"/>
    <w:rsid w:val="00457F72"/>
    <w:rsid w:val="00462982"/>
    <w:rsid w:val="00463905"/>
    <w:rsid w:val="004677E3"/>
    <w:rsid w:val="00467DB1"/>
    <w:rsid w:val="00472643"/>
    <w:rsid w:val="0047669B"/>
    <w:rsid w:val="004835FB"/>
    <w:rsid w:val="00483ED1"/>
    <w:rsid w:val="0048492D"/>
    <w:rsid w:val="00487D62"/>
    <w:rsid w:val="00490101"/>
    <w:rsid w:val="00492AA8"/>
    <w:rsid w:val="004A585F"/>
    <w:rsid w:val="004A7846"/>
    <w:rsid w:val="004B04FF"/>
    <w:rsid w:val="004C1A9F"/>
    <w:rsid w:val="004C373D"/>
    <w:rsid w:val="004C5F35"/>
    <w:rsid w:val="004D04EA"/>
    <w:rsid w:val="004D33EC"/>
    <w:rsid w:val="004E66DC"/>
    <w:rsid w:val="004E7910"/>
    <w:rsid w:val="004E7E47"/>
    <w:rsid w:val="004F1B00"/>
    <w:rsid w:val="004F2CF3"/>
    <w:rsid w:val="004F3623"/>
    <w:rsid w:val="004F73BC"/>
    <w:rsid w:val="00501CD4"/>
    <w:rsid w:val="00502754"/>
    <w:rsid w:val="005038C0"/>
    <w:rsid w:val="00511303"/>
    <w:rsid w:val="00514BF8"/>
    <w:rsid w:val="00515607"/>
    <w:rsid w:val="00516009"/>
    <w:rsid w:val="005221C9"/>
    <w:rsid w:val="005303CB"/>
    <w:rsid w:val="0053116B"/>
    <w:rsid w:val="00536872"/>
    <w:rsid w:val="005408F5"/>
    <w:rsid w:val="005421E1"/>
    <w:rsid w:val="00543C60"/>
    <w:rsid w:val="00547993"/>
    <w:rsid w:val="00562732"/>
    <w:rsid w:val="00565983"/>
    <w:rsid w:val="005701CB"/>
    <w:rsid w:val="00582272"/>
    <w:rsid w:val="00583A4D"/>
    <w:rsid w:val="00583E07"/>
    <w:rsid w:val="005903E6"/>
    <w:rsid w:val="00591CDE"/>
    <w:rsid w:val="0059249E"/>
    <w:rsid w:val="00596A8B"/>
    <w:rsid w:val="005A1599"/>
    <w:rsid w:val="005A4A25"/>
    <w:rsid w:val="005B19CF"/>
    <w:rsid w:val="005C6C68"/>
    <w:rsid w:val="005E0DA9"/>
    <w:rsid w:val="005E3CCA"/>
    <w:rsid w:val="005E4526"/>
    <w:rsid w:val="005F34DD"/>
    <w:rsid w:val="00615F5C"/>
    <w:rsid w:val="00636483"/>
    <w:rsid w:val="006413D5"/>
    <w:rsid w:val="00642C61"/>
    <w:rsid w:val="00656537"/>
    <w:rsid w:val="0066076A"/>
    <w:rsid w:val="00663EEF"/>
    <w:rsid w:val="00664DBB"/>
    <w:rsid w:val="00674CB8"/>
    <w:rsid w:val="00676D4B"/>
    <w:rsid w:val="00680D2A"/>
    <w:rsid w:val="00682742"/>
    <w:rsid w:val="00690DAB"/>
    <w:rsid w:val="0069781F"/>
    <w:rsid w:val="006A0091"/>
    <w:rsid w:val="006A0325"/>
    <w:rsid w:val="006A0AA6"/>
    <w:rsid w:val="006A567B"/>
    <w:rsid w:val="006A5C91"/>
    <w:rsid w:val="006B4B76"/>
    <w:rsid w:val="006D078B"/>
    <w:rsid w:val="006D1ACC"/>
    <w:rsid w:val="006D4E77"/>
    <w:rsid w:val="006F4A32"/>
    <w:rsid w:val="00701968"/>
    <w:rsid w:val="007139CA"/>
    <w:rsid w:val="00715880"/>
    <w:rsid w:val="00715EDC"/>
    <w:rsid w:val="0072222A"/>
    <w:rsid w:val="00722585"/>
    <w:rsid w:val="00727EF9"/>
    <w:rsid w:val="00727FC9"/>
    <w:rsid w:val="00731071"/>
    <w:rsid w:val="0073171D"/>
    <w:rsid w:val="00731AD5"/>
    <w:rsid w:val="00732DC1"/>
    <w:rsid w:val="007358CD"/>
    <w:rsid w:val="00737A81"/>
    <w:rsid w:val="0074072F"/>
    <w:rsid w:val="0074225D"/>
    <w:rsid w:val="00760465"/>
    <w:rsid w:val="00773658"/>
    <w:rsid w:val="00775034"/>
    <w:rsid w:val="007773BB"/>
    <w:rsid w:val="0078146A"/>
    <w:rsid w:val="00785D6E"/>
    <w:rsid w:val="007915E4"/>
    <w:rsid w:val="007948C9"/>
    <w:rsid w:val="0079756A"/>
    <w:rsid w:val="007A2290"/>
    <w:rsid w:val="007A28B3"/>
    <w:rsid w:val="007A52C8"/>
    <w:rsid w:val="007A7FBD"/>
    <w:rsid w:val="007B3001"/>
    <w:rsid w:val="007B7C42"/>
    <w:rsid w:val="007C10CF"/>
    <w:rsid w:val="007C39B3"/>
    <w:rsid w:val="007D0BA1"/>
    <w:rsid w:val="007E5C02"/>
    <w:rsid w:val="007F0876"/>
    <w:rsid w:val="00807D39"/>
    <w:rsid w:val="008210B6"/>
    <w:rsid w:val="008248CE"/>
    <w:rsid w:val="00844F1C"/>
    <w:rsid w:val="00845017"/>
    <w:rsid w:val="00852491"/>
    <w:rsid w:val="00853F00"/>
    <w:rsid w:val="00854398"/>
    <w:rsid w:val="00854831"/>
    <w:rsid w:val="008572DC"/>
    <w:rsid w:val="00862CE7"/>
    <w:rsid w:val="00864A25"/>
    <w:rsid w:val="00885032"/>
    <w:rsid w:val="00886AAC"/>
    <w:rsid w:val="008A11AC"/>
    <w:rsid w:val="008A35F4"/>
    <w:rsid w:val="008A3BC6"/>
    <w:rsid w:val="008A446C"/>
    <w:rsid w:val="008A4D6B"/>
    <w:rsid w:val="008B07CB"/>
    <w:rsid w:val="008B4986"/>
    <w:rsid w:val="008B50D1"/>
    <w:rsid w:val="008B707C"/>
    <w:rsid w:val="008D4511"/>
    <w:rsid w:val="008E129C"/>
    <w:rsid w:val="008E6BAC"/>
    <w:rsid w:val="008F18FC"/>
    <w:rsid w:val="008F1968"/>
    <w:rsid w:val="008F42E8"/>
    <w:rsid w:val="008F57B7"/>
    <w:rsid w:val="008F6CFB"/>
    <w:rsid w:val="009001D0"/>
    <w:rsid w:val="00906939"/>
    <w:rsid w:val="00906F37"/>
    <w:rsid w:val="00912081"/>
    <w:rsid w:val="00914B9C"/>
    <w:rsid w:val="00916F47"/>
    <w:rsid w:val="009220B3"/>
    <w:rsid w:val="00922299"/>
    <w:rsid w:val="00923E35"/>
    <w:rsid w:val="0092740B"/>
    <w:rsid w:val="00934710"/>
    <w:rsid w:val="009445B6"/>
    <w:rsid w:val="00944D43"/>
    <w:rsid w:val="0094645B"/>
    <w:rsid w:val="0096216E"/>
    <w:rsid w:val="0097398D"/>
    <w:rsid w:val="00981FF6"/>
    <w:rsid w:val="0098593A"/>
    <w:rsid w:val="00995199"/>
    <w:rsid w:val="009C3625"/>
    <w:rsid w:val="009C38ED"/>
    <w:rsid w:val="009C3CCC"/>
    <w:rsid w:val="009C4718"/>
    <w:rsid w:val="009D111B"/>
    <w:rsid w:val="009D714F"/>
    <w:rsid w:val="009E0483"/>
    <w:rsid w:val="009E2272"/>
    <w:rsid w:val="009E3903"/>
    <w:rsid w:val="009E4028"/>
    <w:rsid w:val="009E7521"/>
    <w:rsid w:val="00A014E6"/>
    <w:rsid w:val="00A051D5"/>
    <w:rsid w:val="00A157E4"/>
    <w:rsid w:val="00A20E3D"/>
    <w:rsid w:val="00A25857"/>
    <w:rsid w:val="00A3208C"/>
    <w:rsid w:val="00A345E4"/>
    <w:rsid w:val="00A346D3"/>
    <w:rsid w:val="00A35E67"/>
    <w:rsid w:val="00A3620F"/>
    <w:rsid w:val="00A37351"/>
    <w:rsid w:val="00A44A34"/>
    <w:rsid w:val="00A52B8B"/>
    <w:rsid w:val="00A539E6"/>
    <w:rsid w:val="00A67D13"/>
    <w:rsid w:val="00A67F26"/>
    <w:rsid w:val="00A71058"/>
    <w:rsid w:val="00A75D39"/>
    <w:rsid w:val="00A86331"/>
    <w:rsid w:val="00A903B7"/>
    <w:rsid w:val="00A922A8"/>
    <w:rsid w:val="00AA1298"/>
    <w:rsid w:val="00AA4432"/>
    <w:rsid w:val="00AB1E54"/>
    <w:rsid w:val="00AC512E"/>
    <w:rsid w:val="00AC7C88"/>
    <w:rsid w:val="00AD0B7F"/>
    <w:rsid w:val="00AD1CEE"/>
    <w:rsid w:val="00AE052B"/>
    <w:rsid w:val="00AE2FDC"/>
    <w:rsid w:val="00AE5B2F"/>
    <w:rsid w:val="00AE6A73"/>
    <w:rsid w:val="00AF282E"/>
    <w:rsid w:val="00AF698C"/>
    <w:rsid w:val="00B10DEC"/>
    <w:rsid w:val="00B11663"/>
    <w:rsid w:val="00B12BD3"/>
    <w:rsid w:val="00B16417"/>
    <w:rsid w:val="00B306F8"/>
    <w:rsid w:val="00B35423"/>
    <w:rsid w:val="00B41F66"/>
    <w:rsid w:val="00B467AC"/>
    <w:rsid w:val="00B508D3"/>
    <w:rsid w:val="00B61F36"/>
    <w:rsid w:val="00B67439"/>
    <w:rsid w:val="00B70017"/>
    <w:rsid w:val="00B81027"/>
    <w:rsid w:val="00B82D1A"/>
    <w:rsid w:val="00B93FD8"/>
    <w:rsid w:val="00B97E84"/>
    <w:rsid w:val="00BB0ABB"/>
    <w:rsid w:val="00BB75A9"/>
    <w:rsid w:val="00BC4588"/>
    <w:rsid w:val="00BC4958"/>
    <w:rsid w:val="00BC672D"/>
    <w:rsid w:val="00BD1049"/>
    <w:rsid w:val="00BD5B9A"/>
    <w:rsid w:val="00BE0EF3"/>
    <w:rsid w:val="00BE3936"/>
    <w:rsid w:val="00BE7828"/>
    <w:rsid w:val="00BF6C12"/>
    <w:rsid w:val="00C04E6A"/>
    <w:rsid w:val="00C060E5"/>
    <w:rsid w:val="00C15C36"/>
    <w:rsid w:val="00C175D2"/>
    <w:rsid w:val="00C21D90"/>
    <w:rsid w:val="00C257C6"/>
    <w:rsid w:val="00C3543B"/>
    <w:rsid w:val="00C35F1E"/>
    <w:rsid w:val="00C375A4"/>
    <w:rsid w:val="00C44336"/>
    <w:rsid w:val="00C4787C"/>
    <w:rsid w:val="00C513FA"/>
    <w:rsid w:val="00C5620E"/>
    <w:rsid w:val="00C56219"/>
    <w:rsid w:val="00C6303C"/>
    <w:rsid w:val="00C66B28"/>
    <w:rsid w:val="00C7187F"/>
    <w:rsid w:val="00C72B8B"/>
    <w:rsid w:val="00C81A5E"/>
    <w:rsid w:val="00C9277D"/>
    <w:rsid w:val="00CA3F7B"/>
    <w:rsid w:val="00CA3F92"/>
    <w:rsid w:val="00CB201D"/>
    <w:rsid w:val="00CB59BA"/>
    <w:rsid w:val="00CB70C1"/>
    <w:rsid w:val="00CC0F1E"/>
    <w:rsid w:val="00CC1261"/>
    <w:rsid w:val="00CC1F85"/>
    <w:rsid w:val="00CC2571"/>
    <w:rsid w:val="00CC7440"/>
    <w:rsid w:val="00CD1C8B"/>
    <w:rsid w:val="00CD2277"/>
    <w:rsid w:val="00CD2C9B"/>
    <w:rsid w:val="00CD5DEF"/>
    <w:rsid w:val="00CE0439"/>
    <w:rsid w:val="00CE2DDD"/>
    <w:rsid w:val="00CE4EB8"/>
    <w:rsid w:val="00CF10DE"/>
    <w:rsid w:val="00CF3482"/>
    <w:rsid w:val="00D14FA5"/>
    <w:rsid w:val="00D15957"/>
    <w:rsid w:val="00D15BB9"/>
    <w:rsid w:val="00D169C3"/>
    <w:rsid w:val="00D17B10"/>
    <w:rsid w:val="00D2363A"/>
    <w:rsid w:val="00D322A1"/>
    <w:rsid w:val="00D36998"/>
    <w:rsid w:val="00D36F87"/>
    <w:rsid w:val="00D43826"/>
    <w:rsid w:val="00D467DB"/>
    <w:rsid w:val="00D664B2"/>
    <w:rsid w:val="00D71373"/>
    <w:rsid w:val="00D72DD9"/>
    <w:rsid w:val="00D81A83"/>
    <w:rsid w:val="00D82538"/>
    <w:rsid w:val="00D82B11"/>
    <w:rsid w:val="00D862A0"/>
    <w:rsid w:val="00D92D99"/>
    <w:rsid w:val="00D92FDC"/>
    <w:rsid w:val="00D9344C"/>
    <w:rsid w:val="00D935E3"/>
    <w:rsid w:val="00D95016"/>
    <w:rsid w:val="00D967C6"/>
    <w:rsid w:val="00DA292D"/>
    <w:rsid w:val="00DB18CA"/>
    <w:rsid w:val="00DB6BEF"/>
    <w:rsid w:val="00DC03D5"/>
    <w:rsid w:val="00DC1B2C"/>
    <w:rsid w:val="00DC3194"/>
    <w:rsid w:val="00DD2952"/>
    <w:rsid w:val="00DE0805"/>
    <w:rsid w:val="00DE26B7"/>
    <w:rsid w:val="00DE536C"/>
    <w:rsid w:val="00DF77DC"/>
    <w:rsid w:val="00E0490E"/>
    <w:rsid w:val="00E15F43"/>
    <w:rsid w:val="00E27B9C"/>
    <w:rsid w:val="00E27BAE"/>
    <w:rsid w:val="00E302D6"/>
    <w:rsid w:val="00E424C3"/>
    <w:rsid w:val="00E53A04"/>
    <w:rsid w:val="00E57463"/>
    <w:rsid w:val="00E6006C"/>
    <w:rsid w:val="00E62153"/>
    <w:rsid w:val="00E6229A"/>
    <w:rsid w:val="00E64C08"/>
    <w:rsid w:val="00E65AD2"/>
    <w:rsid w:val="00E75691"/>
    <w:rsid w:val="00E81371"/>
    <w:rsid w:val="00E8210E"/>
    <w:rsid w:val="00E86EEF"/>
    <w:rsid w:val="00E9089F"/>
    <w:rsid w:val="00E91A19"/>
    <w:rsid w:val="00E91A7B"/>
    <w:rsid w:val="00E92DA2"/>
    <w:rsid w:val="00E935DE"/>
    <w:rsid w:val="00E95BA7"/>
    <w:rsid w:val="00EA0AF3"/>
    <w:rsid w:val="00EA1C5C"/>
    <w:rsid w:val="00EA7A9B"/>
    <w:rsid w:val="00EB06E7"/>
    <w:rsid w:val="00EB76C4"/>
    <w:rsid w:val="00EC1AA8"/>
    <w:rsid w:val="00EC7F44"/>
    <w:rsid w:val="00ED5AB4"/>
    <w:rsid w:val="00EE5034"/>
    <w:rsid w:val="00EE7CE5"/>
    <w:rsid w:val="00EF1093"/>
    <w:rsid w:val="00EF3A7B"/>
    <w:rsid w:val="00EF4368"/>
    <w:rsid w:val="00EF5AF9"/>
    <w:rsid w:val="00EF6763"/>
    <w:rsid w:val="00EF6B3F"/>
    <w:rsid w:val="00F026C4"/>
    <w:rsid w:val="00F04206"/>
    <w:rsid w:val="00F056A0"/>
    <w:rsid w:val="00F179C2"/>
    <w:rsid w:val="00F21828"/>
    <w:rsid w:val="00F31B22"/>
    <w:rsid w:val="00F32293"/>
    <w:rsid w:val="00F322E2"/>
    <w:rsid w:val="00F43F81"/>
    <w:rsid w:val="00F53CB9"/>
    <w:rsid w:val="00F543FB"/>
    <w:rsid w:val="00F57572"/>
    <w:rsid w:val="00F63B18"/>
    <w:rsid w:val="00F67112"/>
    <w:rsid w:val="00F70259"/>
    <w:rsid w:val="00F70922"/>
    <w:rsid w:val="00F8221F"/>
    <w:rsid w:val="00F867BF"/>
    <w:rsid w:val="00F86EE1"/>
    <w:rsid w:val="00F91476"/>
    <w:rsid w:val="00F93C05"/>
    <w:rsid w:val="00FA67D9"/>
    <w:rsid w:val="00FB713E"/>
    <w:rsid w:val="00FC6A9A"/>
    <w:rsid w:val="00FD1909"/>
    <w:rsid w:val="00FD51A1"/>
    <w:rsid w:val="00FD5C62"/>
    <w:rsid w:val="00FE08B5"/>
    <w:rsid w:val="00FE41E6"/>
    <w:rsid w:val="00FE60B1"/>
    <w:rsid w:val="00FE730A"/>
    <w:rsid w:val="00FE74FE"/>
    <w:rsid w:val="00FF0CBC"/>
    <w:rsid w:val="00FF0F37"/>
    <w:rsid w:val="00FF5B20"/>
    <w:rsid w:val="00FF6FE8"/>
    <w:rsid w:val="8E5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4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table" w:styleId="7">
    <w:name w:val="Table Grid"/>
    <w:basedOn w:val="6"/>
    <w:qFormat/>
    <w:uiPriority w:val="39"/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5"/>
    <w:link w:val="3"/>
    <w:qFormat/>
    <w:uiPriority w:val="99"/>
    <w:rPr>
      <w:rFonts w:eastAsiaTheme="minorEastAsia"/>
      <w:lang w:eastAsia="ja-JP"/>
    </w:rPr>
  </w:style>
  <w:style w:type="character" w:customStyle="1" w:styleId="10">
    <w:name w:val="Footer Char"/>
    <w:basedOn w:val="5"/>
    <w:link w:val="2"/>
    <w:qFormat/>
    <w:uiPriority w:val="99"/>
    <w:rPr>
      <w:rFonts w:eastAsiaTheme="minorEastAsia"/>
      <w:lang w:eastAsia="ja-JP"/>
    </w:rPr>
  </w:style>
  <w:style w:type="character" w:customStyle="1" w:styleId="11">
    <w:name w:val="Placeholder Text"/>
    <w:basedOn w:val="5"/>
    <w:semiHidden/>
    <w:qFormat/>
    <w:uiPriority w:val="99"/>
    <w:rPr>
      <w:color w:val="808080"/>
    </w:rPr>
  </w:style>
  <w:style w:type="character" w:customStyle="1" w:styleId="12">
    <w:name w:val="HTML Preformatted Char"/>
    <w:basedOn w:val="5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770</Words>
  <Characters>4390</Characters>
  <Lines>36</Lines>
  <Paragraphs>10</Paragraphs>
  <TotalTime>0</TotalTime>
  <ScaleCrop>false</ScaleCrop>
  <LinksUpToDate>false</LinksUpToDate>
  <CharactersWithSpaces>5150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2020-09-20T20:44:00Z</dcterms:created>
  <dc:creator>EJ</dc:creator>
  <cp:lastModifiedBy>liuxuyang</cp:lastModifiedBy>
  <dcterms:modified xsi:type="dcterms:W3CDTF">2021-10-24T17:57:05Z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