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9BF6" w14:textId="5F98D4F0" w:rsidR="00EF3033" w:rsidRPr="00EF3033" w:rsidRDefault="00EF3033" w:rsidP="00EF3033">
      <w:pPr>
        <w:widowControl/>
        <w:jc w:val="left"/>
        <w:rPr>
          <w:rFonts w:ascii="Times New Roman" w:eastAsia="宋体" w:hAnsi="Times New Roman" w:cs="Times New Roman"/>
          <w:b/>
          <w:bCs/>
          <w:kern w:val="0"/>
          <w:sz w:val="28"/>
          <w:szCs w:val="28"/>
        </w:rPr>
      </w:pPr>
      <w:r w:rsidRPr="00EF3033">
        <w:rPr>
          <w:rFonts w:ascii="Times New Roman" w:hAnsi="Times New Roman" w:cs="Times New Roman"/>
          <w:b/>
          <w:bCs/>
          <w:sz w:val="28"/>
          <w:szCs w:val="28"/>
        </w:rPr>
        <w:t>1.</w:t>
      </w:r>
      <w:r w:rsidRPr="00EF3033">
        <w:rPr>
          <w:rFonts w:ascii="Times New Roman" w:hAnsi="Times New Roman" w:cs="Times New Roman"/>
          <w:b/>
          <w:bCs/>
          <w:color w:val="000000"/>
          <w:sz w:val="28"/>
          <w:szCs w:val="28"/>
        </w:rPr>
        <w:t xml:space="preserve"> </w:t>
      </w:r>
      <w:r w:rsidRPr="00EF3033">
        <w:rPr>
          <w:rFonts w:ascii="Times New Roman" w:eastAsia="宋体" w:hAnsi="Times New Roman" w:cs="Times New Roman"/>
          <w:b/>
          <w:bCs/>
          <w:color w:val="000000"/>
          <w:kern w:val="0"/>
          <w:sz w:val="28"/>
          <w:szCs w:val="28"/>
        </w:rPr>
        <w:t>Case Study: Long Term Capital Management</w:t>
      </w:r>
      <w:r>
        <w:rPr>
          <w:rFonts w:ascii="Times New Roman" w:eastAsia="宋体" w:hAnsi="Times New Roman" w:cs="Times New Roman"/>
          <w:b/>
          <w:bCs/>
          <w:color w:val="000000"/>
          <w:kern w:val="0"/>
          <w:sz w:val="28"/>
          <w:szCs w:val="28"/>
        </w:rPr>
        <w:t>:</w:t>
      </w:r>
    </w:p>
    <w:p w14:paraId="1E242F22" w14:textId="1A9601F5" w:rsidR="007A789C" w:rsidRPr="00EF3033" w:rsidRDefault="00515AB9" w:rsidP="00EF3033">
      <w:pPr>
        <w:ind w:firstLineChars="200" w:firstLine="480"/>
        <w:rPr>
          <w:rFonts w:ascii="Times New Roman" w:hAnsi="Times New Roman" w:cs="Times New Roman"/>
          <w:sz w:val="24"/>
        </w:rPr>
      </w:pPr>
      <w:r w:rsidRPr="00EF3033">
        <w:rPr>
          <w:rFonts w:ascii="Times New Roman" w:hAnsi="Times New Roman" w:cs="Times New Roman"/>
          <w:sz w:val="24"/>
        </w:rPr>
        <w:t>LTCM focused on the small imperfection of market, caught the tiny a</w:t>
      </w:r>
      <w:r w:rsidRPr="00EF3033">
        <w:rPr>
          <w:rFonts w:ascii="Times New Roman" w:hAnsi="Times New Roman" w:cs="Times New Roman" w:hint="eastAsia"/>
          <w:sz w:val="24"/>
        </w:rPr>
        <w:t>r</w:t>
      </w:r>
      <w:r w:rsidRPr="00EF3033">
        <w:rPr>
          <w:rFonts w:ascii="Times New Roman" w:hAnsi="Times New Roman" w:cs="Times New Roman"/>
          <w:sz w:val="24"/>
        </w:rPr>
        <w:t xml:space="preserve">bitrage opportunities and used its large amount of capital as well as respectively long-time period to accumulate the returns. LTCM didn’t focus </w:t>
      </w:r>
      <w:r w:rsidR="00EC2F6D" w:rsidRPr="00EF3033">
        <w:rPr>
          <w:rFonts w:ascii="Times New Roman" w:hAnsi="Times New Roman" w:cs="Times New Roman"/>
          <w:sz w:val="24"/>
        </w:rPr>
        <w:t xml:space="preserve">on </w:t>
      </w:r>
      <w:r w:rsidRPr="00EF3033">
        <w:rPr>
          <w:rFonts w:ascii="Times New Roman" w:hAnsi="Times New Roman" w:cs="Times New Roman"/>
          <w:sz w:val="24"/>
        </w:rPr>
        <w:t xml:space="preserve">the potential of a certain corporation, it </w:t>
      </w:r>
      <w:r w:rsidR="00EC2F6D" w:rsidRPr="00EF3033">
        <w:rPr>
          <w:rFonts w:ascii="Times New Roman" w:hAnsi="Times New Roman" w:cs="Times New Roman"/>
          <w:sz w:val="24"/>
        </w:rPr>
        <w:t>managed their fund from a large picture, based on the mathematical theories.</w:t>
      </w:r>
      <w:r w:rsidR="00F654FC">
        <w:rPr>
          <w:rFonts w:ascii="Times New Roman" w:hAnsi="Times New Roman" w:cs="Times New Roman"/>
          <w:sz w:val="24"/>
        </w:rPr>
        <w:t xml:space="preserve"> Also, LTCM had a really high leverage ratio, which enlarge any tiny change</w:t>
      </w:r>
      <w:r w:rsidR="007B459A">
        <w:rPr>
          <w:rFonts w:ascii="Times New Roman" w:hAnsi="Times New Roman" w:cs="Times New Roman" w:hint="eastAsia"/>
          <w:sz w:val="24"/>
        </w:rPr>
        <w:t>s</w:t>
      </w:r>
      <w:r w:rsidR="00F654FC">
        <w:rPr>
          <w:rFonts w:ascii="Times New Roman" w:hAnsi="Times New Roman" w:cs="Times New Roman"/>
          <w:sz w:val="24"/>
        </w:rPr>
        <w:t xml:space="preserve"> they obtain</w:t>
      </w:r>
      <w:r w:rsidR="007B459A">
        <w:rPr>
          <w:rFonts w:ascii="Times New Roman" w:hAnsi="Times New Roman" w:cs="Times New Roman" w:hint="eastAsia"/>
          <w:sz w:val="24"/>
        </w:rPr>
        <w:t>ed</w:t>
      </w:r>
      <w:r w:rsidR="00F654FC">
        <w:rPr>
          <w:rFonts w:ascii="Times New Roman" w:hAnsi="Times New Roman" w:cs="Times New Roman"/>
          <w:sz w:val="24"/>
        </w:rPr>
        <w:t xml:space="preserve"> from the market.</w:t>
      </w:r>
      <w:r w:rsidR="00EC2F6D" w:rsidRPr="00EF3033">
        <w:rPr>
          <w:rFonts w:ascii="Times New Roman" w:hAnsi="Times New Roman" w:cs="Times New Roman" w:hint="eastAsia"/>
          <w:sz w:val="24"/>
        </w:rPr>
        <w:t xml:space="preserve"> </w:t>
      </w:r>
      <w:r w:rsidR="00EC2F6D" w:rsidRPr="00EF3033">
        <w:rPr>
          <w:rFonts w:ascii="Times New Roman" w:hAnsi="Times New Roman" w:cs="Times New Roman"/>
          <w:sz w:val="24"/>
        </w:rPr>
        <w:t xml:space="preserve">Therefore, the </w:t>
      </w:r>
      <w:r w:rsidR="00EC2F6D" w:rsidRPr="00EF3033">
        <w:rPr>
          <w:rFonts w:ascii="Times New Roman" w:hAnsi="Times New Roman" w:cs="Times New Roman" w:hint="eastAsia"/>
          <w:sz w:val="24"/>
        </w:rPr>
        <w:t>m</w:t>
      </w:r>
      <w:r w:rsidR="00EC2F6D" w:rsidRPr="00EF3033">
        <w:rPr>
          <w:rFonts w:ascii="Times New Roman" w:hAnsi="Times New Roman" w:cs="Times New Roman"/>
          <w:sz w:val="24"/>
        </w:rPr>
        <w:t>ajor sources of risk which LTCM faced is the</w:t>
      </w:r>
      <w:r w:rsidR="00EC2F6D" w:rsidRPr="00EF3033">
        <w:rPr>
          <w:rFonts w:ascii="Times New Roman" w:hAnsi="Times New Roman" w:cs="Times New Roman"/>
          <w:b/>
          <w:bCs/>
          <w:sz w:val="24"/>
        </w:rPr>
        <w:t xml:space="preserve"> </w:t>
      </w:r>
      <w:r w:rsidR="00EC2F6D" w:rsidRPr="00F654FC">
        <w:rPr>
          <w:rFonts w:ascii="Times New Roman" w:hAnsi="Times New Roman" w:cs="Times New Roman"/>
          <w:sz w:val="24"/>
        </w:rPr>
        <w:t>market risk.</w:t>
      </w:r>
      <w:r w:rsidR="00EC2F6D" w:rsidRPr="00EF3033">
        <w:rPr>
          <w:rFonts w:ascii="Times New Roman" w:hAnsi="Times New Roman" w:cs="Times New Roman"/>
          <w:b/>
          <w:bCs/>
          <w:sz w:val="24"/>
        </w:rPr>
        <w:t xml:space="preserve"> </w:t>
      </w:r>
    </w:p>
    <w:p w14:paraId="1E48FA9B" w14:textId="7899E694" w:rsidR="00EC2F6D" w:rsidRPr="00EF3033" w:rsidRDefault="007A789C" w:rsidP="00EF3033">
      <w:pPr>
        <w:ind w:firstLineChars="200" w:firstLine="480"/>
        <w:rPr>
          <w:rFonts w:ascii="Times New Roman" w:hAnsi="Times New Roman" w:cs="Times New Roman"/>
          <w:sz w:val="24"/>
        </w:rPr>
      </w:pPr>
      <w:r w:rsidRPr="00EF3033">
        <w:rPr>
          <w:rFonts w:ascii="Times New Roman" w:hAnsi="Times New Roman" w:cs="Times New Roman"/>
          <w:sz w:val="24"/>
        </w:rPr>
        <w:t xml:space="preserve">In my opinion, the manager investing derivatives in different regions and using </w:t>
      </w:r>
      <w:proofErr w:type="spellStart"/>
      <w:r w:rsidRPr="00EF3033">
        <w:rPr>
          <w:rFonts w:ascii="Times New Roman" w:hAnsi="Times New Roman" w:cs="Times New Roman"/>
          <w:sz w:val="24"/>
        </w:rPr>
        <w:t>VaR</w:t>
      </w:r>
      <w:proofErr w:type="spellEnd"/>
      <w:r w:rsidRPr="00EF3033">
        <w:rPr>
          <w:rFonts w:ascii="Times New Roman" w:hAnsi="Times New Roman" w:cs="Times New Roman"/>
          <w:sz w:val="24"/>
        </w:rPr>
        <w:t xml:space="preserve"> are typical ways to had fully hedged risk just from the perspective of mathematics. </w:t>
      </w:r>
      <w:r w:rsidR="00D87841" w:rsidRPr="00EF3033">
        <w:rPr>
          <w:rFonts w:ascii="Times New Roman" w:hAnsi="Times New Roman" w:cs="Times New Roman"/>
          <w:sz w:val="24"/>
        </w:rPr>
        <w:t>A</w:t>
      </w:r>
      <w:r w:rsidRPr="00EF3033">
        <w:rPr>
          <w:rFonts w:ascii="Times New Roman" w:hAnsi="Times New Roman" w:cs="Times New Roman"/>
          <w:sz w:val="24"/>
        </w:rPr>
        <w:t>ll of their strategies were based on th</w:t>
      </w:r>
      <w:r w:rsidR="00D87841" w:rsidRPr="00EF3033">
        <w:rPr>
          <w:rFonts w:ascii="Times New Roman" w:hAnsi="Times New Roman" w:cs="Times New Roman"/>
          <w:sz w:val="24"/>
        </w:rPr>
        <w:t>e assumption that</w:t>
      </w:r>
      <w:r w:rsidRPr="00EF3033">
        <w:rPr>
          <w:rFonts w:ascii="Times New Roman" w:hAnsi="Times New Roman" w:cs="Times New Roman"/>
          <w:sz w:val="24"/>
        </w:rPr>
        <w:t xml:space="preserve"> history would </w:t>
      </w:r>
      <w:r w:rsidRPr="00EF3033">
        <w:rPr>
          <w:rFonts w:ascii="Times New Roman" w:hAnsi="Times New Roman" w:cs="Times New Roman" w:hint="eastAsia"/>
          <w:sz w:val="24"/>
        </w:rPr>
        <w:t>repeat</w:t>
      </w:r>
      <w:r w:rsidRPr="00EF3033">
        <w:rPr>
          <w:rFonts w:ascii="Times New Roman" w:hAnsi="Times New Roman" w:cs="Times New Roman"/>
          <w:sz w:val="24"/>
        </w:rPr>
        <w:t xml:space="preserve"> itself, </w:t>
      </w:r>
      <w:r w:rsidR="00D87841" w:rsidRPr="00EF3033">
        <w:rPr>
          <w:rFonts w:ascii="Times New Roman" w:hAnsi="Times New Roman" w:cs="Times New Roman"/>
          <w:sz w:val="24"/>
        </w:rPr>
        <w:t>however,</w:t>
      </w:r>
      <w:r w:rsidRPr="00EF3033">
        <w:rPr>
          <w:rFonts w:ascii="Times New Roman" w:hAnsi="Times New Roman" w:cs="Times New Roman"/>
          <w:sz w:val="24"/>
        </w:rPr>
        <w:t xml:space="preserve"> the real world is not just math and model</w:t>
      </w:r>
      <w:r w:rsidR="00D87841" w:rsidRPr="00EF3033">
        <w:rPr>
          <w:rFonts w:ascii="Times New Roman" w:hAnsi="Times New Roman" w:cs="Times New Roman"/>
          <w:sz w:val="24"/>
        </w:rPr>
        <w:t xml:space="preserve">s, the action of people and </w:t>
      </w:r>
      <w:r w:rsidR="00D87841" w:rsidRPr="00EF3033">
        <w:rPr>
          <w:rFonts w:ascii="Times New Roman" w:hAnsi="Times New Roman" w:cs="Times New Roman" w:hint="eastAsia"/>
          <w:sz w:val="24"/>
        </w:rPr>
        <w:t>unexpected</w:t>
      </w:r>
      <w:r w:rsidR="00D87841" w:rsidRPr="00EF3033">
        <w:rPr>
          <w:rFonts w:ascii="Times New Roman" w:hAnsi="Times New Roman" w:cs="Times New Roman"/>
          <w:sz w:val="24"/>
        </w:rPr>
        <w:t xml:space="preserve"> event would also happen. In this case, the Russian default and financial crisis in Asian Tiger were the unexpected things. </w:t>
      </w:r>
    </w:p>
    <w:p w14:paraId="432FA6D7" w14:textId="17A3CA1B" w:rsidR="00D87841" w:rsidRPr="00EF3033" w:rsidRDefault="00D87841" w:rsidP="00EF3033">
      <w:pPr>
        <w:ind w:firstLineChars="200" w:firstLine="480"/>
        <w:rPr>
          <w:rFonts w:ascii="Times New Roman" w:hAnsi="Times New Roman" w:cs="Times New Roman"/>
          <w:sz w:val="24"/>
        </w:rPr>
      </w:pPr>
      <w:r w:rsidRPr="00EF3033">
        <w:rPr>
          <w:rFonts w:ascii="Times New Roman" w:hAnsi="Times New Roman" w:cs="Times New Roman"/>
          <w:sz w:val="24"/>
        </w:rPr>
        <w:t xml:space="preserve">I think the downfall of the LTCM was not only due to the events and </w:t>
      </w:r>
      <w:r w:rsidR="00D7692F" w:rsidRPr="00EF3033">
        <w:rPr>
          <w:rFonts w:ascii="Times New Roman" w:hAnsi="Times New Roman" w:cs="Times New Roman"/>
          <w:sz w:val="24"/>
        </w:rPr>
        <w:t xml:space="preserve">competitors, </w:t>
      </w:r>
      <w:proofErr w:type="gramStart"/>
      <w:r w:rsidR="00D7692F" w:rsidRPr="00EF3033">
        <w:rPr>
          <w:rFonts w:ascii="Times New Roman" w:hAnsi="Times New Roman" w:cs="Times New Roman"/>
          <w:sz w:val="24"/>
        </w:rPr>
        <w:t>it</w:t>
      </w:r>
      <w:proofErr w:type="gramEnd"/>
      <w:r w:rsidR="00D7692F" w:rsidRPr="00EF3033">
        <w:rPr>
          <w:rFonts w:ascii="Times New Roman" w:hAnsi="Times New Roman" w:cs="Times New Roman"/>
          <w:sz w:val="24"/>
        </w:rPr>
        <w:t xml:space="preserve"> depended too much on existing theory. Just like I wrote before, mathematical models are really great things in finance to help us measure the risk and invest. But all the models are assumed to be in an ideal market. However, the behavior of people can’t be measured based on existing theories. In this case, the Russian government announc</w:t>
      </w:r>
      <w:r w:rsidR="00F64EFC" w:rsidRPr="00EF3033">
        <w:rPr>
          <w:rFonts w:ascii="Times New Roman" w:hAnsi="Times New Roman" w:cs="Times New Roman"/>
          <w:sz w:val="24"/>
        </w:rPr>
        <w:t>ing</w:t>
      </w:r>
      <w:r w:rsidR="00D7692F" w:rsidRPr="00EF3033">
        <w:rPr>
          <w:rFonts w:ascii="Times New Roman" w:hAnsi="Times New Roman" w:cs="Times New Roman"/>
          <w:sz w:val="24"/>
        </w:rPr>
        <w:t xml:space="preserve"> </w:t>
      </w:r>
      <w:r w:rsidR="00F64EFC" w:rsidRPr="00EF3033">
        <w:rPr>
          <w:rFonts w:ascii="Times New Roman" w:hAnsi="Times New Roman" w:cs="Times New Roman"/>
          <w:sz w:val="24"/>
        </w:rPr>
        <w:t xml:space="preserve">default and people’s behavior on buying the bonds of developed country can’t be predicted. Before a more complete theory proposed in the future, good investors should have their own </w:t>
      </w:r>
      <w:r w:rsidR="00F64EFC" w:rsidRPr="00EF3033">
        <w:rPr>
          <w:rFonts w:ascii="Times New Roman" w:hAnsi="Times New Roman" w:cs="Times New Roman" w:hint="eastAsia"/>
          <w:sz w:val="24"/>
        </w:rPr>
        <w:t>es</w:t>
      </w:r>
      <w:r w:rsidR="00F64EFC" w:rsidRPr="00EF3033">
        <w:rPr>
          <w:rFonts w:ascii="Times New Roman" w:hAnsi="Times New Roman" w:cs="Times New Roman"/>
          <w:sz w:val="24"/>
        </w:rPr>
        <w:t xml:space="preserve">timation on the real market, not </w:t>
      </w:r>
      <w:r w:rsidR="00EF3033">
        <w:rPr>
          <w:rFonts w:ascii="Times New Roman" w:hAnsi="Times New Roman" w:cs="Times New Roman"/>
          <w:sz w:val="24"/>
        </w:rPr>
        <w:t>just believe</w:t>
      </w:r>
      <w:r w:rsidR="00F64EFC" w:rsidRPr="00EF3033">
        <w:rPr>
          <w:rFonts w:ascii="Times New Roman" w:hAnsi="Times New Roman" w:cs="Times New Roman"/>
          <w:sz w:val="24"/>
        </w:rPr>
        <w:t xml:space="preserve"> on the mathematical tools</w:t>
      </w:r>
      <w:r w:rsidR="00EF3033">
        <w:rPr>
          <w:rFonts w:ascii="Times New Roman" w:hAnsi="Times New Roman" w:cs="Times New Roman"/>
          <w:sz w:val="24"/>
        </w:rPr>
        <w:t xml:space="preserve"> blindly</w:t>
      </w:r>
      <w:r w:rsidR="00F64EFC" w:rsidRPr="00EF3033">
        <w:rPr>
          <w:rFonts w:ascii="Times New Roman" w:hAnsi="Times New Roman" w:cs="Times New Roman"/>
          <w:sz w:val="24"/>
        </w:rPr>
        <w:t>.</w:t>
      </w:r>
    </w:p>
    <w:p w14:paraId="1EAEF937" w14:textId="1B6ECB23" w:rsidR="00EC2F6D" w:rsidRDefault="00EC2F6D" w:rsidP="001D3B47">
      <w:pPr>
        <w:rPr>
          <w:rFonts w:ascii="Times New Roman" w:hAnsi="Times New Roman" w:cs="Times New Roman"/>
          <w:sz w:val="24"/>
        </w:rPr>
      </w:pPr>
    </w:p>
    <w:p w14:paraId="60A7E62E" w14:textId="1945C271" w:rsidR="001D3B47" w:rsidRPr="001D3B47" w:rsidRDefault="001D3B47" w:rsidP="001D3B47">
      <w:pPr>
        <w:widowControl/>
        <w:jc w:val="left"/>
        <w:rPr>
          <w:rFonts w:ascii="Times New Roman" w:eastAsia="宋体" w:hAnsi="Times New Roman" w:cs="Times New Roman"/>
          <w:kern w:val="0"/>
          <w:sz w:val="28"/>
          <w:szCs w:val="28"/>
        </w:rPr>
      </w:pPr>
      <w:r w:rsidRPr="001D3B47">
        <w:rPr>
          <w:rFonts w:ascii="Times New Roman" w:eastAsia="宋体" w:hAnsi="Times New Roman" w:cs="Times New Roman"/>
          <w:b/>
          <w:bCs/>
          <w:color w:val="000000"/>
          <w:kern w:val="0"/>
          <w:sz w:val="28"/>
          <w:szCs w:val="28"/>
        </w:rPr>
        <w:t>2. BASEL:</w:t>
      </w:r>
    </w:p>
    <w:p w14:paraId="0473B65D" w14:textId="07D5C78F" w:rsidR="001D3B47" w:rsidRPr="0010656A" w:rsidRDefault="001D3B47" w:rsidP="001D3B47">
      <w:pPr>
        <w:rPr>
          <w:rFonts w:ascii="Times New Roman" w:hAnsi="Times New Roman" w:cs="Times New Roman"/>
          <w:b/>
          <w:bCs/>
          <w:sz w:val="24"/>
        </w:rPr>
      </w:pPr>
      <w:r w:rsidRPr="0010656A">
        <w:rPr>
          <w:rFonts w:ascii="Times New Roman" w:hAnsi="Times New Roman" w:cs="Times New Roman" w:hint="cs"/>
          <w:b/>
          <w:bCs/>
          <w:sz w:val="24"/>
        </w:rPr>
        <w:t>(</w:t>
      </w:r>
      <w:r w:rsidRPr="0010656A">
        <w:rPr>
          <w:rFonts w:ascii="Times New Roman" w:hAnsi="Times New Roman" w:cs="Times New Roman"/>
          <w:b/>
          <w:bCs/>
          <w:sz w:val="24"/>
        </w:rPr>
        <w:t>a)</w:t>
      </w:r>
    </w:p>
    <w:p w14:paraId="0173D289" w14:textId="17682F2E" w:rsidR="00302FC4" w:rsidRDefault="007B459A" w:rsidP="001D3B47">
      <w:pPr>
        <w:rPr>
          <w:rFonts w:ascii="Times New Roman" w:hAnsi="Times New Roman" w:cs="Times New Roman"/>
          <w:sz w:val="24"/>
        </w:rPr>
      </w:pPr>
      <w:r w:rsidRPr="0010656A">
        <w:rPr>
          <w:rFonts w:ascii="Times New Roman" w:hAnsi="Times New Roman" w:cs="Times New Roman" w:hint="eastAsia"/>
          <w:b/>
          <w:bCs/>
          <w:sz w:val="24"/>
        </w:rPr>
        <w:t>1</w:t>
      </w:r>
      <w:r w:rsidRPr="0010656A">
        <w:rPr>
          <w:rFonts w:ascii="Times New Roman" w:hAnsi="Times New Roman" w:cs="Times New Roman"/>
          <w:b/>
          <w:bCs/>
          <w:sz w:val="24"/>
        </w:rPr>
        <w:t>5.2:</w:t>
      </w:r>
      <w:r>
        <w:rPr>
          <w:rFonts w:ascii="Times New Roman" w:hAnsi="Times New Roman" w:cs="Times New Roman"/>
          <w:sz w:val="24"/>
        </w:rPr>
        <w:t xml:space="preserve"> </w:t>
      </w:r>
      <w:r w:rsidR="008810E1">
        <w:rPr>
          <w:rFonts w:ascii="Times New Roman" w:hAnsi="Times New Roman" w:cs="Times New Roman"/>
          <w:sz w:val="24"/>
        </w:rPr>
        <w:t xml:space="preserve">The existence of deposit insurance </w:t>
      </w:r>
      <w:r w:rsidR="00302FC4">
        <w:rPr>
          <w:rFonts w:ascii="Times New Roman" w:hAnsi="Times New Roman" w:cs="Times New Roman"/>
          <w:sz w:val="24"/>
        </w:rPr>
        <w:t xml:space="preserve">protects the </w:t>
      </w:r>
      <w:r w:rsidR="00302FC4">
        <w:rPr>
          <w:rFonts w:ascii="Times New Roman" w:hAnsi="Times New Roman" w:cs="Times New Roman" w:hint="eastAsia"/>
          <w:sz w:val="24"/>
        </w:rPr>
        <w:t>deposit</w:t>
      </w:r>
      <w:r w:rsidR="00302FC4">
        <w:rPr>
          <w:rFonts w:ascii="Times New Roman" w:hAnsi="Times New Roman" w:cs="Times New Roman"/>
          <w:sz w:val="24"/>
        </w:rPr>
        <w:t>o</w:t>
      </w:r>
      <w:r w:rsidR="00302FC4">
        <w:rPr>
          <w:rFonts w:ascii="Times New Roman" w:hAnsi="Times New Roman" w:cs="Times New Roman" w:hint="eastAsia"/>
          <w:sz w:val="24"/>
        </w:rPr>
        <w:t>r</w:t>
      </w:r>
      <w:r w:rsidR="00302FC4">
        <w:rPr>
          <w:rFonts w:ascii="Times New Roman" w:hAnsi="Times New Roman" w:cs="Times New Roman"/>
          <w:sz w:val="24"/>
        </w:rPr>
        <w:t xml:space="preserve"> from los</w:t>
      </w:r>
      <w:r w:rsidR="0068783B">
        <w:rPr>
          <w:rFonts w:ascii="Times New Roman" w:hAnsi="Times New Roman" w:cs="Times New Roman"/>
          <w:sz w:val="24"/>
        </w:rPr>
        <w:t>ing deposit</w:t>
      </w:r>
      <w:r w:rsidR="00302FC4">
        <w:rPr>
          <w:rFonts w:ascii="Times New Roman" w:hAnsi="Times New Roman" w:cs="Times New Roman"/>
          <w:sz w:val="24"/>
        </w:rPr>
        <w:t xml:space="preserve">, which will make the bank tend to take more risk because they don’t worry about failing to pay </w:t>
      </w:r>
      <w:r w:rsidR="0068783B">
        <w:rPr>
          <w:rFonts w:ascii="Times New Roman" w:hAnsi="Times New Roman" w:cs="Times New Roman"/>
          <w:sz w:val="24"/>
        </w:rPr>
        <w:t xml:space="preserve">back </w:t>
      </w:r>
      <w:r w:rsidR="00302FC4">
        <w:rPr>
          <w:rFonts w:ascii="Times New Roman" w:hAnsi="Times New Roman" w:cs="Times New Roman"/>
          <w:sz w:val="24"/>
        </w:rPr>
        <w:t>the deposit. Therefore, more risk leads to larger probability for bank to go bankrupt. From the perspective of regulator, it’s necessary to build regulation to control the basic capital bank holds.</w:t>
      </w:r>
    </w:p>
    <w:p w14:paraId="65E48CE3" w14:textId="2CD92BFC" w:rsidR="00292B51" w:rsidRDefault="00302FC4" w:rsidP="001D3B47">
      <w:pPr>
        <w:rPr>
          <w:rFonts w:ascii="Times New Roman" w:hAnsi="Times New Roman" w:cs="Times New Roman"/>
          <w:sz w:val="24"/>
        </w:rPr>
      </w:pPr>
      <w:r w:rsidRPr="0010656A">
        <w:rPr>
          <w:rFonts w:ascii="Times New Roman" w:hAnsi="Times New Roman" w:cs="Times New Roman" w:hint="eastAsia"/>
          <w:b/>
          <w:bCs/>
          <w:sz w:val="24"/>
        </w:rPr>
        <w:t>1</w:t>
      </w:r>
      <w:r w:rsidRPr="0010656A">
        <w:rPr>
          <w:rFonts w:ascii="Times New Roman" w:hAnsi="Times New Roman" w:cs="Times New Roman"/>
          <w:b/>
          <w:bCs/>
          <w:sz w:val="24"/>
        </w:rPr>
        <w:t>5.</w:t>
      </w:r>
      <w:r w:rsidR="007A4E72" w:rsidRPr="0010656A">
        <w:rPr>
          <w:rFonts w:ascii="Times New Roman" w:hAnsi="Times New Roman" w:cs="Times New Roman"/>
          <w:b/>
          <w:bCs/>
          <w:sz w:val="24"/>
        </w:rPr>
        <w:t xml:space="preserve">5: </w:t>
      </w:r>
      <w:r w:rsidR="007A4E72">
        <w:rPr>
          <w:rFonts w:ascii="Times New Roman" w:hAnsi="Times New Roman" w:cs="Times New Roman"/>
          <w:sz w:val="24"/>
        </w:rPr>
        <w:t>Yes, the financial institution is still exposed to credit risk.</w:t>
      </w:r>
      <w:r w:rsidR="009E4545">
        <w:rPr>
          <w:rFonts w:ascii="Times New Roman" w:hAnsi="Times New Roman" w:cs="Times New Roman"/>
          <w:sz w:val="24"/>
        </w:rPr>
        <w:t xml:space="preserve"> Although the current value of the swap has negative value, but there might be positive in a certain moment in the future. </w:t>
      </w:r>
      <w:r w:rsidR="009E178B">
        <w:rPr>
          <w:rFonts w:ascii="Times New Roman" w:hAnsi="Times New Roman" w:cs="Times New Roman"/>
          <w:sz w:val="24"/>
        </w:rPr>
        <w:t>I</w:t>
      </w:r>
      <w:r w:rsidR="009E4545">
        <w:rPr>
          <w:rFonts w:ascii="Times New Roman" w:hAnsi="Times New Roman" w:cs="Times New Roman"/>
          <w:sz w:val="24"/>
        </w:rPr>
        <w:t>t’s possible for counterparty to default.</w:t>
      </w:r>
      <w:r w:rsidR="00292B51">
        <w:rPr>
          <w:rFonts w:ascii="Times New Roman" w:hAnsi="Times New Roman" w:cs="Times New Roman"/>
          <w:sz w:val="24"/>
        </w:rPr>
        <w:t xml:space="preserve"> Under Basel I, the requirement of interest rate would be 0.5%.</w:t>
      </w:r>
    </w:p>
    <w:p w14:paraId="2436A217" w14:textId="0B888B3C" w:rsidR="00292B51" w:rsidRDefault="00292B51" w:rsidP="001D3B47">
      <w:pPr>
        <w:rPr>
          <w:rFonts w:ascii="Times New Roman" w:hAnsi="Times New Roman" w:cs="Times New Roman"/>
          <w:sz w:val="24"/>
        </w:rPr>
      </w:pPr>
      <w:r w:rsidRPr="0010656A">
        <w:rPr>
          <w:rFonts w:ascii="Times New Roman" w:hAnsi="Times New Roman" w:cs="Times New Roman" w:hint="eastAsia"/>
          <w:b/>
          <w:bCs/>
          <w:sz w:val="24"/>
        </w:rPr>
        <w:t>1</w:t>
      </w:r>
      <w:r w:rsidRPr="0010656A">
        <w:rPr>
          <w:rFonts w:ascii="Times New Roman" w:hAnsi="Times New Roman" w:cs="Times New Roman"/>
          <w:b/>
          <w:bCs/>
          <w:sz w:val="24"/>
        </w:rPr>
        <w:t>5.11:</w:t>
      </w:r>
      <w:r>
        <w:rPr>
          <w:rFonts w:ascii="Times New Roman" w:hAnsi="Times New Roman" w:cs="Times New Roman"/>
          <w:sz w:val="24"/>
        </w:rPr>
        <w:t xml:space="preserve"> </w:t>
      </w:r>
      <w:r w:rsidR="0088129D">
        <w:rPr>
          <w:rFonts w:ascii="Times New Roman" w:hAnsi="Times New Roman" w:cs="Times New Roman"/>
          <w:sz w:val="24"/>
        </w:rPr>
        <w:t xml:space="preserve">In Basel I, the requirement of borrowing money for highly creditworthy companies and lower creditworthy ones are same. Banks tend to issue debt securities for them because the return of banks are </w:t>
      </w:r>
      <w:r w:rsidR="0088129D">
        <w:rPr>
          <w:rFonts w:ascii="Times New Roman" w:hAnsi="Times New Roman" w:cs="Times New Roman" w:hint="eastAsia"/>
          <w:sz w:val="24"/>
        </w:rPr>
        <w:t>relatively</w:t>
      </w:r>
      <w:r w:rsidR="0088129D">
        <w:rPr>
          <w:rFonts w:ascii="Times New Roman" w:hAnsi="Times New Roman" w:cs="Times New Roman"/>
          <w:sz w:val="24"/>
        </w:rPr>
        <w:t xml:space="preserve"> low for lending money to those good companies.</w:t>
      </w:r>
      <w:r w:rsidR="00386566">
        <w:rPr>
          <w:rFonts w:ascii="Times New Roman" w:hAnsi="Times New Roman" w:cs="Times New Roman"/>
          <w:sz w:val="24"/>
        </w:rPr>
        <w:t xml:space="preserve"> In Basel II, the required capital is connected to the credit of companies. </w:t>
      </w:r>
      <w:r w:rsidR="009E178B">
        <w:rPr>
          <w:rFonts w:ascii="Times New Roman" w:hAnsi="Times New Roman" w:cs="Times New Roman"/>
          <w:sz w:val="24"/>
        </w:rPr>
        <w:t>Then</w:t>
      </w:r>
      <w:r w:rsidR="00386566">
        <w:rPr>
          <w:rFonts w:ascii="Times New Roman" w:hAnsi="Times New Roman" w:cs="Times New Roman"/>
          <w:sz w:val="24"/>
        </w:rPr>
        <w:t xml:space="preserve"> bank are willing to lend money to good corporation again.</w:t>
      </w:r>
    </w:p>
    <w:p w14:paraId="13D27904" w14:textId="22791AF8" w:rsidR="00942C9B" w:rsidRDefault="00386566" w:rsidP="001D3B47">
      <w:pPr>
        <w:rPr>
          <w:rFonts w:ascii="Times New Roman" w:hAnsi="Times New Roman" w:cs="Times New Roman"/>
          <w:sz w:val="24"/>
        </w:rPr>
      </w:pPr>
      <w:r w:rsidRPr="0010656A">
        <w:rPr>
          <w:rFonts w:ascii="Times New Roman" w:hAnsi="Times New Roman" w:cs="Times New Roman" w:hint="eastAsia"/>
          <w:b/>
          <w:bCs/>
          <w:sz w:val="24"/>
        </w:rPr>
        <w:t>1</w:t>
      </w:r>
      <w:r w:rsidRPr="0010656A">
        <w:rPr>
          <w:rFonts w:ascii="Times New Roman" w:hAnsi="Times New Roman" w:cs="Times New Roman"/>
          <w:b/>
          <w:bCs/>
          <w:sz w:val="24"/>
        </w:rPr>
        <w:t>5.15:</w:t>
      </w:r>
      <w:r>
        <w:rPr>
          <w:rFonts w:ascii="Times New Roman" w:hAnsi="Times New Roman" w:cs="Times New Roman"/>
          <w:sz w:val="24"/>
        </w:rPr>
        <w:t xml:space="preserve"> The standardized approach </w:t>
      </w:r>
      <w:r w:rsidR="00942C9B">
        <w:rPr>
          <w:rFonts w:ascii="Times New Roman" w:hAnsi="Times New Roman" w:cs="Times New Roman"/>
          <w:sz w:val="24"/>
        </w:rPr>
        <w:t>use</w:t>
      </w:r>
      <w:r w:rsidR="009E178B">
        <w:rPr>
          <w:rFonts w:ascii="Times New Roman" w:hAnsi="Times New Roman" w:cs="Times New Roman"/>
          <w:sz w:val="24"/>
        </w:rPr>
        <w:t>s</w:t>
      </w:r>
      <w:r w:rsidR="00942C9B">
        <w:rPr>
          <w:rFonts w:ascii="Times New Roman" w:hAnsi="Times New Roman" w:cs="Times New Roman"/>
          <w:sz w:val="24"/>
        </w:rPr>
        <w:t xml:space="preserve"> external ratings in assessing corporations. In the</w:t>
      </w:r>
      <w:r w:rsidR="00942C9B">
        <w:rPr>
          <w:rFonts w:ascii="Times New Roman" w:hAnsi="Times New Roman" w:cs="Times New Roman" w:hint="eastAsia"/>
          <w:sz w:val="24"/>
        </w:rPr>
        <w:t xml:space="preserve"> </w:t>
      </w:r>
      <w:r w:rsidR="00942C9B">
        <w:rPr>
          <w:rFonts w:ascii="Times New Roman" w:hAnsi="Times New Roman" w:cs="Times New Roman"/>
          <w:sz w:val="24"/>
        </w:rPr>
        <w:t xml:space="preserve">IRB approach, the capital required is the </w:t>
      </w:r>
      <w:proofErr w:type="spellStart"/>
      <w:r w:rsidR="00942C9B">
        <w:rPr>
          <w:rFonts w:ascii="Times New Roman" w:hAnsi="Times New Roman" w:cs="Times New Roman"/>
          <w:sz w:val="24"/>
        </w:rPr>
        <w:t>VaR</w:t>
      </w:r>
      <w:proofErr w:type="spellEnd"/>
      <w:r w:rsidR="00942C9B">
        <w:rPr>
          <w:rFonts w:ascii="Times New Roman" w:hAnsi="Times New Roman" w:cs="Times New Roman"/>
          <w:sz w:val="24"/>
        </w:rPr>
        <w:t xml:space="preserve"> minus the expected loss. Under </w:t>
      </w:r>
      <w:r w:rsidR="00942C9B">
        <w:rPr>
          <w:rFonts w:ascii="Times New Roman" w:hAnsi="Times New Roman" w:cs="Times New Roman"/>
          <w:sz w:val="24"/>
        </w:rPr>
        <w:lastRenderedPageBreak/>
        <w:t xml:space="preserve">foundation IRB, </w:t>
      </w:r>
      <w:r w:rsidR="00C02163">
        <w:rPr>
          <w:rFonts w:ascii="Times New Roman" w:hAnsi="Times New Roman" w:cs="Times New Roman"/>
          <w:sz w:val="24"/>
        </w:rPr>
        <w:t>bank supply PD while LGD, EAD and M are supervisory value set by Basel Committee. Under advanced IRB, bank supply their own estimate of PD, LGD, EAD and M.</w:t>
      </w:r>
    </w:p>
    <w:p w14:paraId="0894EC20" w14:textId="54332D3D" w:rsidR="00C02163" w:rsidRPr="00C02163" w:rsidRDefault="00C02163" w:rsidP="001D3B47">
      <w:pPr>
        <w:rPr>
          <w:rFonts w:ascii="Times New Roman" w:hAnsi="Times New Roman" w:cs="Times New Roman"/>
          <w:sz w:val="24"/>
        </w:rPr>
      </w:pPr>
    </w:p>
    <w:p w14:paraId="4A5B5E0B" w14:textId="7F5C1135" w:rsidR="00C02163" w:rsidRPr="0010656A" w:rsidRDefault="00C02163" w:rsidP="001D3B47">
      <w:pPr>
        <w:rPr>
          <w:rFonts w:ascii="Times New Roman" w:hAnsi="Times New Roman" w:cs="Times New Roman"/>
          <w:b/>
          <w:bCs/>
          <w:sz w:val="24"/>
        </w:rPr>
      </w:pPr>
      <w:r w:rsidRPr="0010656A">
        <w:rPr>
          <w:rFonts w:ascii="Times New Roman" w:hAnsi="Times New Roman" w:cs="Times New Roman" w:hint="eastAsia"/>
          <w:b/>
          <w:bCs/>
          <w:sz w:val="24"/>
        </w:rPr>
        <w:t>(</w:t>
      </w:r>
      <w:r w:rsidRPr="0010656A">
        <w:rPr>
          <w:rFonts w:ascii="Times New Roman" w:hAnsi="Times New Roman" w:cs="Times New Roman"/>
          <w:b/>
          <w:bCs/>
          <w:sz w:val="24"/>
        </w:rPr>
        <w:t>b)</w:t>
      </w:r>
    </w:p>
    <w:p w14:paraId="5020910D" w14:textId="1BC63652" w:rsidR="00931C17" w:rsidRPr="00561F9B" w:rsidRDefault="00C02163" w:rsidP="001D3B47">
      <w:pPr>
        <w:rPr>
          <w:rFonts w:ascii="Times New Roman" w:hAnsi="Times New Roman" w:cs="Times New Roman"/>
          <w:sz w:val="24"/>
        </w:rPr>
      </w:pPr>
      <w:r w:rsidRPr="0010656A">
        <w:rPr>
          <w:rFonts w:ascii="Times New Roman" w:hAnsi="Times New Roman" w:cs="Times New Roman" w:hint="eastAsia"/>
          <w:b/>
          <w:bCs/>
          <w:sz w:val="24"/>
        </w:rPr>
        <w:t>1</w:t>
      </w:r>
      <w:r w:rsidRPr="0010656A">
        <w:rPr>
          <w:rFonts w:ascii="Times New Roman" w:hAnsi="Times New Roman" w:cs="Times New Roman"/>
          <w:b/>
          <w:bCs/>
          <w:sz w:val="24"/>
        </w:rPr>
        <w:t>6.1:</w:t>
      </w:r>
      <w:r>
        <w:rPr>
          <w:rFonts w:ascii="Times New Roman" w:hAnsi="Times New Roman" w:cs="Times New Roman"/>
          <w:sz w:val="24"/>
        </w:rPr>
        <w:t xml:space="preserve"> </w:t>
      </w:r>
      <w:r w:rsidR="00931C17">
        <w:rPr>
          <w:rFonts w:ascii="Times New Roman" w:hAnsi="Times New Roman" w:cs="Times New Roman"/>
          <w:sz w:val="24"/>
        </w:rPr>
        <w:t xml:space="preserve">The three major components of Basel II are the calculation of a stressed </w:t>
      </w:r>
      <w:proofErr w:type="spellStart"/>
      <w:r w:rsidR="00931C17">
        <w:rPr>
          <w:rFonts w:ascii="Times New Roman" w:hAnsi="Times New Roman" w:cs="Times New Roman"/>
          <w:sz w:val="24"/>
        </w:rPr>
        <w:t>VaR</w:t>
      </w:r>
      <w:proofErr w:type="spellEnd"/>
      <w:r w:rsidR="00931C17">
        <w:rPr>
          <w:rFonts w:ascii="Times New Roman" w:hAnsi="Times New Roman" w:cs="Times New Roman"/>
          <w:sz w:val="24"/>
        </w:rPr>
        <w:t>, a new incremental risk charge and a comprehensive risk measure for instruments dependent on credit correlation.</w:t>
      </w:r>
    </w:p>
    <w:p w14:paraId="43CB6D9B" w14:textId="4785D672" w:rsidR="00931C17" w:rsidRDefault="00931C17" w:rsidP="001D3B47">
      <w:pPr>
        <w:rPr>
          <w:rFonts w:ascii="Times New Roman" w:hAnsi="Times New Roman" w:cs="Times New Roman"/>
          <w:sz w:val="24"/>
        </w:rPr>
      </w:pPr>
      <w:r w:rsidRPr="0010656A">
        <w:rPr>
          <w:rFonts w:ascii="Times New Roman" w:hAnsi="Times New Roman" w:cs="Times New Roman" w:hint="eastAsia"/>
          <w:b/>
          <w:bCs/>
          <w:sz w:val="24"/>
        </w:rPr>
        <w:t>1</w:t>
      </w:r>
      <w:r w:rsidRPr="0010656A">
        <w:rPr>
          <w:rFonts w:ascii="Times New Roman" w:hAnsi="Times New Roman" w:cs="Times New Roman"/>
          <w:b/>
          <w:bCs/>
          <w:sz w:val="24"/>
        </w:rPr>
        <w:t>6.2:</w:t>
      </w:r>
      <w:r>
        <w:rPr>
          <w:rFonts w:ascii="Times New Roman" w:hAnsi="Times New Roman" w:cs="Times New Roman"/>
          <w:sz w:val="24"/>
        </w:rPr>
        <w:t xml:space="preserve"> The six major components of Basel III are: (1) capital definition and requirements, (2) capital conservation buffer, (3) countercyclical buffer, (4) leverage ratio, (5) Liquidity risk, (</w:t>
      </w:r>
      <w:proofErr w:type="gramStart"/>
      <w:r>
        <w:rPr>
          <w:rFonts w:ascii="Times New Roman" w:hAnsi="Times New Roman" w:cs="Times New Roman"/>
          <w:sz w:val="24"/>
        </w:rPr>
        <w:t>6)counterparty</w:t>
      </w:r>
      <w:proofErr w:type="gramEnd"/>
      <w:r>
        <w:rPr>
          <w:rFonts w:ascii="Times New Roman" w:hAnsi="Times New Roman" w:cs="Times New Roman"/>
          <w:sz w:val="24"/>
        </w:rPr>
        <w:t xml:space="preserve"> credit risk.</w:t>
      </w:r>
    </w:p>
    <w:p w14:paraId="7480BB56" w14:textId="26B3D201" w:rsidR="001C6F94" w:rsidRDefault="001C6F94" w:rsidP="001D3B47">
      <w:pPr>
        <w:rPr>
          <w:rFonts w:ascii="Times New Roman" w:hAnsi="Times New Roman" w:cs="Times New Roman"/>
          <w:sz w:val="24"/>
        </w:rPr>
      </w:pPr>
    </w:p>
    <w:p w14:paraId="5B8C4867" w14:textId="77777777" w:rsidR="001C6F94" w:rsidRDefault="001C6F94" w:rsidP="001D3B47">
      <w:pPr>
        <w:rPr>
          <w:rFonts w:ascii="Times New Roman" w:hAnsi="Times New Roman" w:cs="Times New Roman"/>
          <w:sz w:val="24"/>
        </w:rPr>
      </w:pPr>
    </w:p>
    <w:p w14:paraId="6D38342B" w14:textId="4E02CAE9" w:rsidR="001C6F94" w:rsidRPr="001C6F94" w:rsidRDefault="001C6F94" w:rsidP="001C6F94">
      <w:pPr>
        <w:widowControl/>
        <w:spacing w:line="400" w:lineRule="exact"/>
        <w:jc w:val="left"/>
        <w:rPr>
          <w:rFonts w:ascii="Times New Roman" w:eastAsia="宋体" w:hAnsi="Times New Roman" w:cs="Times New Roman"/>
          <w:b/>
          <w:bCs/>
          <w:kern w:val="0"/>
          <w:sz w:val="28"/>
          <w:szCs w:val="28"/>
        </w:rPr>
      </w:pPr>
      <w:r w:rsidRPr="001C6F94">
        <w:rPr>
          <w:rFonts w:ascii="Times New Roman" w:hAnsi="Times New Roman" w:cs="Times New Roman"/>
          <w:b/>
          <w:bCs/>
          <w:sz w:val="28"/>
          <w:szCs w:val="28"/>
        </w:rPr>
        <w:t>3.</w:t>
      </w:r>
      <w:r w:rsidRPr="001C6F94">
        <w:rPr>
          <w:rFonts w:ascii="Times New Roman" w:eastAsia="宋体" w:hAnsi="Times New Roman" w:cs="Times New Roman"/>
          <w:b/>
          <w:bCs/>
          <w:color w:val="000000"/>
          <w:kern w:val="0"/>
          <w:sz w:val="28"/>
          <w:szCs w:val="28"/>
        </w:rPr>
        <w:t xml:space="preserve"> Moving Average (MA), Exponentially Weighted MA and </w:t>
      </w:r>
      <w:proofErr w:type="spellStart"/>
      <w:r w:rsidRPr="001C6F94">
        <w:rPr>
          <w:rFonts w:ascii="Times New Roman" w:eastAsia="宋体" w:hAnsi="Times New Roman" w:cs="Times New Roman"/>
          <w:b/>
          <w:bCs/>
          <w:color w:val="000000"/>
          <w:kern w:val="0"/>
          <w:sz w:val="28"/>
          <w:szCs w:val="28"/>
        </w:rPr>
        <w:t>Garch</w:t>
      </w:r>
      <w:proofErr w:type="spellEnd"/>
      <w:r w:rsidRPr="001C6F94">
        <w:rPr>
          <w:rFonts w:ascii="Times New Roman" w:eastAsia="宋体" w:hAnsi="Times New Roman" w:cs="Times New Roman"/>
          <w:b/>
          <w:bCs/>
          <w:color w:val="000000"/>
          <w:kern w:val="0"/>
          <w:sz w:val="28"/>
          <w:szCs w:val="28"/>
        </w:rPr>
        <w:t xml:space="preserve"> Volatility Estimates</w:t>
      </w:r>
      <w:r>
        <w:rPr>
          <w:rFonts w:ascii="Times New Roman" w:eastAsia="宋体" w:hAnsi="Times New Roman" w:cs="Times New Roman"/>
          <w:b/>
          <w:bCs/>
          <w:color w:val="000000"/>
          <w:kern w:val="0"/>
          <w:sz w:val="28"/>
          <w:szCs w:val="28"/>
        </w:rPr>
        <w:t>:</w:t>
      </w:r>
    </w:p>
    <w:p w14:paraId="52FA5581" w14:textId="0BE5D956" w:rsidR="001C6F94" w:rsidRDefault="001C6F94" w:rsidP="001D3B47">
      <w:pPr>
        <w:rPr>
          <w:rFonts w:ascii="Times New Roman" w:hAnsi="Times New Roman" w:cs="Times New Roman"/>
          <w:sz w:val="24"/>
        </w:rPr>
      </w:pPr>
    </w:p>
    <w:p w14:paraId="0BCF77A3" w14:textId="3D3A4F97" w:rsidR="001C6F94" w:rsidRPr="001C6F94" w:rsidRDefault="001C6F94" w:rsidP="001C6F94">
      <w:pPr>
        <w:pStyle w:val="a3"/>
        <w:numPr>
          <w:ilvl w:val="0"/>
          <w:numId w:val="2"/>
        </w:numPr>
        <w:ind w:firstLineChars="0"/>
        <w:rPr>
          <w:rFonts w:ascii="Times New Roman" w:hAnsi="Times New Roman" w:cs="Times New Roman"/>
          <w:sz w:val="24"/>
        </w:rPr>
      </w:pPr>
      <w:r>
        <w:rPr>
          <w:rFonts w:ascii="Times New Roman" w:hAnsi="Times New Roman" w:cs="Times New Roman"/>
          <w:sz w:val="24"/>
        </w:rPr>
        <w:t>(</w:t>
      </w:r>
      <w:r w:rsidRPr="001C6F94">
        <w:rPr>
          <w:rFonts w:ascii="Times New Roman" w:hAnsi="Times New Roman" w:cs="Times New Roman" w:hint="eastAsia"/>
          <w:sz w:val="24"/>
        </w:rPr>
        <w:t>F</w:t>
      </w:r>
      <w:r w:rsidRPr="001C6F94">
        <w:rPr>
          <w:rFonts w:ascii="Times New Roman" w:hAnsi="Times New Roman" w:cs="Times New Roman"/>
          <w:sz w:val="24"/>
        </w:rPr>
        <w:t>or the detail</w:t>
      </w:r>
      <w:r>
        <w:rPr>
          <w:rFonts w:ascii="Times New Roman" w:hAnsi="Times New Roman" w:cs="Times New Roman"/>
          <w:sz w:val="24"/>
        </w:rPr>
        <w:t>s</w:t>
      </w:r>
      <w:r w:rsidRPr="001C6F94">
        <w:rPr>
          <w:rFonts w:ascii="Times New Roman" w:hAnsi="Times New Roman" w:cs="Times New Roman"/>
          <w:sz w:val="24"/>
        </w:rPr>
        <w:t>, see the code</w:t>
      </w:r>
      <w:r>
        <w:rPr>
          <w:rFonts w:ascii="Times New Roman" w:hAnsi="Times New Roman" w:cs="Times New Roman"/>
          <w:sz w:val="24"/>
        </w:rPr>
        <w:t xml:space="preserve"> file </w:t>
      </w:r>
      <w:r w:rsidRPr="001C6F94">
        <w:rPr>
          <w:rFonts w:ascii="Times New Roman" w:hAnsi="Times New Roman" w:cs="Times New Roman"/>
          <w:b/>
          <w:bCs/>
          <w:i/>
          <w:iCs/>
          <w:sz w:val="24"/>
        </w:rPr>
        <w:t>problem3.ipynb</w:t>
      </w:r>
      <w:r>
        <w:rPr>
          <w:rFonts w:ascii="Times New Roman" w:hAnsi="Times New Roman" w:cs="Times New Roman"/>
          <w:sz w:val="24"/>
        </w:rPr>
        <w:t xml:space="preserve">) </w:t>
      </w:r>
    </w:p>
    <w:p w14:paraId="54ADBDF1" w14:textId="39421308" w:rsidR="001C6F94" w:rsidRPr="001C6F94" w:rsidRDefault="001C6F94" w:rsidP="001C6F94">
      <w:pPr>
        <w:widowControl/>
        <w:jc w:val="center"/>
        <w:rPr>
          <w:rFonts w:ascii="宋体" w:eastAsia="宋体" w:hAnsi="宋体" w:cs="宋体"/>
          <w:kern w:val="0"/>
          <w:sz w:val="24"/>
        </w:rPr>
      </w:pPr>
      <w:r w:rsidRPr="001C6F94">
        <w:rPr>
          <w:rFonts w:ascii="Times New Roman" w:hAnsi="Times New Roman" w:cs="Times New Roman"/>
          <w:noProof/>
          <w:sz w:val="24"/>
        </w:rPr>
        <w:drawing>
          <wp:inline distT="0" distB="0" distL="0" distR="0" wp14:anchorId="02AA272E" wp14:editId="00BAD6C4">
            <wp:extent cx="4007223" cy="2151253"/>
            <wp:effectExtent l="0" t="0" r="0" b="0"/>
            <wp:docPr id="1" name="图片 1" descr="图片包含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直方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475" cy="2200778"/>
                    </a:xfrm>
                    <a:prstGeom prst="rect">
                      <a:avLst/>
                    </a:prstGeom>
                    <a:noFill/>
                    <a:ln>
                      <a:noFill/>
                    </a:ln>
                  </pic:spPr>
                </pic:pic>
              </a:graphicData>
            </a:graphic>
          </wp:inline>
        </w:drawing>
      </w:r>
    </w:p>
    <w:p w14:paraId="6E1A6948" w14:textId="5C2F3578" w:rsidR="001C6F94" w:rsidRDefault="001C6F94" w:rsidP="001D3B47">
      <w:pPr>
        <w:rPr>
          <w:rFonts w:ascii="Times New Roman" w:hAnsi="Times New Roman" w:cs="Times New Roman"/>
          <w:b/>
          <w:bCs/>
          <w:sz w:val="24"/>
        </w:rPr>
      </w:pPr>
      <w:r w:rsidRPr="001C6F94">
        <w:rPr>
          <w:rFonts w:ascii="Times New Roman" w:hAnsi="Times New Roman" w:cs="Times New Roman" w:hint="eastAsia"/>
          <w:b/>
          <w:bCs/>
          <w:sz w:val="24"/>
        </w:rPr>
        <w:t>(</w:t>
      </w:r>
      <w:r w:rsidRPr="001C6F94">
        <w:rPr>
          <w:rFonts w:ascii="Times New Roman" w:hAnsi="Times New Roman" w:cs="Times New Roman"/>
          <w:b/>
          <w:bCs/>
          <w:sz w:val="24"/>
        </w:rPr>
        <w:t>b)</w:t>
      </w:r>
    </w:p>
    <w:p w14:paraId="1A231ADB" w14:textId="6AB18B03" w:rsidR="001C6F94" w:rsidRDefault="00163530" w:rsidP="00163530">
      <w:pPr>
        <w:widowControl/>
        <w:jc w:val="center"/>
        <w:rPr>
          <w:rFonts w:ascii="宋体" w:eastAsia="宋体" w:hAnsi="宋体" w:cs="宋体" w:hint="eastAsia"/>
          <w:kern w:val="0"/>
          <w:sz w:val="24"/>
        </w:rPr>
      </w:pPr>
      <w:r w:rsidRPr="00163530">
        <w:rPr>
          <w:rFonts w:ascii="宋体" w:eastAsia="宋体" w:hAnsi="宋体" w:cs="宋体" w:hint="eastAsia"/>
          <w:noProof/>
          <w:kern w:val="0"/>
          <w:sz w:val="24"/>
        </w:rPr>
        <w:drawing>
          <wp:inline distT="0" distB="0" distL="0" distR="0" wp14:anchorId="30FA4128" wp14:editId="66FD5E19">
            <wp:extent cx="4091232" cy="2196353"/>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0378" cy="2206631"/>
                    </a:xfrm>
                    <a:prstGeom prst="rect">
                      <a:avLst/>
                    </a:prstGeom>
                    <a:noFill/>
                    <a:ln>
                      <a:noFill/>
                    </a:ln>
                  </pic:spPr>
                </pic:pic>
              </a:graphicData>
            </a:graphic>
          </wp:inline>
        </w:drawing>
      </w:r>
    </w:p>
    <w:p w14:paraId="3730B760" w14:textId="393B366A" w:rsidR="00561F9B" w:rsidRPr="00561F9B" w:rsidRDefault="00561F9B" w:rsidP="00561F9B">
      <w:pPr>
        <w:widowControl/>
        <w:rPr>
          <w:rFonts w:ascii="Times New Roman" w:eastAsia="宋体" w:hAnsi="Times New Roman" w:cs="Times New Roman"/>
          <w:kern w:val="0"/>
          <w:sz w:val="24"/>
        </w:rPr>
      </w:pPr>
      <w:r w:rsidRPr="00561F9B">
        <w:rPr>
          <w:rFonts w:ascii="Times New Roman" w:eastAsia="宋体" w:hAnsi="Times New Roman" w:cs="Times New Roman"/>
          <w:kern w:val="0"/>
          <w:sz w:val="24"/>
        </w:rPr>
        <w:t xml:space="preserve">From the plot we can see that the simulation paths </w:t>
      </w:r>
      <w:r w:rsidR="009D37CF">
        <w:rPr>
          <w:rFonts w:ascii="Times New Roman" w:eastAsia="宋体" w:hAnsi="Times New Roman" w:cs="Times New Roman"/>
          <w:kern w:val="0"/>
          <w:sz w:val="24"/>
        </w:rPr>
        <w:t xml:space="preserve">are </w:t>
      </w:r>
      <w:r w:rsidRPr="00561F9B">
        <w:rPr>
          <w:rFonts w:ascii="Times New Roman" w:eastAsia="宋体" w:hAnsi="Times New Roman" w:cs="Times New Roman"/>
          <w:kern w:val="0"/>
          <w:sz w:val="24"/>
        </w:rPr>
        <w:t xml:space="preserve">around the MA and EWMA but much </w:t>
      </w:r>
      <w:r w:rsidR="009D37CF">
        <w:rPr>
          <w:rFonts w:ascii="Times New Roman" w:eastAsia="宋体" w:hAnsi="Times New Roman" w:cs="Times New Roman"/>
          <w:kern w:val="0"/>
          <w:sz w:val="24"/>
        </w:rPr>
        <w:t>lower</w:t>
      </w:r>
      <w:r w:rsidRPr="00561F9B">
        <w:rPr>
          <w:rFonts w:ascii="Times New Roman" w:eastAsia="宋体" w:hAnsi="Times New Roman" w:cs="Times New Roman"/>
          <w:kern w:val="0"/>
          <w:sz w:val="24"/>
        </w:rPr>
        <w:t xml:space="preserve"> during 10~20</w:t>
      </w:r>
      <w:r w:rsidR="009D37CF">
        <w:rPr>
          <w:rFonts w:ascii="Times New Roman" w:eastAsia="宋体" w:hAnsi="Times New Roman" w:cs="Times New Roman"/>
          <w:kern w:val="0"/>
          <w:sz w:val="24"/>
        </w:rPr>
        <w:t>.</w:t>
      </w:r>
      <w:r w:rsidRPr="00561F9B">
        <w:rPr>
          <w:rFonts w:ascii="Times New Roman" w:eastAsia="宋体" w:hAnsi="Times New Roman" w:cs="Times New Roman"/>
          <w:kern w:val="0"/>
          <w:sz w:val="24"/>
        </w:rPr>
        <w:t xml:space="preserve"> </w:t>
      </w:r>
      <w:r w:rsidR="009D37CF">
        <w:rPr>
          <w:rFonts w:ascii="Times New Roman" w:eastAsia="宋体" w:hAnsi="Times New Roman" w:cs="Times New Roman"/>
          <w:kern w:val="0"/>
          <w:sz w:val="24"/>
        </w:rPr>
        <w:t>M</w:t>
      </w:r>
      <w:r w:rsidRPr="00561F9B">
        <w:rPr>
          <w:rFonts w:ascii="Times New Roman" w:eastAsia="宋体" w:hAnsi="Times New Roman" w:cs="Times New Roman"/>
          <w:kern w:val="0"/>
          <w:sz w:val="24"/>
        </w:rPr>
        <w:t>aybe at that time the covid-19 situa</w:t>
      </w:r>
      <w:r w:rsidR="009D37CF">
        <w:rPr>
          <w:rFonts w:ascii="Times New Roman" w:eastAsia="宋体" w:hAnsi="Times New Roman" w:cs="Times New Roman"/>
          <w:kern w:val="0"/>
          <w:sz w:val="24"/>
        </w:rPr>
        <w:t>tion</w:t>
      </w:r>
      <w:r w:rsidRPr="00561F9B">
        <w:rPr>
          <w:rFonts w:ascii="Times New Roman" w:eastAsia="宋体" w:hAnsi="Times New Roman" w:cs="Times New Roman"/>
          <w:kern w:val="0"/>
          <w:sz w:val="24"/>
        </w:rPr>
        <w:t xml:space="preserve"> in US reach a climax and there's abnormal volatility in US market.</w:t>
      </w:r>
    </w:p>
    <w:sectPr w:rsidR="00561F9B" w:rsidRPr="00561F9B">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47E8E" w14:textId="77777777" w:rsidR="00F018FD" w:rsidRDefault="00F018FD" w:rsidP="00D663B1">
      <w:r>
        <w:separator/>
      </w:r>
    </w:p>
  </w:endnote>
  <w:endnote w:type="continuationSeparator" w:id="0">
    <w:p w14:paraId="7FB9F54C" w14:textId="77777777" w:rsidR="00F018FD" w:rsidRDefault="00F018FD" w:rsidP="00D6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D9A46" w14:textId="77777777" w:rsidR="00F018FD" w:rsidRDefault="00F018FD" w:rsidP="00D663B1">
      <w:r>
        <w:separator/>
      </w:r>
    </w:p>
  </w:footnote>
  <w:footnote w:type="continuationSeparator" w:id="0">
    <w:p w14:paraId="47C41149" w14:textId="77777777" w:rsidR="00F018FD" w:rsidRDefault="00F018FD" w:rsidP="00D66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C96F8" w14:textId="06FFC247" w:rsidR="00D663B1" w:rsidRPr="00D663B1" w:rsidRDefault="00D663B1" w:rsidP="00D663B1">
    <w:pPr>
      <w:pStyle w:val="a4"/>
      <w:jc w:val="both"/>
      <w:rPr>
        <w:rFonts w:ascii="Times New Roman" w:hAnsi="Times New Roman" w:cs="Times New Roman"/>
        <w:b/>
        <w:bCs/>
      </w:rPr>
    </w:pPr>
    <w:r w:rsidRPr="00D663B1">
      <w:rPr>
        <w:rFonts w:ascii="Times New Roman" w:hAnsi="Times New Roman" w:cs="Times New Roman" w:hint="cs"/>
        <w:b/>
        <w:bCs/>
      </w:rPr>
      <w:t>M</w:t>
    </w:r>
    <w:r w:rsidRPr="00D663B1">
      <w:rPr>
        <w:rFonts w:ascii="Times New Roman" w:hAnsi="Times New Roman" w:cs="Times New Roman"/>
        <w:b/>
        <w:bCs/>
      </w:rPr>
      <w:t>F731 Homework1</w:t>
    </w:r>
  </w:p>
  <w:p w14:paraId="1CCCE341" w14:textId="3FE6FE15" w:rsidR="00D663B1" w:rsidRPr="00D663B1" w:rsidRDefault="00D663B1" w:rsidP="00D663B1">
    <w:pPr>
      <w:pStyle w:val="a4"/>
      <w:jc w:val="both"/>
      <w:rPr>
        <w:rFonts w:ascii="Times New Roman" w:hAnsi="Times New Roman" w:cs="Times New Roman"/>
        <w:b/>
        <w:bCs/>
      </w:rPr>
    </w:pPr>
    <w:proofErr w:type="spellStart"/>
    <w:r w:rsidRPr="00D663B1">
      <w:rPr>
        <w:rFonts w:ascii="Times New Roman" w:hAnsi="Times New Roman" w:cs="Times New Roman" w:hint="eastAsia"/>
        <w:b/>
        <w:bCs/>
      </w:rPr>
      <w:t>X</w:t>
    </w:r>
    <w:r w:rsidRPr="00D663B1">
      <w:rPr>
        <w:rFonts w:ascii="Times New Roman" w:hAnsi="Times New Roman" w:cs="Times New Roman"/>
        <w:b/>
        <w:bCs/>
      </w:rPr>
      <w:t>uyang</w:t>
    </w:r>
    <w:proofErr w:type="spellEnd"/>
    <w:r w:rsidRPr="00D663B1">
      <w:rPr>
        <w:rFonts w:ascii="Times New Roman" w:hAnsi="Times New Roman" w:cs="Times New Roman"/>
        <w:b/>
        <w:bCs/>
      </w:rPr>
      <w:t xml:space="preserve"> Liu</w:t>
    </w:r>
  </w:p>
  <w:p w14:paraId="1BAE4146" w14:textId="29827D28" w:rsidR="00D663B1" w:rsidRPr="00D663B1" w:rsidRDefault="00D663B1" w:rsidP="00D663B1">
    <w:pPr>
      <w:pStyle w:val="a4"/>
      <w:jc w:val="both"/>
      <w:rPr>
        <w:rFonts w:ascii="Times New Roman" w:hAnsi="Times New Roman" w:cs="Times New Roman"/>
        <w:b/>
        <w:bCs/>
      </w:rPr>
    </w:pPr>
    <w:r w:rsidRPr="00D663B1">
      <w:rPr>
        <w:rFonts w:ascii="Times New Roman" w:hAnsi="Times New Roman" w:cs="Times New Roman"/>
        <w:b/>
        <w:bCs/>
      </w:rPr>
      <w:t>xyangliu@bu.edu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0B24"/>
    <w:multiLevelType w:val="hybridMultilevel"/>
    <w:tmpl w:val="B9A0CD54"/>
    <w:lvl w:ilvl="0" w:tplc="8688A68C">
      <w:start w:val="1"/>
      <w:numFmt w:val="lowerLetter"/>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C86118"/>
    <w:multiLevelType w:val="hybridMultilevel"/>
    <w:tmpl w:val="1ECCE18A"/>
    <w:lvl w:ilvl="0" w:tplc="B7E8E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3557941">
    <w:abstractNumId w:val="1"/>
  </w:num>
  <w:num w:numId="2" w16cid:durableId="176102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C1A"/>
    <w:rsid w:val="00012587"/>
    <w:rsid w:val="0010656A"/>
    <w:rsid w:val="00163530"/>
    <w:rsid w:val="001C6F94"/>
    <w:rsid w:val="001D3B47"/>
    <w:rsid w:val="00292B51"/>
    <w:rsid w:val="002C5499"/>
    <w:rsid w:val="00302FC4"/>
    <w:rsid w:val="00386566"/>
    <w:rsid w:val="00481F09"/>
    <w:rsid w:val="004E5FD0"/>
    <w:rsid w:val="00515AB9"/>
    <w:rsid w:val="00561F9B"/>
    <w:rsid w:val="005962D2"/>
    <w:rsid w:val="00673C49"/>
    <w:rsid w:val="00682FFD"/>
    <w:rsid w:val="0068783B"/>
    <w:rsid w:val="006B486D"/>
    <w:rsid w:val="007A4E72"/>
    <w:rsid w:val="007A789C"/>
    <w:rsid w:val="007B459A"/>
    <w:rsid w:val="008810E1"/>
    <w:rsid w:val="0088129D"/>
    <w:rsid w:val="009173E8"/>
    <w:rsid w:val="00931C17"/>
    <w:rsid w:val="00942C9B"/>
    <w:rsid w:val="00967136"/>
    <w:rsid w:val="009D37CF"/>
    <w:rsid w:val="009E178B"/>
    <w:rsid w:val="009E4545"/>
    <w:rsid w:val="00AF36A9"/>
    <w:rsid w:val="00B22C24"/>
    <w:rsid w:val="00C02163"/>
    <w:rsid w:val="00C57B02"/>
    <w:rsid w:val="00D663B1"/>
    <w:rsid w:val="00D7692F"/>
    <w:rsid w:val="00D87841"/>
    <w:rsid w:val="00DD0A6B"/>
    <w:rsid w:val="00E75C1A"/>
    <w:rsid w:val="00E77217"/>
    <w:rsid w:val="00EC2F6D"/>
    <w:rsid w:val="00EF3033"/>
    <w:rsid w:val="00F018FD"/>
    <w:rsid w:val="00F64EFC"/>
    <w:rsid w:val="00F65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B62EFB"/>
  <w15:chartTrackingRefBased/>
  <w15:docId w15:val="{20AC35D0-3C84-2F40-A2AC-D030187D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136"/>
    <w:pPr>
      <w:ind w:firstLineChars="200" w:firstLine="420"/>
    </w:pPr>
  </w:style>
  <w:style w:type="paragraph" w:styleId="a4">
    <w:name w:val="header"/>
    <w:basedOn w:val="a"/>
    <w:link w:val="a5"/>
    <w:uiPriority w:val="99"/>
    <w:unhideWhenUsed/>
    <w:rsid w:val="00D663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663B1"/>
    <w:rPr>
      <w:sz w:val="18"/>
      <w:szCs w:val="18"/>
    </w:rPr>
  </w:style>
  <w:style w:type="paragraph" w:styleId="a6">
    <w:name w:val="footer"/>
    <w:basedOn w:val="a"/>
    <w:link w:val="a7"/>
    <w:uiPriority w:val="99"/>
    <w:unhideWhenUsed/>
    <w:rsid w:val="00D663B1"/>
    <w:pPr>
      <w:tabs>
        <w:tab w:val="center" w:pos="4153"/>
        <w:tab w:val="right" w:pos="8306"/>
      </w:tabs>
      <w:snapToGrid w:val="0"/>
      <w:jc w:val="left"/>
    </w:pPr>
    <w:rPr>
      <w:sz w:val="18"/>
      <w:szCs w:val="18"/>
    </w:rPr>
  </w:style>
  <w:style w:type="character" w:customStyle="1" w:styleId="a7">
    <w:name w:val="页脚 字符"/>
    <w:basedOn w:val="a0"/>
    <w:link w:val="a6"/>
    <w:uiPriority w:val="99"/>
    <w:rsid w:val="00D663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2627">
      <w:bodyDiv w:val="1"/>
      <w:marLeft w:val="0"/>
      <w:marRight w:val="0"/>
      <w:marTop w:val="0"/>
      <w:marBottom w:val="0"/>
      <w:divBdr>
        <w:top w:val="none" w:sz="0" w:space="0" w:color="auto"/>
        <w:left w:val="none" w:sz="0" w:space="0" w:color="auto"/>
        <w:bottom w:val="none" w:sz="0" w:space="0" w:color="auto"/>
        <w:right w:val="none" w:sz="0" w:space="0" w:color="auto"/>
      </w:divBdr>
      <w:divsChild>
        <w:div w:id="53086366">
          <w:marLeft w:val="0"/>
          <w:marRight w:val="0"/>
          <w:marTop w:val="0"/>
          <w:marBottom w:val="0"/>
          <w:divBdr>
            <w:top w:val="none" w:sz="0" w:space="0" w:color="auto"/>
            <w:left w:val="none" w:sz="0" w:space="0" w:color="auto"/>
            <w:bottom w:val="none" w:sz="0" w:space="0" w:color="auto"/>
            <w:right w:val="none" w:sz="0" w:space="0" w:color="auto"/>
          </w:divBdr>
        </w:div>
      </w:divsChild>
    </w:div>
    <w:div w:id="633830826">
      <w:bodyDiv w:val="1"/>
      <w:marLeft w:val="0"/>
      <w:marRight w:val="0"/>
      <w:marTop w:val="0"/>
      <w:marBottom w:val="0"/>
      <w:divBdr>
        <w:top w:val="none" w:sz="0" w:space="0" w:color="auto"/>
        <w:left w:val="none" w:sz="0" w:space="0" w:color="auto"/>
        <w:bottom w:val="none" w:sz="0" w:space="0" w:color="auto"/>
        <w:right w:val="none" w:sz="0" w:space="0" w:color="auto"/>
      </w:divBdr>
    </w:div>
    <w:div w:id="661079589">
      <w:bodyDiv w:val="1"/>
      <w:marLeft w:val="0"/>
      <w:marRight w:val="0"/>
      <w:marTop w:val="0"/>
      <w:marBottom w:val="0"/>
      <w:divBdr>
        <w:top w:val="none" w:sz="0" w:space="0" w:color="auto"/>
        <w:left w:val="none" w:sz="0" w:space="0" w:color="auto"/>
        <w:bottom w:val="none" w:sz="0" w:space="0" w:color="auto"/>
        <w:right w:val="none" w:sz="0" w:space="0" w:color="auto"/>
      </w:divBdr>
    </w:div>
    <w:div w:id="800806950">
      <w:bodyDiv w:val="1"/>
      <w:marLeft w:val="0"/>
      <w:marRight w:val="0"/>
      <w:marTop w:val="0"/>
      <w:marBottom w:val="0"/>
      <w:divBdr>
        <w:top w:val="none" w:sz="0" w:space="0" w:color="auto"/>
        <w:left w:val="none" w:sz="0" w:space="0" w:color="auto"/>
        <w:bottom w:val="none" w:sz="0" w:space="0" w:color="auto"/>
        <w:right w:val="none" w:sz="0" w:space="0" w:color="auto"/>
      </w:divBdr>
      <w:divsChild>
        <w:div w:id="1472477730">
          <w:marLeft w:val="0"/>
          <w:marRight w:val="0"/>
          <w:marTop w:val="0"/>
          <w:marBottom w:val="0"/>
          <w:divBdr>
            <w:top w:val="none" w:sz="0" w:space="0" w:color="auto"/>
            <w:left w:val="none" w:sz="0" w:space="0" w:color="auto"/>
            <w:bottom w:val="none" w:sz="0" w:space="0" w:color="auto"/>
            <w:right w:val="none" w:sz="0" w:space="0" w:color="auto"/>
          </w:divBdr>
        </w:div>
        <w:div w:id="1055201767">
          <w:marLeft w:val="0"/>
          <w:marRight w:val="0"/>
          <w:marTop w:val="0"/>
          <w:marBottom w:val="0"/>
          <w:divBdr>
            <w:top w:val="none" w:sz="0" w:space="0" w:color="auto"/>
            <w:left w:val="none" w:sz="0" w:space="0" w:color="auto"/>
            <w:bottom w:val="none" w:sz="0" w:space="0" w:color="auto"/>
            <w:right w:val="none" w:sz="0" w:space="0" w:color="auto"/>
          </w:divBdr>
        </w:div>
      </w:divsChild>
    </w:div>
    <w:div w:id="855774679">
      <w:bodyDiv w:val="1"/>
      <w:marLeft w:val="0"/>
      <w:marRight w:val="0"/>
      <w:marTop w:val="0"/>
      <w:marBottom w:val="0"/>
      <w:divBdr>
        <w:top w:val="none" w:sz="0" w:space="0" w:color="auto"/>
        <w:left w:val="none" w:sz="0" w:space="0" w:color="auto"/>
        <w:bottom w:val="none" w:sz="0" w:space="0" w:color="auto"/>
        <w:right w:val="none" w:sz="0" w:space="0" w:color="auto"/>
      </w:divBdr>
    </w:div>
    <w:div w:id="913705330">
      <w:bodyDiv w:val="1"/>
      <w:marLeft w:val="0"/>
      <w:marRight w:val="0"/>
      <w:marTop w:val="0"/>
      <w:marBottom w:val="0"/>
      <w:divBdr>
        <w:top w:val="none" w:sz="0" w:space="0" w:color="auto"/>
        <w:left w:val="none" w:sz="0" w:space="0" w:color="auto"/>
        <w:bottom w:val="none" w:sz="0" w:space="0" w:color="auto"/>
        <w:right w:val="none" w:sz="0" w:space="0" w:color="auto"/>
      </w:divBdr>
    </w:div>
    <w:div w:id="1024750715">
      <w:bodyDiv w:val="1"/>
      <w:marLeft w:val="0"/>
      <w:marRight w:val="0"/>
      <w:marTop w:val="0"/>
      <w:marBottom w:val="0"/>
      <w:divBdr>
        <w:top w:val="none" w:sz="0" w:space="0" w:color="auto"/>
        <w:left w:val="none" w:sz="0" w:space="0" w:color="auto"/>
        <w:bottom w:val="none" w:sz="0" w:space="0" w:color="auto"/>
        <w:right w:val="none" w:sz="0" w:space="0" w:color="auto"/>
      </w:divBdr>
    </w:div>
    <w:div w:id="1450467876">
      <w:bodyDiv w:val="1"/>
      <w:marLeft w:val="0"/>
      <w:marRight w:val="0"/>
      <w:marTop w:val="0"/>
      <w:marBottom w:val="0"/>
      <w:divBdr>
        <w:top w:val="none" w:sz="0" w:space="0" w:color="auto"/>
        <w:left w:val="none" w:sz="0" w:space="0" w:color="auto"/>
        <w:bottom w:val="none" w:sz="0" w:space="0" w:color="auto"/>
        <w:right w:val="none" w:sz="0" w:space="0" w:color="auto"/>
      </w:divBdr>
      <w:divsChild>
        <w:div w:id="164785932">
          <w:marLeft w:val="0"/>
          <w:marRight w:val="0"/>
          <w:marTop w:val="0"/>
          <w:marBottom w:val="0"/>
          <w:divBdr>
            <w:top w:val="none" w:sz="0" w:space="0" w:color="auto"/>
            <w:left w:val="none" w:sz="0" w:space="0" w:color="auto"/>
            <w:bottom w:val="none" w:sz="0" w:space="0" w:color="auto"/>
            <w:right w:val="none" w:sz="0" w:space="0" w:color="auto"/>
          </w:divBdr>
        </w:div>
      </w:divsChild>
    </w:div>
    <w:div w:id="167125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Xuyang</dc:creator>
  <cp:keywords/>
  <dc:description/>
  <cp:lastModifiedBy>Liu, Xuyang</cp:lastModifiedBy>
  <cp:revision>26</cp:revision>
  <dcterms:created xsi:type="dcterms:W3CDTF">2022-09-10T16:38:00Z</dcterms:created>
  <dcterms:modified xsi:type="dcterms:W3CDTF">2022-09-12T17:12:00Z</dcterms:modified>
</cp:coreProperties>
</file>