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600"/>
        <w:jc w:val="center"/>
      </w:pPr>
    </w:p>
    <w:p>
      <w:pPr>
        <w:spacing w:after="360"/>
        <w:jc w:val="center"/>
      </w:pPr>
      <w:r>
        <w:drawing>
          <wp:inline>
            <wp:extent cx="1463040" cy="1819701"/>
            <wp:docPr id="23" name="Picture 23"/>
            <wp:cNvGraphicFramePr>
              <a:graphicFrameLocks noChangeAspect="1"/>
            </wp:cNvGraphicFramePr>
            <a:graphic>
              <a:graphicData uri="http://schemas.openxmlformats.org/drawingml/2006/picture">
                <pic:pic>
                  <pic:nvPicPr>
                    <pic:cNvPr id="0" name="1790927392292_image.png"/>
                    <pic:cNvPicPr/>
                  </pic:nvPicPr>
                  <pic:blipFill>
                    <a:blip r:embed="rId9"/>
                    <a:stretch>
                      <a:fillRect/>
                    </a:stretch>
                  </pic:blipFill>
                  <pic:spPr>
                    <a:xfrm>
                      <a:off x="0" y="0"/>
                      <a:ext cx="1463040" cy="1819701"/>
                    </a:xfrm>
                    <a:prstGeom prst="rect"/>
                  </pic:spPr>
                </pic:pic>
              </a:graphicData>
            </a:graphic>
          </wp:inline>
        </w:drawing>
      </w:r>
    </w:p>
    <w:p>
      <w:pPr>
        <w:spacing w:after="40"/>
        <w:jc w:val="center"/>
      </w:pPr>
      <w:r>
        <w:rPr>
          <w:b/>
          <w:i w:val="0"/>
          <w:color w:val="1F3864"/>
          <w:sz w:val="26"/>
        </w:rPr>
        <w:t>NATIONAL UNIVERSITY OF SCIENCE AND TECHNOLOGY</w:t>
      </w:r>
    </w:p>
    <w:p>
      <w:pPr>
        <w:spacing w:after="720"/>
        <w:jc w:val="center"/>
      </w:pPr>
      <w:r>
        <w:rPr>
          <w:b w:val="0"/>
          <w:i w:val="0"/>
          <w:color w:val="555E6B"/>
          <w:sz w:val="21"/>
        </w:rPr>
        <w:t>Faculty of Applied Sciences · Department of Computer Science</w:t>
      </w:r>
    </w:p>
    <w:p>
      <w:pPr>
        <w:pStyle w:val="Title"/>
        <w:spacing w:after="80"/>
        <w:jc w:val="center"/>
      </w:pPr>
      <w:r>
        <w:rPr>
          <w:b w:val="0"/>
          <w:i w:val="0"/>
        </w:rPr>
        <w:t>Solution Book 6</w:t>
      </w:r>
    </w:p>
    <w:p>
      <w:pPr>
        <w:pStyle w:val="Subtitle"/>
        <w:spacing w:after="400"/>
        <w:jc w:val="center"/>
      </w:pPr>
      <w:r>
        <w:rPr>
          <w:b w:val="0"/>
          <w:i w:val="0"/>
        </w:rPr>
        <w:t>SCP 1101, August 2004 Supplementary</w:t>
      </w:r>
    </w:p>
    <w:p>
      <w:pPr>
        <w:spacing w:after="40"/>
        <w:jc w:val="center"/>
      </w:pPr>
      <w:r>
        <w:rPr>
          <w:b/>
          <w:i w:val="0"/>
          <w:color w:val="1F3864"/>
          <w:sz w:val="24"/>
        </w:rPr>
        <w:t>SCS 1101 Introduction to Computer Science and Programming</w:t>
      </w:r>
    </w:p>
    <w:p>
      <w:pPr>
        <w:spacing w:after="800"/>
        <w:jc w:val="center"/>
      </w:pPr>
      <w:r>
        <w:rPr>
          <w:b w:val="0"/>
          <w:i/>
          <w:color w:val="555E6B"/>
          <w:sz w:val="21"/>
        </w:rPr>
        <w:t>Past-paper solutions with marks allocated, algorithms, textbook flowcharts, exam-ready code and a civil &amp; water engineering lens</w:t>
      </w:r>
    </w:p>
    <w:p>
      <w:pPr>
        <w:spacing w:after="80"/>
        <w:jc w:val="center"/>
      </w:pPr>
      <w:r>
        <w:rPr>
          <w:b/>
          <w:i w:val="0"/>
          <w:color w:val="1F6F8B"/>
          <w:sz w:val="20"/>
        </w:rPr>
        <w:t>Supplementary paper · 5 in total, at least 2 per section · page 1 (Section A) supplied</w:t>
      </w:r>
    </w:p>
    <w:p>
      <w:pPr>
        <w:spacing w:after="0"/>
        <w:jc w:val="center"/>
      </w:pPr>
      <w:r>
        <w:rPr>
          <w:b w:val="0"/>
          <w:i w:val="0"/>
          <w:color w:val="555E6B"/>
          <w:sz w:val="20"/>
        </w:rPr>
        <w:t>Book 6 of 8 · Prepared October 2026</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37474F"/>
          </w:tcPr>
          <w:p>
            <w:pPr>
              <w:spacing w:before="0" w:after="0"/>
              <w:jc w:val="center"/>
            </w:pPr>
            <w:hyperlink w:anchor="tab_index" w:history="1">
              <w:r>
                <w:rPr>
                  <w:rFonts w:ascii="Calibri" w:hAnsi="Calibri" w:cs="Calibri"/>
                  <w:b/>
                  <w:color w:val="FFFFFF"/>
                  <w:sz w:val="18"/>
                  <w:u w:val="none"/>
                </w:rPr>
                <w:t xml:space="preserve">Index</w:t>
              </w:r>
            </w:hyperlink>
          </w:p>
        </w:tc>
        <w:tc>
          <w:tcPr>
            <w:tcW w:type="dxa" w:w="1176"/>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1176"/>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1176"/>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1176"/>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1176"/>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1176"/>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1176"/>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37474F"/>
          <w:left w:val="single" w:sz="4" w:space="4" w:color="37474F"/>
          <w:bottom w:val="single" w:sz="4" w:space="4" w:color="37474F"/>
          <w:right w:val="single" w:sz="4" w:space="4" w:color="37474F"/>
        </w:pBdr>
        <w:shd w:val="clear" w:color="auto" w:fill="37474F"/>
        <w:spacing w:before="160"/>
      </w:pPr>
      <w:bookmarkStart w:id="101" w:name="tab_index"/>
      <w:r>
        <w:rPr>
          <w:color w:val="FFFFFF"/>
        </w:rPr>
        <w:t>Index — tap a tab or a line to jump</w:t>
      </w:r>
      <w:bookmarkEnd w:id="101"/>
    </w:p>
    <w:p>
      <w:r>
        <w:t>Every chapter starts with the coloured tab bar below; tap any tab to jump straight to that question. The page footer has a link back to this index. In Word, the Navigation Pane shows the same chapters.</w:t>
      </w:r>
    </w:p>
    <w:p>
      <w:pPr>
        <w:keepNext/>
        <w:spacing w:before="120" w:after="20"/>
      </w:pPr>
      <w:r>
        <w:rPr>
          <w:b/>
          <w:color w:val="FFFFFF"/>
          <w:sz w:val="18"/>
          <w:shd w:val="clear" w:color="auto" w:fill="1F3864"/>
        </w:rPr>
        <w:t xml:space="preserve"> Guide </w:t>
      </w:r>
      <w:r>
        <w:t xml:space="preserve">  </w:t>
      </w:r>
      <w:hyperlink w:anchor="tab_guide" w:history="1">
        <w:r>
          <w:rPr>
            <w:rFonts w:ascii="Calibri" w:hAnsi="Calibri" w:cs="Calibri"/>
            <w:b/>
            <w:color w:val="1F3864"/>
            <w:sz w:val="22"/>
            <w:u w:val="none"/>
          </w:rPr>
          <w:t xml:space="preserve">How to use this book</w:t>
        </w:r>
      </w:hyperlink>
    </w:p>
    <w:p>
      <w:pPr>
        <w:keepNext/>
        <w:spacing w:before="120" w:after="20"/>
      </w:pPr>
      <w:r>
        <w:rPr>
          <w:b/>
          <w:color w:val="FFFFFF"/>
          <w:sz w:val="18"/>
          <w:shd w:val="clear" w:color="auto" w:fill="00695C"/>
        </w:rPr>
        <w:t xml:space="preserve"> Glance </w:t>
      </w:r>
      <w:r>
        <w:t xml:space="preserve">  </w:t>
      </w:r>
      <w:hyperlink w:anchor="tab_glance" w:history="1">
        <w:r>
          <w:rPr>
            <w:rFonts w:ascii="Calibri" w:hAnsi="Calibri" w:cs="Calibri"/>
            <w:b/>
            <w:color w:val="00695C"/>
            <w:sz w:val="22"/>
            <w:u w:val="none"/>
          </w:rPr>
          <w:t xml:space="preserve">At a glance</w:t>
        </w:r>
      </w:hyperlink>
    </w:p>
    <w:p>
      <w:pPr>
        <w:keepNext/>
        <w:spacing w:before="120" w:after="20"/>
      </w:pPr>
      <w:r>
        <w:rPr>
          <w:b/>
          <w:color w:val="FFFFFF"/>
          <w:sz w:val="18"/>
          <w:shd w:val="clear" w:color="auto" w:fill="1565C0"/>
        </w:rPr>
        <w:t xml:space="preserve"> Q1 </w:t>
      </w:r>
      <w:r>
        <w:t xml:space="preserve">  </w:t>
      </w:r>
      <w:hyperlink w:anchor="tab_q1" w:history="1">
        <w:r>
          <w:rPr>
            <w:rFonts w:ascii="Calibri" w:hAnsi="Calibri" w:cs="Calibri"/>
            <w:b/>
            <w:color w:val="1565C0"/>
            <w:sz w:val="22"/>
            <w:u w:val="none"/>
          </w:rPr>
          <w:t xml:space="preserve">Question 1 [20]</w:t>
        </w:r>
      </w:hyperlink>
    </w:p>
    <w:p>
      <w:pPr>
        <w:spacing w:before="0" w:after="0"/>
        <w:ind w:left="737"/>
      </w:pPr>
      <w:hyperlink w:anchor="tab_q1_1" w:history="1">
        <w:r>
          <w:rPr>
            <w:rFonts w:ascii="Calibri" w:hAnsi="Calibri" w:cs="Calibri"/>
            <w:color w:val="2B3440"/>
            <w:sz w:val="19"/>
            <w:u w:val="none"/>
          </w:rPr>
          <w:t xml:space="preserve">▸ Five printing devices: operation, impact or non-impact, quality and speed [4 each]</w:t>
        </w:r>
      </w:hyperlink>
    </w:p>
    <w:p>
      <w:pPr>
        <w:keepNext/>
        <w:spacing w:before="120" w:after="20"/>
      </w:pPr>
      <w:r>
        <w:rPr>
          <w:b/>
          <w:color w:val="FFFFFF"/>
          <w:sz w:val="18"/>
          <w:shd w:val="clear" w:color="auto" w:fill="2E7D32"/>
        </w:rPr>
        <w:t xml:space="preserve"> Q2 </w:t>
      </w:r>
      <w:r>
        <w:t xml:space="preserve">  </w:t>
      </w:r>
      <w:hyperlink w:anchor="tab_q2" w:history="1">
        <w:r>
          <w:rPr>
            <w:rFonts w:ascii="Calibri" w:hAnsi="Calibri" w:cs="Calibri"/>
            <w:b/>
            <w:color w:val="2E7D32"/>
            <w:sz w:val="22"/>
            <w:u w:val="none"/>
          </w:rPr>
          <w:t xml:space="preserve">Question 2 [20]</w:t>
        </w:r>
      </w:hyperlink>
    </w:p>
    <w:p>
      <w:pPr>
        <w:spacing w:before="0" w:after="0"/>
        <w:ind w:left="737"/>
      </w:pPr>
      <w:hyperlink w:anchor="tab_q2_1" w:history="1">
        <w:r>
          <w:rPr>
            <w:rFonts w:ascii="Calibri" w:hAnsi="Calibri" w:cs="Calibri"/>
            <w:color w:val="2B3440"/>
            <w:sz w:val="19"/>
            <w:u w:val="none"/>
          </w:rPr>
          <w:t xml:space="preserve">▸ 2(i) Explain these terms [2 each = 10]</w:t>
        </w:r>
      </w:hyperlink>
    </w:p>
    <w:p>
      <w:pPr>
        <w:spacing w:before="0" w:after="0"/>
        <w:ind w:left="737"/>
      </w:pPr>
      <w:hyperlink w:anchor="tab_q2_2" w:history="1">
        <w:r>
          <w:rPr>
            <w:rFonts w:ascii="Calibri" w:hAnsi="Calibri" w:cs="Calibri"/>
            <w:color w:val="2B3440"/>
            <w:sz w:val="19"/>
            <w:u w:val="none"/>
          </w:rPr>
          <w:t xml:space="preserve">▸ 2(ii) Operating system: definition and five functions [10]</w:t>
        </w:r>
      </w:hyperlink>
    </w:p>
    <w:p>
      <w:pPr>
        <w:keepNext/>
        <w:spacing w:before="120" w:after="20"/>
      </w:pPr>
      <w:r>
        <w:rPr>
          <w:b/>
          <w:color w:val="FFFFFF"/>
          <w:sz w:val="18"/>
          <w:shd w:val="clear" w:color="auto" w:fill="C55A11"/>
        </w:rPr>
        <w:t xml:space="preserve"> Q3 </w:t>
      </w:r>
      <w:r>
        <w:t xml:space="preserve">  </w:t>
      </w:r>
      <w:hyperlink w:anchor="tab_q3" w:history="1">
        <w:r>
          <w:rPr>
            <w:rFonts w:ascii="Calibri" w:hAnsi="Calibri" w:cs="Calibri"/>
            <w:b/>
            <w:color w:val="C55A11"/>
            <w:sz w:val="22"/>
            <w:u w:val="none"/>
          </w:rPr>
          <w:t xml:space="preserve">Question 3 [20]</w:t>
        </w:r>
      </w:hyperlink>
    </w:p>
    <w:p>
      <w:pPr>
        <w:spacing w:before="0" w:after="0"/>
        <w:ind w:left="737"/>
      </w:pPr>
      <w:hyperlink w:anchor="tab_q3_1" w:history="1">
        <w:r>
          <w:rPr>
            <w:rFonts w:ascii="Calibri" w:hAnsi="Calibri" w:cs="Calibri"/>
            <w:color w:val="2B3440"/>
            <w:sz w:val="19"/>
            <w:u w:val="none"/>
          </w:rPr>
          <w:t xml:space="preserve">▸ 3(i) Advantages of high-level languages over low-level languages [5]</w:t>
        </w:r>
      </w:hyperlink>
    </w:p>
    <w:p>
      <w:pPr>
        <w:spacing w:before="0" w:after="0"/>
        <w:ind w:left="737"/>
      </w:pPr>
      <w:hyperlink w:anchor="tab_q3_2" w:history="1">
        <w:r>
          <w:rPr>
            <w:rFonts w:ascii="Calibri" w:hAnsi="Calibri" w:cs="Calibri"/>
            <w:color w:val="2B3440"/>
            <w:sz w:val="19"/>
            <w:u w:val="none"/>
          </w:rPr>
          <w:t xml:space="preserve">▸ 3(ii) Compare first- and fourth-generation computers [15]</w:t>
        </w:r>
      </w:hyperlink>
    </w:p>
    <w:p>
      <w:pPr>
        <w:keepNext/>
        <w:spacing w:before="120" w:after="20"/>
      </w:pPr>
      <w:r>
        <w:rPr>
          <w:b/>
          <w:color w:val="FFFFFF"/>
          <w:sz w:val="18"/>
          <w:shd w:val="clear" w:color="auto" w:fill="455A64"/>
        </w:rPr>
        <w:t xml:space="preserve"> Refs </w:t>
      </w:r>
      <w:r>
        <w:t xml:space="preserve">  </w:t>
      </w:r>
      <w:hyperlink w:anchor="tab_refs" w:history="1">
        <w:r>
          <w:rPr>
            <w:rFonts w:ascii="Calibri" w:hAnsi="Calibri" w:cs="Calibri"/>
            <w:b/>
            <w:color w:val="455A64"/>
            <w:sz w:val="22"/>
            <w:u w:val="none"/>
          </w:rPr>
          <w:t xml:space="preserve">Sources for this book</w:t>
        </w:r>
      </w:hyperlink>
    </w:p>
    <w:p>
      <w:pPr>
        <w:keepNext/>
        <w:spacing w:before="120" w:after="20"/>
      </w:pPr>
      <w:r>
        <w:rPr>
          <w:b/>
          <w:color w:val="FFFFFF"/>
          <w:sz w:val="18"/>
          <w:shd w:val="clear" w:color="auto" w:fill="5D4037"/>
        </w:rPr>
        <w:t xml:space="preserve"> Links </w:t>
      </w:r>
      <w:r>
        <w:t xml:space="preserve">  </w:t>
      </w:r>
      <w:hyperlink w:anchor="tab_links" w:history="1">
        <w:r>
          <w:rPr>
            <w:rFonts w:ascii="Calibri" w:hAnsi="Calibri" w:cs="Calibri"/>
            <w:b/>
            <w:color w:val="5D4037"/>
            <w:sz w:val="22"/>
            <w:u w:val="none"/>
          </w:rPr>
          <w:t xml:space="preserve">Source register</w:t>
        </w:r>
      </w:hyperlink>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1176"/>
            <w:shd w:val="clear" w:color="auto" w:fill="1F3864"/>
          </w:tcPr>
          <w:p>
            <w:pPr>
              <w:spacing w:before="0" w:after="0"/>
              <w:jc w:val="center"/>
            </w:pPr>
            <w:hyperlink w:anchor="tab_guide" w:history="1">
              <w:r>
                <w:rPr>
                  <w:rFonts w:ascii="Calibri" w:hAnsi="Calibri" w:cs="Calibri"/>
                  <w:b/>
                  <w:color w:val="FFFFFF"/>
                  <w:sz w:val="18"/>
                  <w:u w:val="none"/>
                </w:rPr>
                <w:t xml:space="preserve">Guide</w:t>
              </w:r>
            </w:hyperlink>
          </w:p>
        </w:tc>
        <w:tc>
          <w:tcPr>
            <w:tcW w:type="dxa" w:w="1176"/>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1176"/>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1176"/>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1176"/>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1176"/>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1176"/>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1F3864"/>
          <w:left w:val="single" w:sz="4" w:space="4" w:color="1F3864"/>
          <w:bottom w:val="single" w:sz="4" w:space="4" w:color="1F3864"/>
          <w:right w:val="single" w:sz="4" w:space="4" w:color="1F3864"/>
        </w:pBdr>
        <w:shd w:val="clear" w:color="auto" w:fill="1F3864"/>
        <w:spacing w:before="160"/>
      </w:pPr>
      <w:bookmarkStart w:id="102" w:name="tab_guide"/>
      <w:r>
        <w:rPr>
          <w:color w:val="FFFFFF"/>
        </w:rPr>
        <w:t xml:space="preserve">How to use this book</w:t>
      </w:r>
      <w:bookmarkEnd w:id="102"/>
    </w:p>
    <w:p>
      <w:pPr>
        <w:pStyle w:val="FirstParagraph"/>
      </w:pPr>
      <w:r>
        <w:t xml:space="preserve">This book is one of eight stand-alone solution books for NUST SCS 1101 past papers. It solves</w:t>
      </w:r>
      <w:r>
        <w:t xml:space="preserve"> </w:t>
      </w:r>
      <w:r>
        <w:rPr>
          <w:b/>
          <w:bCs/>
        </w:rPr>
        <w:t xml:space="preserve">SCP 1101, August 2004 Supplementary</w:t>
      </w:r>
      <w:r>
        <w:t xml:space="preserve"> </w:t>
      </w:r>
      <w:r>
        <w:t xml:space="preserve">question by question, with the marks the examiner allocates shown in square brackets, e.g. [2].</w:t>
      </w:r>
    </w:p>
    <w:p>
      <w:pPr>
        <w:pStyle w:val="Heading2"/>
        <w:pBdr>
          <w:left w:val="single" w:sz="24" w:space="6" w:color="1F3864"/>
        </w:pBdr>
      </w:pPr>
      <w:bookmarkStart w:id="103" w:name="tab_guide_1"/>
      <w:r>
        <w:rPr>
          <w:color w:val="1F3864"/>
        </w:rPr>
        <w:t xml:space="preserve">The six-block answer template</w:t>
      </w:r>
      <w:bookmarkEnd w:id="103"/>
    </w:p>
    <w:p>
      <w:pPr>
        <w:pStyle w:val="FirstParagraph"/>
      </w:pPr>
      <w:r>
        <w:t xml:space="preserve">Every answer in this book (and in all eight books of the set) is built from the same six blocks, in the same order. Theory answers use blocks 1, 2, 5 and 6; programming answers use all six.</w:t>
      </w:r>
    </w:p>
    <w:p>
      <w:pPr>
        <w:pStyle w:val="Compact"/>
        <w:numPr>
          <w:ilvl w:val="0"/>
          <w:numId w:val="1001"/>
        </w:numPr>
      </w:pPr>
      <w:r>
        <w:rPr>
          <w:b/>
          <w:bCs/>
        </w:rPr>
        <w:t xml:space="preserve">Like you’re 3</w:t>
      </w:r>
      <w:r>
        <w:t xml:space="preserve"> </w:t>
      </w:r>
      <w:r>
        <w:t xml:space="preserve">— one or two sentences with a toy, a bath or a water tap.</w:t>
      </w:r>
    </w:p>
    <w:p>
      <w:pPr>
        <w:pStyle w:val="Compact"/>
        <w:numPr>
          <w:ilvl w:val="0"/>
          <w:numId w:val="1001"/>
        </w:numPr>
      </w:pPr>
      <w:r>
        <w:rPr>
          <w:b/>
          <w:bCs/>
        </w:rPr>
        <w:t xml:space="preserve">Model answer</w:t>
      </w:r>
      <w:r>
        <w:t xml:space="preserve"> </w:t>
      </w:r>
      <w:r>
        <w:t xml:space="preserve">— the exam wording, with the mark for each point in brackets, e.g. [2]. Write it like this and you collect every mark.</w:t>
      </w:r>
    </w:p>
    <w:p>
      <w:pPr>
        <w:pStyle w:val="Compact"/>
        <w:numPr>
          <w:ilvl w:val="0"/>
          <w:numId w:val="1001"/>
        </w:numPr>
      </w:pPr>
      <w:r>
        <w:rPr>
          <w:b/>
          <w:bCs/>
        </w:rPr>
        <w:t xml:space="preserve">Algorithm + code</w:t>
      </w:r>
      <w:r>
        <w:t xml:space="preserve"> </w:t>
      </w:r>
      <w:r>
        <w:t xml:space="preserve">— numbered pseudocode first, then C code that follows the</w:t>
      </w:r>
      <w:r>
        <w:t xml:space="preserve"> </w:t>
      </w:r>
      <w:r>
        <w:rPr>
          <w:b/>
          <w:bCs/>
        </w:rPr>
        <w:t xml:space="preserve">H-D-I-P-O-R</w:t>
      </w:r>
      <w:r>
        <w:t xml:space="preserve"> </w:t>
      </w:r>
      <w:r>
        <w:t xml:space="preserve">recipe.</w:t>
      </w:r>
    </w:p>
    <w:p>
      <w:pPr>
        <w:pStyle w:val="Compact"/>
        <w:numPr>
          <w:ilvl w:val="0"/>
          <w:numId w:val="1001"/>
        </w:numPr>
      </w:pPr>
      <w:r>
        <w:rPr>
          <w:b/>
          <w:bCs/>
        </w:rPr>
        <w:t xml:space="preserve">Flowchart or structure chart</w:t>
      </w:r>
      <w:r>
        <w:t xml:space="preserve"> </w:t>
      </w:r>
      <w:r>
        <w:t xml:space="preserve">— textbook (ANSI) symbols. Programs built from functions also get a structure (hierarchy) chart.</w:t>
      </w:r>
    </w:p>
    <w:p>
      <w:pPr>
        <w:pStyle w:val="Compact"/>
        <w:numPr>
          <w:ilvl w:val="0"/>
          <w:numId w:val="1001"/>
        </w:numPr>
      </w:pPr>
      <w:r>
        <w:rPr>
          <w:b/>
          <w:bCs/>
        </w:rPr>
        <w:t xml:space="preserve">Engineering lens</w:t>
      </w:r>
      <w:r>
        <w:t xml:space="preserve"> </w:t>
      </w:r>
      <w:r>
        <w:t xml:space="preserve">— the same idea in a civil and water engineering setting, using the profession’s vocabulary.</w:t>
      </w:r>
    </w:p>
    <w:p>
      <w:pPr>
        <w:pStyle w:val="Compact"/>
        <w:numPr>
          <w:ilvl w:val="0"/>
          <w:numId w:val="1001"/>
        </w:numPr>
      </w:pPr>
      <w:r>
        <w:rPr>
          <w:b/>
          <w:bCs/>
        </w:rPr>
        <w:t xml:space="preserve">Examiner’s tip</w:t>
      </w:r>
      <w:r>
        <w:t xml:space="preserve"> </w:t>
      </w:r>
      <w:r>
        <w:t xml:space="preserve">— where students usually lose marks.</w:t>
      </w:r>
    </w:p>
    <w:p>
      <w:pPr>
        <w:pStyle w:val="FirstParagraph"/>
      </w:pPr>
      <w:r>
        <w:rPr>
          <w:b/>
          <w:bCs/>
        </w:rPr>
        <w:t xml:space="preserve">The H-D-I-P-O-R code recipe</w:t>
      </w:r>
      <w:r>
        <w:t xml:space="preserve"> </w:t>
      </w:r>
      <w:r>
        <w:t xml:space="preserve">—</w:t>
      </w:r>
      <w:r>
        <w:t xml:space="preserve"> </w:t>
      </w:r>
      <w:r>
        <w:t xml:space="preserve">“</w:t>
      </w:r>
      <w:r>
        <w:rPr>
          <w:b/>
          <w:bCs/>
        </w:rPr>
        <w:t xml:space="preserve">H</w:t>
      </w:r>
      <w:r>
        <w:t xml:space="preserve">appy</w:t>
      </w:r>
      <w:r>
        <w:t xml:space="preserve"> </w:t>
      </w:r>
      <w:r>
        <w:rPr>
          <w:b/>
          <w:bCs/>
        </w:rPr>
        <w:t xml:space="preserve">D</w:t>
      </w:r>
      <w:r>
        <w:t xml:space="preserve">ucks</w:t>
      </w:r>
      <w:r>
        <w:t xml:space="preserve"> </w:t>
      </w:r>
      <w:r>
        <w:rPr>
          <w:b/>
          <w:bCs/>
        </w:rPr>
        <w:t xml:space="preserve">I</w:t>
      </w:r>
      <w:r>
        <w:t xml:space="preserve">n</w:t>
      </w:r>
      <w:r>
        <w:t xml:space="preserve"> </w:t>
      </w:r>
      <w:r>
        <w:rPr>
          <w:b/>
          <w:bCs/>
        </w:rPr>
        <w:t xml:space="preserve">P</w:t>
      </w:r>
      <w:r>
        <w:t xml:space="preserve">onds</w:t>
      </w:r>
      <w:r>
        <w:t xml:space="preserve"> </w:t>
      </w:r>
      <w:r>
        <w:rPr>
          <w:b/>
          <w:bCs/>
        </w:rPr>
        <w:t xml:space="preserve">O</w:t>
      </w:r>
      <w:r>
        <w:t xml:space="preserve">nly</w:t>
      </w:r>
      <w:r>
        <w:t xml:space="preserve"> </w:t>
      </w:r>
      <w:r>
        <w:rPr>
          <w:b/>
          <w:bCs/>
        </w:rPr>
        <w:t xml:space="preserve">R</w:t>
      </w:r>
      <w:r>
        <w:t xml:space="preserve">elax</w:t>
      </w:r>
      <w:r>
        <w:t xml:space="preserve">”</w:t>
      </w:r>
      <w:r>
        <w:t xml:space="preserve">. Every exam program is these six steps, in this order: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 Header: what the program does, and the libraries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mmentTok"/>
          <w:sz w:val="18"/>
        </w:rPr>
        <w:t xml:space="preserve">/* D - Declare: every variable, with a sensible type and a starting value */</w:t>
      </w:r>
      <w:r>
        <w:rPr>
          <w:sz w:val="18"/>
        </w:rPr>
        <w:br/>
      </w:r>
      <w:r>
        <w:rPr>
          <w:rStyle w:val="NormalTok"/>
          <w:sz w:val="18"/>
        </w:rPr>
        <w:t xml:space="preserve">    </w:t>
      </w:r>
      <w:r>
        <w:rPr>
          <w:rStyle w:val="CommentTok"/>
          <w:sz w:val="18"/>
        </w:rPr>
        <w:t xml:space="preserve">/* I - Input:   printf a prompt, then scanf with &amp; */</w:t>
      </w:r>
      <w:r>
        <w:rPr>
          <w:sz w:val="18"/>
        </w:rPr>
        <w:br/>
      </w:r>
      <w:r>
        <w:rPr>
          <w:rStyle w:val="NormalTok"/>
          <w:sz w:val="18"/>
        </w:rPr>
        <w:t xml:space="preserve">    </w:t>
      </w:r>
      <w:r>
        <w:rPr>
          <w:rStyle w:val="CommentTok"/>
          <w:sz w:val="18"/>
        </w:rPr>
        <w:t xml:space="preserve">/* P - Process: the if-ladder, loop or formula */</w:t>
      </w:r>
      <w:r>
        <w:rPr>
          <w:sz w:val="18"/>
        </w:rPr>
        <w:br/>
      </w:r>
      <w:r>
        <w:rPr>
          <w:rStyle w:val="NormalTok"/>
          <w:sz w:val="18"/>
        </w:rPr>
        <w:t xml:space="preserve">    </w:t>
      </w:r>
      <w:r>
        <w:rPr>
          <w:rStyle w:val="CommentTok"/>
          <w:sz w:val="18"/>
        </w:rPr>
        <w:t xml:space="preserve">/* O - Output:  printf the result with units and decimals */</w:t>
      </w:r>
      <w:r>
        <w:rPr>
          <w:sz w:val="18"/>
        </w:rPr>
        <w:br/>
      </w:r>
      <w:r>
        <w:rPr>
          <w:rStyle w:val="NormalTok"/>
          <w:sz w:val="18"/>
        </w:rPr>
        <w:t xml:space="preserve">    </w:t>
      </w:r>
      <w:r>
        <w:rPr>
          <w:rStyle w:val="CommentTok"/>
          <w:sz w:val="18"/>
        </w:rPr>
        <w:t xml:space="preserve">/* R - Return:  */</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The recipe is worth marks by itself: examiners give separate marks for headers, declarations, input, processing and output. A half-finished program laid out this way still scores; a clever one-liner without structure often does not.</w:t>
      </w:r>
    </w:p>
    <w:p>
      <w:pPr>
        <w:pStyle w:val="BodyText"/>
      </w:pPr>
      <w:r>
        <w:rPr>
          <w:b/>
          <w:bCs/>
        </w:rPr>
        <w:t xml:space="preserve">Algorithm style used in every book:</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&lt;inputs&gt;</w:t>
      </w:r>
      <w:r>
        <w:rPr>
          <w:sz w:val="18"/>
        </w:rPr>
        <w:br/>
      </w:r>
      <w:r>
        <w:rPr>
          <w:rStyle w:val="VerbatimChar"/>
          <w:sz w:val="18"/>
        </w:rPr>
        <w:t xml:space="preserve">Step 3: &lt;process, one action per step&gt;</w:t>
      </w:r>
      <w:r>
        <w:rPr>
          <w:sz w:val="18"/>
        </w:rPr>
        <w:br/>
      </w:r>
      <w:r>
        <w:rPr>
          <w:rStyle w:val="VerbatimChar"/>
          <w:sz w:val="18"/>
        </w:rPr>
        <w:t xml:space="preserve">Step 4: Display &lt;outputs&gt;</w:t>
      </w:r>
      <w:r>
        <w:rPr>
          <w:sz w:val="18"/>
        </w:rPr>
        <w:br/>
      </w:r>
      <w:r>
        <w:rPr>
          <w:rStyle w:val="VerbatimChar"/>
          <w:sz w:val="18"/>
        </w:rPr>
        <w:t xml:space="preserve">Step 5: Stop</w:t>
      </w:r>
    </w:p>
    <w:p>
      <w:pPr>
        <w:pStyle w:val="FirstParagraph"/>
      </w:pPr>
      <w:r>
        <w:rPr>
          <w:b/>
          <w:bCs/>
        </w:rPr>
        <w:t xml:space="preserve">Flowchart symbols (ANSI):</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Symbol</w:t>
            </w:r>
          </w:p>
        </w:tc>
        <w:tc>
          <w:tcPr>
            <w:shd w:val="clear" w:color="auto" w:fill="DCE6F4"/>
          </w:tcPr>
          <w:p>
            <w:pPr>
              <w:pStyle w:val="Compact"/>
              <w:spacing w:before="20" w:after="20"/>
              <w:jc w:val="left"/>
            </w:pPr>
            <w:r>
              <w:rPr>
                <w:b/>
                <w:color w:val="1F3864"/>
                <w:sz w:val="19"/>
              </w:rPr>
              <w:t xml:space="preserve">Shape</w:t>
            </w:r>
          </w:p>
        </w:tc>
        <w:tc>
          <w:tcPr>
            <w:shd w:val="clear" w:color="auto" w:fill="DCE6F4"/>
          </w:tcPr>
          <w:p>
            <w:pPr>
              <w:pStyle w:val="Compact"/>
              <w:spacing w:before="20" w:after="20"/>
              <w:jc w:val="left"/>
            </w:pPr>
            <w:r>
              <w:rPr>
                <w:b/>
                <w:color w:val="1F3864"/>
                <w:sz w:val="19"/>
              </w:rPr>
              <w:t xml:space="preserve">Use</w:t>
            </w:r>
          </w:p>
        </w:tc>
        <w:tc>
          <w:tcPr>
            <w:shd w:val="clear" w:color="auto" w:fill="DCE6F4"/>
          </w:tcPr>
          <w:p>
            <w:pPr>
              <w:pStyle w:val="Compact"/>
              <w:spacing w:before="20" w:after="20"/>
              <w:jc w:val="left"/>
            </w:pPr>
            <w:r>
              <w:rPr>
                <w:b/>
                <w:color w:val="1F3864"/>
                <w:sz w:val="19"/>
              </w:rPr>
              <w:t xml:space="preserve">Colour in this book</w:t>
            </w:r>
          </w:p>
        </w:tc>
      </w:tr>
      <w:tr>
        <w:tc>
          <w:tcPr/>
          <w:p>
            <w:pPr>
              <w:pStyle w:val="Compact"/>
              <w:spacing w:before="20" w:after="20"/>
              <w:jc w:val="left"/>
            </w:pPr>
            <w:r>
              <w:rPr>
                <w:sz w:val="19"/>
              </w:rPr>
              <w:t xml:space="preserve">Terminator</w:t>
            </w:r>
          </w:p>
        </w:tc>
        <w:tc>
          <w:tcPr/>
          <w:p>
            <w:pPr>
              <w:pStyle w:val="Compact"/>
              <w:spacing w:before="20" w:after="20"/>
              <w:jc w:val="left"/>
            </w:pPr>
            <w:r>
              <w:rPr>
                <w:sz w:val="19"/>
              </w:rPr>
              <w:t xml:space="preserve">Rounded box (stadium)</w:t>
            </w:r>
          </w:p>
        </w:tc>
        <w:tc>
          <w:tcPr/>
          <w:p>
            <w:pPr>
              <w:pStyle w:val="Compact"/>
              <w:spacing w:before="20" w:after="20"/>
              <w:jc w:val="left"/>
            </w:pPr>
            <w:r>
              <w:rPr>
                <w:sz w:val="19"/>
              </w:rPr>
              <w:t xml:space="preserve">Start / Stop</w:t>
            </w:r>
          </w:p>
        </w:tc>
        <w:tc>
          <w:tcPr/>
          <w:p>
            <w:pPr>
              <w:pStyle w:val="Compact"/>
              <w:spacing w:before="20" w:after="20"/>
              <w:jc w:val="left"/>
            </w:pPr>
            <w:r>
              <w:rPr>
                <w:sz w:val="19"/>
              </w:rPr>
              <w:t xml:space="preserve">Green</w:t>
            </w:r>
          </w:p>
        </w:tc>
      </w:tr>
      <w:tr>
        <w:tc>
          <w:tcPr/>
          <w:p>
            <w:pPr>
              <w:pStyle w:val="Compact"/>
              <w:spacing w:before="20" w:after="20"/>
              <w:jc w:val="left"/>
            </w:pPr>
            <w:r>
              <w:rPr>
                <w:sz w:val="19"/>
              </w:rPr>
              <w:t xml:space="preserve">Input/Output</w:t>
            </w:r>
          </w:p>
        </w:tc>
        <w:tc>
          <w:tcPr/>
          <w:p>
            <w:pPr>
              <w:pStyle w:val="Compact"/>
              <w:spacing w:before="20" w:after="20"/>
              <w:jc w:val="left"/>
            </w:pPr>
            <w:r>
              <w:rPr>
                <w:sz w:val="19"/>
              </w:rPr>
              <w:t xml:space="preserve">Parallelogram</w:t>
            </w:r>
          </w:p>
        </w:tc>
        <w:tc>
          <w:tcPr/>
          <w:p>
            <w:pPr>
              <w:pStyle w:val="Compact"/>
              <w:spacing w:before="20" w:after="20"/>
              <w:jc w:val="left"/>
            </w:pPr>
            <w:r>
              <w:rPr>
                <w:sz w:val="19"/>
              </w:rPr>
              <w:t xml:space="preserve">Read or display</w:t>
            </w:r>
          </w:p>
        </w:tc>
        <w:tc>
          <w:tcPr/>
          <w:p>
            <w:pPr>
              <w:pStyle w:val="Compact"/>
              <w:spacing w:before="20" w:after="20"/>
              <w:jc w:val="left"/>
            </w:pPr>
            <w:r>
              <w:rPr>
                <w:sz w:val="19"/>
              </w:rPr>
              <w:t xml:space="preserve">Blue</w:t>
            </w:r>
          </w:p>
        </w:tc>
      </w:tr>
      <w:tr>
        <w:tc>
          <w:tcPr/>
          <w:p>
            <w:pPr>
              <w:pStyle w:val="Compact"/>
              <w:spacing w:before="20" w:after="20"/>
              <w:jc w:val="left"/>
            </w:pPr>
            <w:r>
              <w:rPr>
                <w:sz w:val="19"/>
              </w:rPr>
              <w:t xml:space="preserve">Process</w:t>
            </w:r>
          </w:p>
        </w:tc>
        <w:tc>
          <w:tcPr/>
          <w:p>
            <w:pPr>
              <w:pStyle w:val="Compact"/>
              <w:spacing w:before="20" w:after="20"/>
              <w:jc w:val="left"/>
            </w:pPr>
            <w:r>
              <w:rPr>
                <w:sz w:val="19"/>
              </w:rPr>
              <w:t xml:space="preserve">Rectangle</w:t>
            </w:r>
          </w:p>
        </w:tc>
        <w:tc>
          <w:tcPr/>
          <w:p>
            <w:pPr>
              <w:pStyle w:val="Compact"/>
              <w:spacing w:before="20" w:after="20"/>
              <w:jc w:val="left"/>
            </w:pPr>
            <w:r>
              <w:rPr>
                <w:sz w:val="19"/>
              </w:rPr>
              <w:t xml:space="preserve">Calculation or assignment</w:t>
            </w:r>
          </w:p>
        </w:tc>
        <w:tc>
          <w:tcPr/>
          <w:p>
            <w:pPr>
              <w:pStyle w:val="Compact"/>
              <w:spacing w:before="20" w:after="20"/>
              <w:jc w:val="left"/>
            </w:pPr>
            <w:r>
              <w:rPr>
                <w:sz w:val="19"/>
              </w:rPr>
              <w:t xml:space="preserve">Amber</w:t>
            </w:r>
          </w:p>
        </w:tc>
      </w:tr>
      <w:tr>
        <w:tc>
          <w:tcPr/>
          <w:p>
            <w:pPr>
              <w:pStyle w:val="Compact"/>
              <w:spacing w:before="20" w:after="20"/>
              <w:jc w:val="left"/>
            </w:pPr>
            <w:r>
              <w:rPr>
                <w:sz w:val="19"/>
              </w:rPr>
              <w:t xml:space="preserve">Decision</w:t>
            </w:r>
          </w:p>
        </w:tc>
        <w:tc>
          <w:tcPr/>
          <w:p>
            <w:pPr>
              <w:pStyle w:val="Compact"/>
              <w:spacing w:before="20" w:after="20"/>
              <w:jc w:val="left"/>
            </w:pPr>
            <w:r>
              <w:rPr>
                <w:sz w:val="19"/>
              </w:rPr>
              <w:t xml:space="preserve">Diamond</w:t>
            </w:r>
          </w:p>
        </w:tc>
        <w:tc>
          <w:tcPr/>
          <w:p>
            <w:pPr>
              <w:pStyle w:val="Compact"/>
              <w:spacing w:before="20" w:after="20"/>
              <w:jc w:val="left"/>
            </w:pPr>
            <w:r>
              <w:rPr>
                <w:sz w:val="19"/>
              </w:rPr>
              <w:t xml:space="preserve">Yes/no test, two exits</w:t>
            </w:r>
          </w:p>
        </w:tc>
        <w:tc>
          <w:tcPr/>
          <w:p>
            <w:pPr>
              <w:pStyle w:val="Compact"/>
              <w:spacing w:before="20" w:after="20"/>
              <w:jc w:val="left"/>
            </w:pPr>
            <w:r>
              <w:rPr>
                <w:sz w:val="19"/>
              </w:rPr>
              <w:t xml:space="preserve">Red</w:t>
            </w:r>
          </w:p>
        </w:tc>
      </w:tr>
      <w:tr>
        <w:tc>
          <w:tcPr/>
          <w:p>
            <w:pPr>
              <w:pStyle w:val="Compact"/>
              <w:spacing w:before="20" w:after="20"/>
              <w:jc w:val="left"/>
            </w:pPr>
            <w:r>
              <w:rPr>
                <w:sz w:val="19"/>
              </w:rPr>
              <w:t xml:space="preserve">Predefined process</w:t>
            </w:r>
          </w:p>
        </w:tc>
        <w:tc>
          <w:tcPr/>
          <w:p>
            <w:pPr>
              <w:pStyle w:val="Compact"/>
              <w:spacing w:before="20" w:after="20"/>
              <w:jc w:val="left"/>
            </w:pPr>
            <w:r>
              <w:rPr>
                <w:sz w:val="19"/>
              </w:rPr>
              <w:t xml:space="preserve">Rectangle with double sides</w:t>
            </w:r>
          </w:p>
        </w:tc>
        <w:tc>
          <w:tcPr/>
          <w:p>
            <w:pPr>
              <w:pStyle w:val="Compact"/>
              <w:spacing w:before="20" w:after="20"/>
              <w:jc w:val="left"/>
            </w:pPr>
            <w:r>
              <w:rPr>
                <w:sz w:val="19"/>
              </w:rPr>
              <w:t xml:space="preserve">Call to a function</w:t>
            </w:r>
          </w:p>
        </w:tc>
        <w:tc>
          <w:tcPr/>
          <w:p>
            <w:pPr>
              <w:pStyle w:val="Compact"/>
              <w:spacing w:before="20" w:after="20"/>
              <w:jc w:val="left"/>
            </w:pPr>
            <w:r>
              <w:rPr>
                <w:sz w:val="19"/>
              </w:rPr>
              <w:t xml:space="preserve">Purple</w:t>
            </w:r>
          </w:p>
        </w:tc>
      </w:tr>
      <w:tr>
        <w:tc>
          <w:tcPr/>
          <w:p>
            <w:pPr>
              <w:pStyle w:val="Compact"/>
              <w:spacing w:before="20" w:after="20"/>
              <w:jc w:val="left"/>
            </w:pPr>
            <w:r>
              <w:rPr>
                <w:sz w:val="19"/>
              </w:rPr>
              <w:t xml:space="preserve">Flow line</w:t>
            </w:r>
          </w:p>
        </w:tc>
        <w:tc>
          <w:tcPr/>
          <w:p>
            <w:pPr>
              <w:pStyle w:val="Compact"/>
              <w:spacing w:before="20" w:after="20"/>
              <w:jc w:val="left"/>
            </w:pPr>
            <w:r>
              <w:rPr>
                <w:sz w:val="19"/>
              </w:rPr>
              <w:t xml:space="preserve">Arrow</w:t>
            </w:r>
          </w:p>
        </w:tc>
        <w:tc>
          <w:tcPr/>
          <w:p>
            <w:pPr>
              <w:pStyle w:val="Compact"/>
              <w:spacing w:before="20" w:after="20"/>
              <w:jc w:val="left"/>
            </w:pPr>
            <w:r>
              <w:rPr>
                <w:sz w:val="19"/>
              </w:rPr>
              <w:t xml:space="preserve">Order of steps</w:t>
            </w:r>
          </w:p>
        </w:tc>
        <w:tc>
          <w:tcPr/>
          <w:p>
            <w:pPr>
              <w:pStyle w:val="Compact"/>
              <w:spacing w:before="20" w:after="20"/>
              <w:jc w:val="left"/>
            </w:pPr>
            <w:r>
              <w:rPr>
                <w:sz w:val="19"/>
              </w:rPr>
              <w:t xml:space="preserve">Dark grey arrow</w:t>
            </w:r>
          </w:p>
        </w:tc>
      </w:tr>
    </w:tbl>
    <w:p>
      <w:pPr>
        <w:pStyle w:val="BodyText"/>
      </w:pPr>
      <w:r>
        <w:t xml:space="preserve">The smallest possible program, drawn with these symbols:</w:t>
      </w:r>
    </w:p>
    <w:p>
      <w:pPr>
        <w:pStyle w:val="CaptionedFigure"/>
        <w:jc w:val="center"/>
      </w:pPr>
      <w:r>
        <w:drawing>
          <wp:inline>
            <wp:extent cx="2642399" cy="4502710"/>
            <wp:effectExtent b="0" l="0" r="0" t="0"/>
            <wp:docPr descr="Figure 6.1 — Flowchart" title="" id="21" name="Picture"/>
            <a:graphic>
              <a:graphicData uri="http://schemas.openxmlformats.org/drawingml/2006/picture">
                <pic:pic>
                  <pic:nvPicPr>
                    <pic:cNvPr descr="/home/claude/books/work/fig/89b1e2adf25e.png" id="22" name="Picture"/>
                    <pic:cNvPicPr>
                      <a:picLocks noChangeArrowheads="1" noChangeAspect="1"/>
                    </pic:cNvPicPr>
                  </pic:nvPicPr>
                  <pic:blipFill>
                    <a:blip r:embed="rId20"/>
                    <a:stretch>
                      <a:fillRect/>
                    </a:stretch>
                  </pic:blipFill>
                  <pic:spPr bwMode="auto">
                    <a:xfrm>
                      <a:off x="0" y="0"/>
                      <a:ext cx="2642399" cy="4502710"/>
                    </a:xfrm>
                    <a:prstGeom prst="rect">
                      <a:avLst/>
                    </a:prstGeom>
                    <a:noFill/>
                    <a:ln w="9525">
                      <a:noFill/>
                      <a:headEnd/>
                      <a:tailEnd/>
                    </a:ln>
                  </pic:spPr>
                </pic:pic>
              </a:graphicData>
            </a:graphic>
          </wp:inline>
        </w:drawing>
      </w:r>
    </w:p>
    <w:p>
      <w:pPr>
        <w:pStyle w:val="ImageCaption"/>
        <w:jc w:val="center"/>
      </w:pPr>
      <w:r>
        <w:t xml:space="preserve">Figure 6.1 — Flowchart</w:t>
      </w:r>
    </w:p>
    <w:p>
      <w:pPr>
        <w:pStyle w:val="BodyText"/>
      </w:pPr>
      <w:r>
        <w:rPr>
          <w:b/>
          <w:bCs/>
        </w:rPr>
        <w:t xml:space="preserve">The engineering lens.</w:t>
      </w:r>
      <w:r>
        <w:t xml:space="preserve"> </w:t>
      </w:r>
      <w:r>
        <w:t xml:space="preserve">Programming questions get a civil and water engineering version where it fits, for example:</w:t>
      </w:r>
    </w:p>
    <w:p>
      <w:pPr>
        <w:pStyle w:val="Compact"/>
        <w:numPr>
          <w:ilvl w:val="0"/>
          <w:numId w:val="1002"/>
        </w:numPr>
      </w:pPr>
      <w:r>
        <w:t xml:space="preserve">tariff ladders become</w:t>
      </w:r>
      <w:r>
        <w:t xml:space="preserve"> </w:t>
      </w:r>
      <w:r>
        <w:rPr>
          <w:b/>
          <w:bCs/>
        </w:rPr>
        <w:t xml:space="preserve">increasing block tariffs</w:t>
      </w:r>
      <w:r>
        <w:t xml:space="preserve"> </w:t>
      </w:r>
      <w:r>
        <w:t xml:space="preserve">for water;</w:t>
      </w:r>
    </w:p>
    <w:p>
      <w:pPr>
        <w:pStyle w:val="Compact"/>
        <w:numPr>
          <w:ilvl w:val="0"/>
          <w:numId w:val="1002"/>
        </w:numPr>
      </w:pPr>
      <w:r>
        <w:t xml:space="preserve">array statistics become</w:t>
      </w:r>
      <w:r>
        <w:t xml:space="preserve"> </w:t>
      </w:r>
      <w:r>
        <w:rPr>
          <w:b/>
          <w:bCs/>
        </w:rPr>
        <w:t xml:space="preserve">rainfall</w:t>
      </w:r>
      <w:r>
        <w:t xml:space="preserve"> </w:t>
      </w:r>
      <w:r>
        <w:t xml:space="preserve">or</w:t>
      </w:r>
      <w:r>
        <w:t xml:space="preserve"> </w:t>
      </w:r>
      <w:r>
        <w:rPr>
          <w:b/>
          <w:bCs/>
        </w:rPr>
        <w:t xml:space="preserve">concrete cube strength</w:t>
      </w:r>
      <w:r>
        <w:t xml:space="preserve"> </w:t>
      </w:r>
      <w:r>
        <w:t xml:space="preserve">analysis;</w:t>
      </w:r>
    </w:p>
    <w:p>
      <w:pPr>
        <w:pStyle w:val="Compact"/>
        <w:numPr>
          <w:ilvl w:val="0"/>
          <w:numId w:val="1002"/>
        </w:numPr>
      </w:pPr>
      <w:r>
        <w:t xml:space="preserve">geometry programs become</w:t>
      </w:r>
      <w:r>
        <w:t xml:space="preserve"> </w:t>
      </w:r>
      <w:r>
        <w:rPr>
          <w:b/>
          <w:bCs/>
        </w:rPr>
        <w:t xml:space="preserve">cross-section, wetted perimeter and hydraulic radius</w:t>
      </w:r>
      <w:r>
        <w:t xml:space="preserve"> </w:t>
      </w:r>
      <w:r>
        <w:t xml:space="preserve">calculations.</w:t>
      </w:r>
    </w:p>
    <w:p>
      <w:pPr>
        <w:pStyle w:val="FirstParagraph"/>
      </w:pPr>
      <w:r>
        <w:t xml:space="preserve">Write the exam version in the exam; the engineering version is for understanding and for your later modules.</w:t>
      </w:r>
    </w:p>
    <w:p>
      <w:pPr>
        <w:pStyle w:val="Heading2"/>
        <w:pBdr>
          <w:left w:val="single" w:sz="24" w:space="6" w:color="1F3864"/>
        </w:pBdr>
      </w:pPr>
      <w:bookmarkStart w:id="104" w:name="tab_guide_2"/>
      <w:r>
        <w:rPr>
          <w:color w:val="1F3864"/>
        </w:rPr>
        <w:t xml:space="preserve">How the solutions were researched</w:t>
      </w:r>
      <w:bookmarkEnd w:id="104"/>
    </w:p>
    <w:p>
      <w:pPr>
        <w:pStyle w:val="FirstParagraph"/>
      </w:pPr>
      <w:r>
        <w:t xml:space="preserve">Every fact a solution relies on is traced to a source in one of four tiers; each source has a short key (e.g. [MIT-2]) so answers can cite it without long links.</w:t>
      </w:r>
    </w:p>
    <w:p>
      <w:pPr>
        <w:pStyle w:val="Compact"/>
        <w:numPr>
          <w:ilvl w:val="0"/>
          <w:numId w:val="1003"/>
        </w:numPr>
      </w:pPr>
      <w:r>
        <w:rPr>
          <w:b/>
          <w:bCs/>
        </w:rPr>
        <w:t xml:space="preserve">Tier 1 — the course itself.</w:t>
      </w:r>
      <w:r>
        <w:t xml:space="preserve"> </w:t>
      </w:r>
      <w:r>
        <w:t xml:space="preserve">The SCS 1101 outline and the past papers decide</w:t>
      </w:r>
      <w:r>
        <w:t xml:space="preserve"> </w:t>
      </w:r>
      <w:r>
        <w:rPr>
          <w:i/>
          <w:iCs/>
        </w:rPr>
        <w:t xml:space="preserve">what</w:t>
      </w:r>
      <w:r>
        <w:t xml:space="preserve"> </w:t>
      </w:r>
      <w:r>
        <w:t xml:space="preserve">to answer and how marks are split.</w:t>
      </w:r>
    </w:p>
    <w:p>
      <w:pPr>
        <w:pStyle w:val="Compact"/>
        <w:numPr>
          <w:ilvl w:val="0"/>
          <w:numId w:val="1003"/>
        </w:numPr>
      </w:pPr>
      <w:r>
        <w:rPr>
          <w:b/>
          <w:bCs/>
        </w:rPr>
        <w:t xml:space="preserve">Tier 2 — university teaching material.</w:t>
      </w:r>
      <w:r>
        <w:t xml:space="preserve"> </w:t>
      </w:r>
      <w:r>
        <w:t xml:space="preserve">MIT OpenCourseWare and UCLA course pages for programming and algorithms; university histories for milestones.</w:t>
      </w:r>
    </w:p>
    <w:p>
      <w:pPr>
        <w:pStyle w:val="Compact"/>
        <w:numPr>
          <w:ilvl w:val="0"/>
          <w:numId w:val="1003"/>
        </w:numPr>
      </w:pPr>
      <w:r>
        <w:rPr>
          <w:b/>
          <w:bCs/>
        </w:rPr>
        <w:t xml:space="preserve">Tier 3 — standards and research.</w:t>
      </w:r>
      <w:r>
        <w:t xml:space="preserve"> </w:t>
      </w:r>
      <w:r>
        <w:t xml:space="preserve">NIST for cloud definitions; peer-reviewed and arXiv papers, including Wits research on cloud adoption in South Africa.</w:t>
      </w:r>
    </w:p>
    <w:p>
      <w:pPr>
        <w:pStyle w:val="Compact"/>
        <w:numPr>
          <w:ilvl w:val="0"/>
          <w:numId w:val="1003"/>
        </w:numPr>
      </w:pPr>
      <w:r>
        <w:rPr>
          <w:b/>
          <w:bCs/>
        </w:rPr>
        <w:t xml:space="preserve">Tier 4 — standard textbook knowledge.</w:t>
      </w:r>
      <w:r>
        <w:t xml:space="preserve"> </w:t>
      </w:r>
      <w:r>
        <w:t xml:space="preserve">Definitions every textbook agrees on (OS functions, topologies, printers) are written from the textbooks your outline lists, without a web citation.</w:t>
      </w:r>
    </w:p>
    <w:p>
      <w:pPr>
        <w:pStyle w:val="FirstParagraph"/>
      </w:pPr>
      <w:r>
        <w:t xml:space="preserve">A claim is only cited when a source was actually opened; anything from tier 4 stays general and uncited.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1176"/>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1176"/>
            <w:shd w:val="clear" w:color="auto" w:fill="00695C"/>
          </w:tcPr>
          <w:p>
            <w:pPr>
              <w:spacing w:before="0" w:after="0"/>
              <w:jc w:val="center"/>
            </w:pPr>
            <w:hyperlink w:anchor="tab_glance" w:history="1">
              <w:r>
                <w:rPr>
                  <w:rFonts w:ascii="Calibri" w:hAnsi="Calibri" w:cs="Calibri"/>
                  <w:b/>
                  <w:color w:val="FFFFFF"/>
                  <w:sz w:val="18"/>
                  <w:u w:val="none"/>
                </w:rPr>
                <w:t xml:space="preserve">Glance</w:t>
              </w:r>
            </w:hyperlink>
          </w:p>
        </w:tc>
        <w:tc>
          <w:tcPr>
            <w:tcW w:type="dxa" w:w="1176"/>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1176"/>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1176"/>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1176"/>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1176"/>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00695C"/>
          <w:left w:val="single" w:sz="4" w:space="4" w:color="00695C"/>
          <w:bottom w:val="single" w:sz="4" w:space="4" w:color="00695C"/>
          <w:right w:val="single" w:sz="4" w:space="4" w:color="00695C"/>
        </w:pBdr>
        <w:shd w:val="clear" w:color="auto" w:fill="00695C"/>
        <w:spacing w:before="160"/>
      </w:pPr>
      <w:bookmarkStart w:id="105" w:name="tab_glance"/>
      <w:r>
        <w:rPr>
          <w:color w:val="FFFFFF"/>
        </w:rPr>
        <w:t xml:space="preserve">At a glance</w:t>
      </w:r>
      <w:bookmarkEnd w:id="105"/>
    </w:p>
    <w:p>
      <w:pPr>
        <w:pStyle w:val="FirstParagraph"/>
      </w:pPr>
      <w:r>
        <w:t xml:space="preserve">SCP 1101 Introduction to Computer Science, August 2004 supplementary. 3 hours, 20 marks per question; answer</w:t>
      </w:r>
      <w:r>
        <w:t xml:space="preserve"> </w:t>
      </w:r>
      <w:r>
        <w:rPr>
          <w:b/>
          <w:bCs/>
        </w:rPr>
        <w:t xml:space="preserve">5 questions in total, at least 2 from each section</w:t>
      </w:r>
      <w:r>
        <w:t xml:space="preserve">. Only</w:t>
      </w:r>
      <w:r>
        <w:t xml:space="preserve"> </w:t>
      </w:r>
      <w:r>
        <w:rPr>
          <w:b/>
          <w:bCs/>
        </w:rPr>
        <w:t xml:space="preserve">page 1 (Section A, Q1–Q3)</w:t>
      </w:r>
      <w:r>
        <w:t xml:space="preserve"> </w:t>
      </w:r>
      <w:r>
        <w:t xml:space="preserve">was provided, so this book solves those three; Section B (programming) is missing.</w:t>
      </w:r>
    </w:p>
    <w:p>
      <w:pPr>
        <w:pStyle w:val="BodyText"/>
      </w:pPr>
      <w:r>
        <w:t xml:space="preserve">All three questions are theory, so marks come from complete, structured comparisons: use tables.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Question</w:t>
            </w:r>
          </w:p>
        </w:tc>
        <w:tc>
          <w:tcPr>
            <w:shd w:val="clear" w:color="auto" w:fill="DCE6F4"/>
          </w:tcPr>
          <w:p>
            <w:pPr>
              <w:pStyle w:val="Compact"/>
              <w:spacing w:before="20" w:after="20"/>
              <w:jc w:val="left"/>
            </w:pPr>
            <w:r>
              <w:rPr>
                <w:b/>
                <w:color w:val="1F3864"/>
                <w:sz w:val="19"/>
              </w:rPr>
              <w:t xml:space="preserve">What it tests</w:t>
            </w:r>
          </w:p>
        </w:tc>
        <w:tc>
          <w:tcPr>
            <w:shd w:val="clear" w:color="auto" w:fill="DCE6F4"/>
          </w:tcPr>
          <w:p>
            <w:pPr>
              <w:pStyle w:val="Compact"/>
              <w:spacing w:before="20" w:after="20"/>
              <w:jc w:val="left"/>
            </w:pPr>
            <w:r>
              <w:rPr>
                <w:b/>
                <w:color w:val="1F3864"/>
                <w:sz w:val="19"/>
              </w:rPr>
              <w:t xml:space="preserve">Marks</w:t>
            </w:r>
          </w:p>
        </w:tc>
      </w:tr>
      <w:tr>
        <w:tc>
          <w:tcPr/>
          <w:p>
            <w:pPr>
              <w:pStyle w:val="Compact"/>
              <w:spacing w:before="20" w:after="20"/>
              <w:jc w:val="left"/>
            </w:pPr>
            <w:r>
              <w:rPr>
                <w:sz w:val="19"/>
              </w:rPr>
              <w:t xml:space="preserve">Q1</w:t>
            </w:r>
          </w:p>
        </w:tc>
        <w:tc>
          <w:tcPr/>
          <w:p>
            <w:pPr>
              <w:pStyle w:val="Compact"/>
              <w:spacing w:before="20" w:after="20"/>
              <w:jc w:val="left"/>
            </w:pPr>
            <w:r>
              <w:rPr>
                <w:sz w:val="19"/>
              </w:rPr>
              <w:t xml:space="preserve">Five printers: operation, impact or not, quality, speed</w:t>
            </w:r>
          </w:p>
        </w:tc>
        <w:tc>
          <w:tcPr/>
          <w:p>
            <w:pPr>
              <w:pStyle w:val="Compact"/>
              <w:spacing w:before="20" w:after="20"/>
              <w:jc w:val="left"/>
            </w:pPr>
            <w:r>
              <w:rPr>
                <w:sz w:val="19"/>
              </w:rPr>
              <w:t xml:space="preserve">20</w:t>
            </w:r>
          </w:p>
        </w:tc>
      </w:tr>
      <w:tr>
        <w:tc>
          <w:tcPr/>
          <w:p>
            <w:pPr>
              <w:pStyle w:val="Compact"/>
              <w:spacing w:before="20" w:after="20"/>
              <w:jc w:val="left"/>
            </w:pPr>
            <w:r>
              <w:rPr>
                <w:sz w:val="19"/>
              </w:rPr>
              <w:t xml:space="preserve">Q2</w:t>
            </w:r>
          </w:p>
        </w:tc>
        <w:tc>
          <w:tcPr/>
          <w:p>
            <w:pPr>
              <w:pStyle w:val="Compact"/>
              <w:spacing w:before="20" w:after="20"/>
              <w:jc w:val="left"/>
            </w:pPr>
            <w:r>
              <w:rPr>
                <w:sz w:val="19"/>
              </w:rPr>
              <w:t xml:space="preserve">System software, EPROM, primary memory, register, virtual memory; OS functions</w:t>
            </w:r>
          </w:p>
        </w:tc>
        <w:tc>
          <w:tcPr/>
          <w:p>
            <w:pPr>
              <w:pStyle w:val="Compact"/>
              <w:spacing w:before="20" w:after="20"/>
              <w:jc w:val="left"/>
            </w:pPr>
            <w:r>
              <w:rPr>
                <w:sz w:val="19"/>
              </w:rPr>
              <w:t xml:space="preserve">10 + 10</w:t>
            </w:r>
          </w:p>
        </w:tc>
      </w:tr>
      <w:tr>
        <w:tc>
          <w:tcPr/>
          <w:p>
            <w:pPr>
              <w:pStyle w:val="Compact"/>
              <w:spacing w:before="20" w:after="20"/>
              <w:jc w:val="left"/>
            </w:pPr>
            <w:r>
              <w:rPr>
                <w:sz w:val="19"/>
              </w:rPr>
              <w:t xml:space="preserve">Q3</w:t>
            </w:r>
          </w:p>
        </w:tc>
        <w:tc>
          <w:tcPr/>
          <w:p>
            <w:pPr>
              <w:pStyle w:val="Compact"/>
              <w:spacing w:before="20" w:after="20"/>
              <w:jc w:val="left"/>
            </w:pPr>
            <w:r>
              <w:rPr>
                <w:sz w:val="19"/>
              </w:rPr>
              <w:t xml:space="preserve">Advantages of high-level languages; 1st vs 4th generation</w:t>
            </w:r>
          </w:p>
        </w:tc>
        <w:tc>
          <w:tcPr/>
          <w:p>
            <w:pPr>
              <w:pStyle w:val="Compact"/>
              <w:spacing w:before="20" w:after="20"/>
              <w:jc w:val="left"/>
            </w:pPr>
            <w:r>
              <w:rPr>
                <w:sz w:val="19"/>
              </w:rPr>
              <w:t xml:space="preserve">5 + 15</w:t>
            </w:r>
          </w:p>
        </w:tc>
      </w:tr>
    </w:tbl>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1176"/>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1176"/>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1176"/>
            <w:shd w:val="clear" w:color="auto" w:fill="1565C0"/>
          </w:tcPr>
          <w:p>
            <w:pPr>
              <w:spacing w:before="0" w:after="0"/>
              <w:jc w:val="center"/>
            </w:pPr>
            <w:hyperlink w:anchor="tab_q1" w:history="1">
              <w:r>
                <w:rPr>
                  <w:rFonts w:ascii="Calibri" w:hAnsi="Calibri" w:cs="Calibri"/>
                  <w:b/>
                  <w:color w:val="FFFFFF"/>
                  <w:sz w:val="18"/>
                  <w:u w:val="none"/>
                </w:rPr>
                <w:t xml:space="preserve">Q1</w:t>
              </w:r>
            </w:hyperlink>
          </w:p>
        </w:tc>
        <w:tc>
          <w:tcPr>
            <w:tcW w:type="dxa" w:w="1176"/>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1176"/>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1176"/>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1176"/>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1565C0"/>
          <w:left w:val="single" w:sz="4" w:space="4" w:color="1565C0"/>
          <w:bottom w:val="single" w:sz="4" w:space="4" w:color="1565C0"/>
          <w:right w:val="single" w:sz="4" w:space="4" w:color="1565C0"/>
        </w:pBdr>
        <w:shd w:val="clear" w:color="auto" w:fill="1565C0"/>
        <w:spacing w:before="160"/>
      </w:pPr>
      <w:bookmarkStart w:id="106" w:name="tab_q1"/>
      <w:r>
        <w:rPr>
          <w:color w:val="FFFFFF"/>
        </w:rPr>
        <w:t xml:space="preserve">Question 1 [20]</w:t>
      </w:r>
      <w:bookmarkEnd w:id="106"/>
    </w:p>
    <w:p>
      <w:pPr>
        <w:pStyle w:val="Heading2"/>
        <w:pBdr>
          <w:left w:val="single" w:sz="24" w:space="6" w:color="1565C0"/>
        </w:pBdr>
      </w:pPr>
      <w:bookmarkStart w:id="107" w:name="tab_q1_1"/>
      <w:r>
        <w:rPr>
          <w:color w:val="1565C0"/>
        </w:rPr>
        <w:t xml:space="preserve">Five printing devices: operation, impact or non-impact, quality and speed [4 each]</w:t>
      </w:r>
      <w:bookmarkEnd w:id="107"/>
    </w:p>
    <w:p>
      <w:pPr>
        <w:pStyle w:val="FirstParagraph"/>
      </w:pPr>
      <w:r>
        <w:rPr>
          <w:b/>
          <w:bCs/>
        </w:rPr>
        <w:t xml:space="preserve">Like you’re 3:</w:t>
      </w:r>
      <w:r>
        <w:t xml:space="preserve"> </w:t>
      </w:r>
      <w:r>
        <w:t xml:space="preserve">impact printers</w:t>
      </w:r>
      <w:r>
        <w:t xml:space="preserve"> </w:t>
      </w:r>
      <w:r>
        <w:rPr>
          <w:b/>
          <w:bCs/>
        </w:rPr>
        <w:t xml:space="preserve">hit</w:t>
      </w:r>
      <w:r>
        <w:t xml:space="preserve"> </w:t>
      </w:r>
      <w:r>
        <w:t xml:space="preserve">the paper through an inky ribbon, like a stamp; non-impact printers</w:t>
      </w:r>
      <w:r>
        <w:t xml:space="preserve"> </w:t>
      </w:r>
      <w:r>
        <w:rPr>
          <w:b/>
          <w:bCs/>
        </w:rPr>
        <w:t xml:space="preserve">spray, melt or draw</w:t>
      </w:r>
      <w:r>
        <w:t xml:space="preserve"> </w:t>
      </w:r>
      <w:r>
        <w:t xml:space="preserve">without hitting.</w:t>
      </w:r>
    </w:p>
    <w:p>
      <w:pPr>
        <w:pStyle w:val="BodyText"/>
      </w:pPr>
      <w:r>
        <w:t xml:space="preserve">For each printer: how it works [2], impact or non-impact [1], quality and speed [1].</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Printer</w:t>
            </w:r>
          </w:p>
        </w:tc>
        <w:tc>
          <w:tcPr>
            <w:shd w:val="clear" w:color="auto" w:fill="DCE6F4"/>
          </w:tcPr>
          <w:p>
            <w:pPr>
              <w:pStyle w:val="Compact"/>
              <w:spacing w:before="20" w:after="20"/>
              <w:jc w:val="left"/>
            </w:pPr>
            <w:r>
              <w:rPr>
                <w:b/>
                <w:color w:val="1F3864"/>
                <w:sz w:val="19"/>
              </w:rPr>
              <w:t xml:space="preserve">How it works</w:t>
            </w:r>
          </w:p>
        </w:tc>
        <w:tc>
          <w:tcPr>
            <w:shd w:val="clear" w:color="auto" w:fill="DCE6F4"/>
          </w:tcPr>
          <w:p>
            <w:pPr>
              <w:pStyle w:val="Compact"/>
              <w:spacing w:before="20" w:after="20"/>
              <w:jc w:val="left"/>
            </w:pPr>
            <w:r>
              <w:rPr>
                <w:b/>
                <w:color w:val="1F3864"/>
                <w:sz w:val="19"/>
              </w:rPr>
              <w:t xml:space="preserve">Impact?</w:t>
            </w:r>
          </w:p>
        </w:tc>
        <w:tc>
          <w:tcPr>
            <w:shd w:val="clear" w:color="auto" w:fill="DCE6F4"/>
          </w:tcPr>
          <w:p>
            <w:pPr>
              <w:pStyle w:val="Compact"/>
              <w:spacing w:before="20" w:after="20"/>
              <w:jc w:val="left"/>
            </w:pPr>
            <w:r>
              <w:rPr>
                <w:b/>
                <w:color w:val="1F3864"/>
                <w:sz w:val="19"/>
              </w:rPr>
              <w:t xml:space="preserve">Quality</w:t>
            </w:r>
          </w:p>
        </w:tc>
        <w:tc>
          <w:tcPr>
            <w:shd w:val="clear" w:color="auto" w:fill="DCE6F4"/>
          </w:tcPr>
          <w:p>
            <w:pPr>
              <w:pStyle w:val="Compact"/>
              <w:spacing w:before="20" w:after="20"/>
              <w:jc w:val="left"/>
            </w:pPr>
            <w:r>
              <w:rPr>
                <w:b/>
                <w:color w:val="1F3864"/>
                <w:sz w:val="19"/>
              </w:rPr>
              <w:t xml:space="preserve">Speed (approximate)</w:t>
            </w:r>
          </w:p>
        </w:tc>
      </w:tr>
      <w:tr>
        <w:tc>
          <w:tcPr/>
          <w:p>
            <w:pPr>
              <w:pStyle w:val="Compact"/>
              <w:spacing w:before="20" w:after="20"/>
              <w:jc w:val="left"/>
            </w:pPr>
            <w:r>
              <w:rPr>
                <w:b/>
                <w:bCs/>
                <w:sz w:val="19"/>
              </w:rPr>
              <w:t xml:space="preserve">(a) Daisy wheel</w:t>
            </w:r>
          </w:p>
        </w:tc>
        <w:tc>
          <w:tcPr/>
          <w:p>
            <w:pPr>
              <w:pStyle w:val="Compact"/>
              <w:spacing w:before="20" w:after="20"/>
              <w:jc w:val="left"/>
            </w:pPr>
            <w:r>
              <w:rPr>
                <w:sz w:val="19"/>
              </w:rPr>
              <w:t xml:space="preserve">A plastic or metal wheel has a fully formed character on each</w:t>
            </w:r>
            <w:r>
              <w:rPr>
                <w:sz w:val="19"/>
              </w:rPr>
              <w:t xml:space="preserve"> </w:t>
            </w:r>
            <w:r>
              <w:rPr>
                <w:sz w:val="19"/>
              </w:rPr>
              <w:t xml:space="preserve">“</w:t>
            </w:r>
            <w:r>
              <w:rPr>
                <w:sz w:val="19"/>
              </w:rPr>
              <w:t xml:space="preserve">petal</w:t>
            </w:r>
            <w:r>
              <w:rPr>
                <w:sz w:val="19"/>
              </w:rPr>
              <w:t xml:space="preserve">”</w:t>
            </w:r>
            <w:r>
              <w:rPr>
                <w:sz w:val="19"/>
              </w:rPr>
              <w:t xml:space="preserve">; the wheel spins to the right letter and a hammer strikes it against the ribbon and paper.</w:t>
            </w:r>
          </w:p>
        </w:tc>
        <w:tc>
          <w:tcPr/>
          <w:p>
            <w:pPr>
              <w:pStyle w:val="Compact"/>
              <w:spacing w:before="20" w:after="20"/>
              <w:jc w:val="left"/>
            </w:pPr>
            <w:r>
              <w:rPr>
                <w:sz w:val="19"/>
              </w:rPr>
              <w:t xml:space="preserve">Impact</w:t>
            </w:r>
          </w:p>
        </w:tc>
        <w:tc>
          <w:tcPr/>
          <w:p>
            <w:pPr>
              <w:pStyle w:val="Compact"/>
              <w:spacing w:before="20" w:after="20"/>
              <w:jc w:val="left"/>
            </w:pPr>
            <w:r>
              <w:rPr>
                <w:sz w:val="19"/>
              </w:rPr>
              <w:t xml:space="preserve">High (</w:t>
            </w:r>
            <w:r>
              <w:rPr>
                <w:sz w:val="19"/>
              </w:rPr>
              <w:t xml:space="preserve">“</w:t>
            </w:r>
            <w:r>
              <w:rPr>
                <w:sz w:val="19"/>
              </w:rPr>
              <w:t xml:space="preserve">letter quality</w:t>
            </w:r>
            <w:r>
              <w:rPr>
                <w:sz w:val="19"/>
              </w:rPr>
              <w:t xml:space="preserve">”</w:t>
            </w:r>
            <w:r>
              <w:rPr>
                <w:sz w:val="19"/>
              </w:rPr>
              <w:t xml:space="preserve">) text, but no graphics</w:t>
            </w:r>
          </w:p>
        </w:tc>
        <w:tc>
          <w:tcPr/>
          <w:p>
            <w:pPr>
              <w:pStyle w:val="Compact"/>
              <w:spacing w:before="20" w:after="20"/>
              <w:jc w:val="left"/>
            </w:pPr>
            <w:r>
              <w:rPr>
                <w:sz w:val="19"/>
              </w:rPr>
              <w:t xml:space="preserve">Slow: tens of characters per second</w:t>
            </w:r>
          </w:p>
        </w:tc>
      </w:tr>
      <w:tr>
        <w:tc>
          <w:tcPr/>
          <w:p>
            <w:pPr>
              <w:pStyle w:val="Compact"/>
              <w:spacing w:before="20" w:after="20"/>
              <w:jc w:val="left"/>
            </w:pPr>
            <w:r>
              <w:rPr>
                <w:b/>
                <w:bCs/>
                <w:sz w:val="19"/>
              </w:rPr>
              <w:t xml:space="preserve">(b) Dot matrix</w:t>
            </w:r>
          </w:p>
        </w:tc>
        <w:tc>
          <w:tcPr/>
          <w:p>
            <w:pPr>
              <w:pStyle w:val="Compact"/>
              <w:spacing w:before="20" w:after="20"/>
              <w:jc w:val="left"/>
            </w:pPr>
            <w:r>
              <w:rPr>
                <w:sz w:val="19"/>
              </w:rPr>
              <w:t xml:space="preserve">A print head with 9 or 24 pins moves across the page; selected pins strike the ribbon, forming characters from dots.</w:t>
            </w:r>
          </w:p>
        </w:tc>
        <w:tc>
          <w:tcPr/>
          <w:p>
            <w:pPr>
              <w:pStyle w:val="Compact"/>
              <w:spacing w:before="20" w:after="20"/>
              <w:jc w:val="left"/>
            </w:pPr>
            <w:r>
              <w:rPr>
                <w:sz w:val="19"/>
              </w:rPr>
              <w:t xml:space="preserve">Impact</w:t>
            </w:r>
          </w:p>
        </w:tc>
        <w:tc>
          <w:tcPr/>
          <w:p>
            <w:pPr>
              <w:pStyle w:val="Compact"/>
              <w:spacing w:before="20" w:after="20"/>
              <w:jc w:val="left"/>
            </w:pPr>
            <w:r>
              <w:rPr>
                <w:sz w:val="19"/>
              </w:rPr>
              <w:t xml:space="preserve">Low to medium (draft or near-letter quality); can do carbon copies</w:t>
            </w:r>
          </w:p>
        </w:tc>
        <w:tc>
          <w:tcPr/>
          <w:p>
            <w:pPr>
              <w:pStyle w:val="Compact"/>
              <w:spacing w:before="20" w:after="20"/>
              <w:jc w:val="left"/>
            </w:pPr>
            <w:r>
              <w:rPr>
                <w:sz w:val="19"/>
              </w:rPr>
              <w:t xml:space="preserve">Medium: hundreds of characters per second</w:t>
            </w:r>
          </w:p>
        </w:tc>
      </w:tr>
      <w:tr>
        <w:tc>
          <w:tcPr/>
          <w:p>
            <w:pPr>
              <w:pStyle w:val="Compact"/>
              <w:spacing w:before="20" w:after="20"/>
              <w:jc w:val="left"/>
            </w:pPr>
            <w:r>
              <w:rPr>
                <w:b/>
                <w:bCs/>
                <w:sz w:val="19"/>
              </w:rPr>
              <w:t xml:space="preserve">(c) Inkjet</w:t>
            </w:r>
          </w:p>
        </w:tc>
        <w:tc>
          <w:tcPr/>
          <w:p>
            <w:pPr>
              <w:pStyle w:val="Compact"/>
              <w:spacing w:before="20" w:after="20"/>
              <w:jc w:val="left"/>
            </w:pPr>
            <w:r>
              <w:rPr>
                <w:sz w:val="19"/>
              </w:rPr>
              <w:t xml:space="preserve">Tiny nozzles spray droplets of ink onto the paper, using heat (bubble jet) or piezo-electric crystals.</w:t>
            </w:r>
          </w:p>
        </w:tc>
        <w:tc>
          <w:tcPr/>
          <w:p>
            <w:pPr>
              <w:pStyle w:val="Compact"/>
              <w:spacing w:before="20" w:after="20"/>
              <w:jc w:val="left"/>
            </w:pPr>
            <w:r>
              <w:rPr>
                <w:sz w:val="19"/>
              </w:rPr>
              <w:t xml:space="preserve">Non-impact</w:t>
            </w:r>
          </w:p>
        </w:tc>
        <w:tc>
          <w:tcPr/>
          <w:p>
            <w:pPr>
              <w:pStyle w:val="Compact"/>
              <w:spacing w:before="20" w:after="20"/>
              <w:jc w:val="left"/>
            </w:pPr>
            <w:r>
              <w:rPr>
                <w:sz w:val="19"/>
              </w:rPr>
              <w:t xml:space="preserve">Good, including colour photos</w:t>
            </w:r>
          </w:p>
        </w:tc>
        <w:tc>
          <w:tcPr/>
          <w:p>
            <w:pPr>
              <w:pStyle w:val="Compact"/>
              <w:spacing w:before="20" w:after="20"/>
              <w:jc w:val="left"/>
            </w:pPr>
            <w:r>
              <w:rPr>
                <w:sz w:val="19"/>
              </w:rPr>
              <w:t xml:space="preserve">Moderate: a few to about 20 pages per minute</w:t>
            </w:r>
          </w:p>
        </w:tc>
      </w:tr>
      <w:tr>
        <w:tc>
          <w:tcPr/>
          <w:p>
            <w:pPr>
              <w:pStyle w:val="Compact"/>
              <w:spacing w:before="20" w:after="20"/>
              <w:jc w:val="left"/>
            </w:pPr>
            <w:r>
              <w:rPr>
                <w:b/>
                <w:bCs/>
                <w:sz w:val="19"/>
              </w:rPr>
              <w:t xml:space="preserve">(d) Laser</w:t>
            </w:r>
          </w:p>
        </w:tc>
        <w:tc>
          <w:tcPr/>
          <w:p>
            <w:pPr>
              <w:pStyle w:val="Compact"/>
              <w:spacing w:before="20" w:after="20"/>
              <w:jc w:val="left"/>
            </w:pPr>
            <w:r>
              <w:rPr>
                <w:sz w:val="19"/>
              </w:rPr>
              <w:t xml:space="preserve">A laser beam draws the page as an electrostatic image on a drum; toner powder sticks to it, transfers to the paper and is fused by heat.</w:t>
            </w:r>
          </w:p>
        </w:tc>
        <w:tc>
          <w:tcPr/>
          <w:p>
            <w:pPr>
              <w:pStyle w:val="Compact"/>
              <w:spacing w:before="20" w:after="20"/>
              <w:jc w:val="left"/>
            </w:pPr>
            <w:r>
              <w:rPr>
                <w:sz w:val="19"/>
              </w:rPr>
              <w:t xml:space="preserve">Non-impact</w:t>
            </w:r>
          </w:p>
        </w:tc>
        <w:tc>
          <w:tcPr/>
          <w:p>
            <w:pPr>
              <w:pStyle w:val="Compact"/>
              <w:spacing w:before="20" w:after="20"/>
              <w:jc w:val="left"/>
            </w:pPr>
            <w:r>
              <w:rPr>
                <w:sz w:val="19"/>
              </w:rPr>
              <w:t xml:space="preserve">Very high, sharp text</w:t>
            </w:r>
          </w:p>
        </w:tc>
        <w:tc>
          <w:tcPr/>
          <w:p>
            <w:pPr>
              <w:pStyle w:val="Compact"/>
              <w:spacing w:before="20" w:after="20"/>
              <w:jc w:val="left"/>
            </w:pPr>
            <w:r>
              <w:rPr>
                <w:sz w:val="19"/>
              </w:rPr>
              <w:t xml:space="preserve">Fast: a whole page at a time, tens of pages per minute</w:t>
            </w:r>
          </w:p>
        </w:tc>
      </w:tr>
      <w:tr>
        <w:tc>
          <w:tcPr/>
          <w:p>
            <w:pPr>
              <w:pStyle w:val="Compact"/>
              <w:spacing w:before="20" w:after="20"/>
              <w:jc w:val="left"/>
            </w:pPr>
            <w:r>
              <w:rPr>
                <w:b/>
                <w:bCs/>
                <w:sz w:val="19"/>
              </w:rPr>
              <w:t xml:space="preserve">(e) Plotter</w:t>
            </w:r>
          </w:p>
        </w:tc>
        <w:tc>
          <w:tcPr/>
          <w:p>
            <w:pPr>
              <w:pStyle w:val="Compact"/>
              <w:spacing w:before="20" w:after="20"/>
              <w:jc w:val="left"/>
            </w:pPr>
            <w:r>
              <w:rPr>
                <w:sz w:val="19"/>
              </w:rPr>
              <w:t xml:space="preserve">Pens (or inkjet heads) are moved over large paper under computer control to draw continuous lines.</w:t>
            </w:r>
          </w:p>
        </w:tc>
        <w:tc>
          <w:tcPr/>
          <w:p>
            <w:pPr>
              <w:pStyle w:val="Compact"/>
              <w:spacing w:before="20" w:after="20"/>
              <w:jc w:val="left"/>
            </w:pPr>
            <w:r>
              <w:rPr>
                <w:sz w:val="19"/>
              </w:rPr>
              <w:t xml:space="preserve">Non-impact (pen or inkjet)</w:t>
            </w:r>
          </w:p>
        </w:tc>
        <w:tc>
          <w:tcPr/>
          <w:p>
            <w:pPr>
              <w:pStyle w:val="Compact"/>
              <w:spacing w:before="20" w:after="20"/>
              <w:jc w:val="left"/>
            </w:pPr>
            <w:r>
              <w:rPr>
                <w:sz w:val="19"/>
              </w:rPr>
              <w:t xml:space="preserve">Very accurate line drawings on A1/A0 sheets</w:t>
            </w:r>
          </w:p>
        </w:tc>
        <w:tc>
          <w:tcPr/>
          <w:p>
            <w:pPr>
              <w:pStyle w:val="Compact"/>
              <w:spacing w:before="20" w:after="20"/>
              <w:jc w:val="left"/>
            </w:pPr>
            <w:r>
              <w:rPr>
                <w:sz w:val="19"/>
              </w:rPr>
              <w:t xml:space="preserve">Slow per sheet, but precise</w:t>
            </w:r>
          </w:p>
        </w:tc>
      </w:tr>
    </w:tbl>
    <w:p>
      <w:pPr>
        <w:pStyle w:val="BodyText"/>
      </w:pPr>
      <w:r>
        <w:rPr>
          <w:b/>
          <w:bCs/>
        </w:rPr>
        <w:t xml:space="preserve">Engineering lens:</w:t>
      </w:r>
      <w:r>
        <w:t xml:space="preserve"> </w:t>
      </w:r>
      <w:r>
        <w:t xml:space="preserve">civil engineers still print</w:t>
      </w:r>
      <w:r>
        <w:t xml:space="preserve"> </w:t>
      </w:r>
      <w:r>
        <w:rPr>
          <w:b/>
          <w:bCs/>
        </w:rPr>
        <w:t xml:space="preserve">A1 and A0 construction drawings</w:t>
      </w:r>
      <w:r>
        <w:t xml:space="preserve"> </w:t>
      </w:r>
      <w:r>
        <w:t xml:space="preserve">on large-format plotters (now mostly inkjet), while site offices keep a laser printer for reports and certificates.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1176"/>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1176"/>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1176"/>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1176"/>
            <w:shd w:val="clear" w:color="auto" w:fill="2E7D32"/>
          </w:tcPr>
          <w:p>
            <w:pPr>
              <w:spacing w:before="0" w:after="0"/>
              <w:jc w:val="center"/>
            </w:pPr>
            <w:hyperlink w:anchor="tab_q2" w:history="1">
              <w:r>
                <w:rPr>
                  <w:rFonts w:ascii="Calibri" w:hAnsi="Calibri" w:cs="Calibri"/>
                  <w:b/>
                  <w:color w:val="FFFFFF"/>
                  <w:sz w:val="18"/>
                  <w:u w:val="none"/>
                </w:rPr>
                <w:t xml:space="preserve">Q2</w:t>
              </w:r>
            </w:hyperlink>
          </w:p>
        </w:tc>
        <w:tc>
          <w:tcPr>
            <w:tcW w:type="dxa" w:w="1176"/>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1176"/>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1176"/>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2E7D32"/>
          <w:left w:val="single" w:sz="4" w:space="4" w:color="2E7D32"/>
          <w:bottom w:val="single" w:sz="4" w:space="4" w:color="2E7D32"/>
          <w:right w:val="single" w:sz="4" w:space="4" w:color="2E7D32"/>
        </w:pBdr>
        <w:shd w:val="clear" w:color="auto" w:fill="2E7D32"/>
        <w:spacing w:before="160"/>
      </w:pPr>
      <w:bookmarkStart w:id="108" w:name="tab_q2"/>
      <w:r>
        <w:rPr>
          <w:color w:val="FFFFFF"/>
        </w:rPr>
        <w:t xml:space="preserve">Question 2 [20]</w:t>
      </w:r>
      <w:bookmarkEnd w:id="108"/>
    </w:p>
    <w:p>
      <w:pPr>
        <w:pStyle w:val="Heading2"/>
        <w:pBdr>
          <w:left w:val="single" w:sz="24" w:space="6" w:color="2E7D32"/>
        </w:pBdr>
      </w:pPr>
      <w:bookmarkStart w:id="109" w:name="tab_q2_1"/>
      <w:r>
        <w:rPr>
          <w:color w:val="2E7D32"/>
        </w:rPr>
        <w:t xml:space="preserve">2(i) Explain these terms [2 each = 10]</w:t>
      </w:r>
      <w:bookmarkEnd w:id="109"/>
    </w:p>
    <w:p>
      <w:pPr>
        <w:pStyle w:val="FirstParagraph"/>
      </w:pPr>
      <w:r>
        <w:rPr>
          <w:b/>
          <w:bCs/>
        </w:rPr>
        <w:t xml:space="preserve">Like you’re 3:</w:t>
      </w:r>
      <w:r>
        <w:t xml:space="preserve"> </w:t>
      </w:r>
      <w:r>
        <w:t xml:space="preserve">system software is the school’s caretaker; EPROM is a notebook you can wipe only with a special sun lamp; primary memory is your desk; a register is the scrap of paper in your hand; virtual memory is borrowing floor space when the desk is full.</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spacing w:before="20" w:after="20"/>
              <w:jc w:val="left"/>
            </w:pPr>
            <w:r>
              <w:rPr>
                <w:b/>
                <w:color w:val="1F3864"/>
                <w:sz w:val="19"/>
              </w:rPr>
              <w:t xml:space="preserve">Term</w:t>
            </w:r>
          </w:p>
        </w:tc>
        <w:tc>
          <w:tcPr>
            <w:shd w:val="clear" w:color="auto" w:fill="DCE6F4"/>
          </w:tcPr>
          <w:p>
            <w:pPr>
              <w:pStyle w:val="Compact"/>
              <w:spacing w:before="20" w:after="20"/>
              <w:jc w:val="left"/>
            </w:pPr>
            <w:r>
              <w:rPr>
                <w:b/>
                <w:color w:val="1F3864"/>
                <w:sz w:val="19"/>
              </w:rPr>
              <w:t xml:space="preserve">Explanation [1 + 1]</w:t>
            </w:r>
          </w:p>
        </w:tc>
      </w:tr>
      <w:tr>
        <w:tc>
          <w:tcPr/>
          <w:p>
            <w:pPr>
              <w:pStyle w:val="Compact"/>
              <w:spacing w:before="20" w:after="20"/>
              <w:jc w:val="left"/>
            </w:pPr>
            <w:r>
              <w:rPr>
                <w:b/>
                <w:bCs/>
                <w:sz w:val="19"/>
              </w:rPr>
              <w:t xml:space="preserve">System software</w:t>
            </w:r>
          </w:p>
        </w:tc>
        <w:tc>
          <w:tcPr/>
          <w:p>
            <w:pPr>
              <w:pStyle w:val="Compact"/>
              <w:spacing w:before="20" w:after="20"/>
              <w:jc w:val="left"/>
            </w:pPr>
            <w:r>
              <w:rPr>
                <w:sz w:val="19"/>
              </w:rPr>
              <w:t xml:space="preserve">Programs that run and manage the computer itself and support application software. Examples: operating systems, device drivers, utilities, compilers.</w:t>
            </w:r>
          </w:p>
        </w:tc>
      </w:tr>
      <w:tr>
        <w:tc>
          <w:tcPr/>
          <w:p>
            <w:pPr>
              <w:pStyle w:val="Compact"/>
              <w:spacing w:before="20" w:after="20"/>
              <w:jc w:val="left"/>
            </w:pPr>
            <w:r>
              <w:rPr>
                <w:b/>
                <w:bCs/>
                <w:sz w:val="19"/>
              </w:rPr>
              <w:t xml:space="preserve">EPROM</w:t>
            </w:r>
          </w:p>
        </w:tc>
        <w:tc>
          <w:tcPr/>
          <w:p>
            <w:pPr>
              <w:pStyle w:val="Compact"/>
              <w:spacing w:before="20" w:after="20"/>
              <w:jc w:val="left"/>
            </w:pPr>
            <w:r>
              <w:rPr>
                <w:sz w:val="19"/>
              </w:rPr>
              <w:t xml:space="preserve">Erasable Programmable Read-Only Memory: non-volatile memory that can be erased by</w:t>
            </w:r>
            <w:r>
              <w:rPr>
                <w:sz w:val="19"/>
              </w:rPr>
              <w:t xml:space="preserve"> </w:t>
            </w:r>
            <w:r>
              <w:rPr>
                <w:b/>
                <w:bCs/>
                <w:sz w:val="19"/>
              </w:rPr>
              <w:t xml:space="preserve">ultraviolet light</w:t>
            </w:r>
            <w:r>
              <w:rPr>
                <w:sz w:val="19"/>
              </w:rPr>
              <w:t xml:space="preserve"> </w:t>
            </w:r>
            <w:r>
              <w:rPr>
                <w:sz w:val="19"/>
              </w:rPr>
              <w:t xml:space="preserve">through a window on the chip and then reprogrammed. Used for firmware during development.</w:t>
            </w:r>
          </w:p>
        </w:tc>
      </w:tr>
      <w:tr>
        <w:tc>
          <w:tcPr/>
          <w:p>
            <w:pPr>
              <w:pStyle w:val="Compact"/>
              <w:spacing w:before="20" w:after="20"/>
              <w:jc w:val="left"/>
            </w:pPr>
            <w:r>
              <w:rPr>
                <w:b/>
                <w:bCs/>
                <w:sz w:val="19"/>
              </w:rPr>
              <w:t xml:space="preserve">Primary memory</w:t>
            </w:r>
          </w:p>
        </w:tc>
        <w:tc>
          <w:tcPr/>
          <w:p>
            <w:pPr>
              <w:pStyle w:val="Compact"/>
              <w:spacing w:before="20" w:after="20"/>
              <w:jc w:val="left"/>
            </w:pPr>
            <w:r>
              <w:rPr>
                <w:sz w:val="19"/>
              </w:rPr>
              <w:t xml:space="preserve">The main memory the CPU accesses directly (RAM, ROM and cache), holding the programs and data in use; fast but limited in size.</w:t>
            </w:r>
          </w:p>
        </w:tc>
      </w:tr>
      <w:tr>
        <w:tc>
          <w:tcPr/>
          <w:p>
            <w:pPr>
              <w:pStyle w:val="Compact"/>
              <w:spacing w:before="20" w:after="20"/>
              <w:jc w:val="left"/>
            </w:pPr>
            <w:r>
              <w:rPr>
                <w:b/>
                <w:bCs/>
                <w:sz w:val="19"/>
              </w:rPr>
              <w:t xml:space="preserve">Register</w:t>
            </w:r>
          </w:p>
        </w:tc>
        <w:tc>
          <w:tcPr/>
          <w:p>
            <w:pPr>
              <w:pStyle w:val="Compact"/>
              <w:spacing w:before="20" w:after="20"/>
              <w:jc w:val="left"/>
            </w:pPr>
            <w:r>
              <w:rPr>
                <w:sz w:val="19"/>
              </w:rPr>
              <w:t xml:space="preserve">A very small, very fast storage location</w:t>
            </w:r>
            <w:r>
              <w:rPr>
                <w:sz w:val="19"/>
              </w:rPr>
              <w:t xml:space="preserve"> </w:t>
            </w:r>
            <w:r>
              <w:rPr>
                <w:b/>
                <w:bCs/>
                <w:sz w:val="19"/>
              </w:rPr>
              <w:t xml:space="preserve">inside the CPU</w:t>
            </w:r>
            <w:r>
              <w:rPr>
                <w:sz w:val="19"/>
              </w:rPr>
              <w:t xml:space="preserve"> </w:t>
            </w:r>
            <w:r>
              <w:rPr>
                <w:sz w:val="19"/>
              </w:rPr>
              <w:t xml:space="preserve">that holds the current instruction, data or address, e.g. the program counter and accumulator.</w:t>
            </w:r>
          </w:p>
        </w:tc>
      </w:tr>
      <w:tr>
        <w:tc>
          <w:tcPr/>
          <w:p>
            <w:pPr>
              <w:pStyle w:val="Compact"/>
              <w:spacing w:before="20" w:after="20"/>
              <w:jc w:val="left"/>
            </w:pPr>
            <w:r>
              <w:rPr>
                <w:b/>
                <w:bCs/>
                <w:sz w:val="19"/>
              </w:rPr>
              <w:t xml:space="preserve">Virtual memory</w:t>
            </w:r>
          </w:p>
        </w:tc>
        <w:tc>
          <w:tcPr/>
          <w:p>
            <w:pPr>
              <w:pStyle w:val="Compact"/>
              <w:spacing w:before="20" w:after="20"/>
              <w:jc w:val="left"/>
            </w:pPr>
            <w:r>
              <w:rPr>
                <w:sz w:val="19"/>
              </w:rPr>
              <w:t xml:space="preserve">A technique where the OS uses part of the</w:t>
            </w:r>
            <w:r>
              <w:rPr>
                <w:sz w:val="19"/>
              </w:rPr>
              <w:t xml:space="preserve"> </w:t>
            </w:r>
            <w:r>
              <w:rPr>
                <w:b/>
                <w:bCs/>
                <w:sz w:val="19"/>
              </w:rPr>
              <w:t xml:space="preserve">hard disk as an extension of RAM</w:t>
            </w:r>
            <w:r>
              <w:rPr>
                <w:sz w:val="19"/>
              </w:rPr>
              <w:t xml:space="preserve">, swapping pages in and out, so programs larger than physical RAM can run (more slowly).</w:t>
            </w:r>
          </w:p>
        </w:tc>
      </w:tr>
    </w:tbl>
    <w:p>
      <w:pPr>
        <w:pStyle w:val="Heading2"/>
        <w:pBdr>
          <w:left w:val="single" w:sz="24" w:space="6" w:color="2E7D32"/>
        </w:pBdr>
      </w:pPr>
      <w:bookmarkStart w:id="110" w:name="tab_q2_2"/>
      <w:r>
        <w:rPr>
          <w:color w:val="2E7D32"/>
        </w:rPr>
        <w:t xml:space="preserve">2(ii) Operating system: definition and five functions [10]</w:t>
      </w:r>
      <w:bookmarkEnd w:id="110"/>
    </w:p>
    <w:p>
      <w:pPr>
        <w:pStyle w:val="FirstParagraph"/>
      </w:pPr>
      <w:r>
        <w:rPr>
          <w:b/>
          <w:bCs/>
        </w:rPr>
        <w:t xml:space="preserve">Definition [2]:</w:t>
      </w:r>
      <w:r>
        <w:t xml:space="preserve"> </w:t>
      </w:r>
      <w:r>
        <w:t xml:space="preserve">the operating system is the system software that manages the computer’s hardware and software resources, provides services to programs, and acts as the interface between the user and the hardware. Examples: Windows, Linux.</w:t>
      </w:r>
    </w:p>
    <w:p>
      <w:pPr>
        <w:pStyle w:val="BodyText"/>
      </w:pPr>
      <w:r>
        <w:rPr>
          <w:b/>
          <w:bCs/>
        </w:rPr>
        <w:t xml:space="preserve">Five functions [8]:</w:t>
      </w:r>
      <w:r>
        <w:t xml:space="preserve"> </w:t>
      </w:r>
      <w:r>
        <w:rPr>
          <w:b/>
          <w:bCs/>
        </w:rPr>
        <w:t xml:space="preserve">process management</w:t>
      </w:r>
      <w:r>
        <w:t xml:space="preserve"> </w:t>
      </w:r>
      <w:r>
        <w:t xml:space="preserve">(scheduling programs on the CPU);</w:t>
      </w:r>
      <w:r>
        <w:t xml:space="preserve"> </w:t>
      </w:r>
      <w:r>
        <w:rPr>
          <w:b/>
          <w:bCs/>
        </w:rPr>
        <w:t xml:space="preserve">memory management</w:t>
      </w:r>
      <w:r>
        <w:t xml:space="preserve"> </w:t>
      </w:r>
      <w:r>
        <w:t xml:space="preserve">(allocating RAM, virtual memory);</w:t>
      </w:r>
      <w:r>
        <w:t xml:space="preserve"> </w:t>
      </w:r>
      <w:r>
        <w:rPr>
          <w:b/>
          <w:bCs/>
        </w:rPr>
        <w:t xml:space="preserve">file management</w:t>
      </w:r>
      <w:r>
        <w:t xml:space="preserve"> </w:t>
      </w:r>
      <w:r>
        <w:t xml:space="preserve">(organising and protecting files);</w:t>
      </w:r>
      <w:r>
        <w:t xml:space="preserve"> </w:t>
      </w:r>
      <w:r>
        <w:rPr>
          <w:b/>
          <w:bCs/>
        </w:rPr>
        <w:t xml:space="preserve">device management</w:t>
      </w:r>
      <w:r>
        <w:t xml:space="preserve"> </w:t>
      </w:r>
      <w:r>
        <w:t xml:space="preserve">(drivers, spooling to printers);</w:t>
      </w:r>
      <w:r>
        <w:t xml:space="preserve"> </w:t>
      </w:r>
      <w:r>
        <w:rPr>
          <w:b/>
          <w:bCs/>
        </w:rPr>
        <w:t xml:space="preserve">security</w:t>
      </w:r>
      <w:r>
        <w:t xml:space="preserve"> </w:t>
      </w:r>
      <w:r>
        <w:t xml:space="preserve">(log-ins, permissions);</w:t>
      </w:r>
      <w:r>
        <w:t xml:space="preserve"> </w:t>
      </w:r>
      <w:r>
        <w:rPr>
          <w:b/>
          <w:bCs/>
        </w:rPr>
        <w:t xml:space="preserve">user interface</w:t>
      </w:r>
      <w:r>
        <w:t xml:space="preserve"> </w:t>
      </w:r>
      <w:r>
        <w:t xml:space="preserve">(GUI or command line). Name and explain any five.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1176"/>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1176"/>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1176"/>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1176"/>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1176"/>
            <w:shd w:val="clear" w:color="auto" w:fill="C55A11"/>
          </w:tcPr>
          <w:p>
            <w:pPr>
              <w:spacing w:before="0" w:after="0"/>
              <w:jc w:val="center"/>
            </w:pPr>
            <w:hyperlink w:anchor="tab_q3" w:history="1">
              <w:r>
                <w:rPr>
                  <w:rFonts w:ascii="Calibri" w:hAnsi="Calibri" w:cs="Calibri"/>
                  <w:b/>
                  <w:color w:val="FFFFFF"/>
                  <w:sz w:val="18"/>
                  <w:u w:val="none"/>
                </w:rPr>
                <w:t xml:space="preserve">Q3</w:t>
              </w:r>
            </w:hyperlink>
          </w:p>
        </w:tc>
        <w:tc>
          <w:tcPr>
            <w:tcW w:type="dxa" w:w="1176"/>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1176"/>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C55A11"/>
          <w:left w:val="single" w:sz="4" w:space="4" w:color="C55A11"/>
          <w:bottom w:val="single" w:sz="4" w:space="4" w:color="C55A11"/>
          <w:right w:val="single" w:sz="4" w:space="4" w:color="C55A11"/>
        </w:pBdr>
        <w:shd w:val="clear" w:color="auto" w:fill="C55A11"/>
        <w:spacing w:before="160"/>
      </w:pPr>
      <w:bookmarkStart w:id="111" w:name="tab_q3"/>
      <w:r>
        <w:rPr>
          <w:color w:val="FFFFFF"/>
        </w:rPr>
        <w:t xml:space="preserve">Question 3 [20]</w:t>
      </w:r>
      <w:bookmarkEnd w:id="111"/>
    </w:p>
    <w:p>
      <w:pPr>
        <w:pStyle w:val="Heading2"/>
        <w:pBdr>
          <w:left w:val="single" w:sz="24" w:space="6" w:color="C55A11"/>
        </w:pBdr>
      </w:pPr>
      <w:bookmarkStart w:id="112" w:name="tab_q3_1"/>
      <w:r>
        <w:rPr>
          <w:color w:val="C55A11"/>
        </w:rPr>
        <w:t xml:space="preserve">3(i) Advantages of high-level languages over low-level languages [5]</w:t>
      </w:r>
      <w:bookmarkEnd w:id="112"/>
    </w:p>
    <w:p>
      <w:pPr>
        <w:pStyle w:val="FirstParagraph"/>
      </w:pPr>
      <w:r>
        <w:rPr>
          <w:b/>
          <w:bCs/>
        </w:rPr>
        <w:t xml:space="preserve">Like you’re 3:</w:t>
      </w:r>
      <w:r>
        <w:t xml:space="preserve"> </w:t>
      </w:r>
      <w:r>
        <w:t xml:space="preserve">a high-level language lets you talk to the computer in near-English (</w:t>
      </w:r>
      <w:r>
        <w:t xml:space="preserve">“</w:t>
      </w:r>
      <w:r>
        <w:t xml:space="preserve">add the tax to the price</w:t>
      </w:r>
      <w:r>
        <w:t xml:space="preserve">”</w:t>
      </w:r>
      <w:r>
        <w:t xml:space="preserve">), instead of in its own baby-talk of 0s and 1s.</w:t>
      </w:r>
    </w:p>
    <w:p>
      <w:pPr>
        <w:pStyle w:val="BodyText"/>
      </w:pPr>
      <w:r>
        <w:t xml:space="preserve">Any five, 1 each:</w:t>
      </w:r>
    </w:p>
    <w:p>
      <w:pPr>
        <w:pStyle w:val="Compact"/>
        <w:numPr>
          <w:ilvl w:val="0"/>
          <w:numId w:val="1004"/>
        </w:numPr>
      </w:pPr>
      <w:r>
        <w:rPr>
          <w:b/>
          <w:bCs/>
        </w:rPr>
        <w:t xml:space="preserve">Easier to learn, read and write</w:t>
      </w:r>
      <w:r>
        <w:t xml:space="preserve"> </w:t>
      </w:r>
      <w:r>
        <w:t xml:space="preserve">— English-like words and maths symbols (</w:t>
      </w:r>
      <w:r>
        <w:rPr>
          <w:rStyle w:val="VerbatimChar"/>
        </w:rPr>
        <w:t xml:space="preserve">if</w:t>
      </w:r>
      <w:r>
        <w:t xml:space="preserve">,</w:t>
      </w:r>
      <w:r>
        <w:t xml:space="preserve"> </w:t>
      </w:r>
      <w:r>
        <w:rPr>
          <w:rStyle w:val="VerbatimChar"/>
        </w:rPr>
        <w:t xml:space="preserve">while</w:t>
      </w:r>
      <w:r>
        <w:t xml:space="preserve">,</w:t>
      </w:r>
      <w:r>
        <w:t xml:space="preserve"> </w:t>
      </w:r>
      <w:r>
        <w:rPr>
          <w:rStyle w:val="VerbatimChar"/>
        </w:rPr>
        <w:t xml:space="preserve">total = a + b</w:t>
      </w:r>
      <w:r>
        <w:t xml:space="preserve">).</w:t>
      </w:r>
    </w:p>
    <w:p>
      <w:pPr>
        <w:pStyle w:val="Compact"/>
        <w:numPr>
          <w:ilvl w:val="0"/>
          <w:numId w:val="1004"/>
        </w:numPr>
      </w:pPr>
      <w:r>
        <w:rPr>
          <w:b/>
          <w:bCs/>
        </w:rPr>
        <w:t xml:space="preserve">Faster to develop</w:t>
      </w:r>
      <w:r>
        <w:t xml:space="preserve"> </w:t>
      </w:r>
      <w:r>
        <w:t xml:space="preserve">— one statement replaces many machine instructions.</w:t>
      </w:r>
    </w:p>
    <w:p>
      <w:pPr>
        <w:pStyle w:val="Compact"/>
        <w:numPr>
          <w:ilvl w:val="0"/>
          <w:numId w:val="1004"/>
        </w:numPr>
      </w:pPr>
      <w:r>
        <w:rPr>
          <w:b/>
          <w:bCs/>
        </w:rPr>
        <w:t xml:space="preserve">Portable</w:t>
      </w:r>
      <w:r>
        <w:t xml:space="preserve"> </w:t>
      </w:r>
      <w:r>
        <w:t xml:space="preserve">— the same source code can be compiled for different CPUs; machine code is tied to one CPU family.</w:t>
      </w:r>
    </w:p>
    <w:p>
      <w:pPr>
        <w:pStyle w:val="Compact"/>
        <w:numPr>
          <w:ilvl w:val="0"/>
          <w:numId w:val="1004"/>
        </w:numPr>
      </w:pPr>
      <w:r>
        <w:rPr>
          <w:b/>
          <w:bCs/>
        </w:rPr>
        <w:t xml:space="preserve">Easier to debug and maintain</w:t>
      </w:r>
      <w:r>
        <w:t xml:space="preserve"> </w:t>
      </w:r>
      <w:r>
        <w:t xml:space="preserve">— meaningful names, comments and structure; compilers report errors with line numbers.</w:t>
      </w:r>
    </w:p>
    <w:p>
      <w:pPr>
        <w:pStyle w:val="Compact"/>
        <w:numPr>
          <w:ilvl w:val="0"/>
          <w:numId w:val="1004"/>
        </w:numPr>
      </w:pPr>
      <w:r>
        <w:rPr>
          <w:b/>
          <w:bCs/>
        </w:rPr>
        <w:t xml:space="preserve">Problem-oriented</w:t>
      </w:r>
      <w:r>
        <w:t xml:space="preserve"> </w:t>
      </w:r>
      <w:r>
        <w:t xml:space="preserve">— the programmer thinks about the engineering problem, not registers and memory addresses.</w:t>
      </w:r>
    </w:p>
    <w:p>
      <w:pPr>
        <w:pStyle w:val="Compact"/>
        <w:numPr>
          <w:ilvl w:val="0"/>
          <w:numId w:val="1004"/>
        </w:numPr>
      </w:pPr>
      <w:r>
        <w:rPr>
          <w:b/>
          <w:bCs/>
        </w:rPr>
        <w:t xml:space="preserve">Rich libraries</w:t>
      </w:r>
      <w:r>
        <w:t xml:space="preserve"> </w:t>
      </w:r>
      <w:r>
        <w:t xml:space="preserve">— ready-made functions for maths, files and graphics.</w:t>
      </w:r>
    </w:p>
    <w:p>
      <w:pPr>
        <w:pStyle w:val="Heading2"/>
        <w:pBdr>
          <w:left w:val="single" w:sz="24" w:space="6" w:color="C55A11"/>
        </w:pBdr>
      </w:pPr>
      <w:bookmarkStart w:id="113" w:name="tab_q3_2"/>
      <w:r>
        <w:rPr>
          <w:color w:val="C55A11"/>
        </w:rPr>
        <w:t xml:space="preserve">3(ii) Compare first- and fourth-generation computers [15]</w:t>
      </w:r>
      <w:bookmarkEnd w:id="113"/>
    </w:p>
    <w:p>
      <w:pPr>
        <w:pStyle w:val="FirstParagraph"/>
      </w:pPr>
      <w:r>
        <w:rPr>
          <w:b/>
          <w:bCs/>
        </w:rPr>
        <w:t xml:space="preserve">Like you’re 3:</w:t>
      </w:r>
      <w:r>
        <w:t xml:space="preserve"> </w:t>
      </w:r>
      <w:r>
        <w:t xml:space="preserve">a first-generation computer was a room-sized giant made of hot glass tubes; a fourth-generation computer is a laptop or phone built around one tiny chip.</w:t>
      </w:r>
    </w:p>
    <w:p>
      <w:pPr>
        <w:pStyle w:val="BodyText"/>
      </w:pPr>
      <w:r>
        <w:t xml:space="preserve">3 marks per heading: one fact for each generation plus the comparison.</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Heading</w:t>
            </w:r>
          </w:p>
        </w:tc>
        <w:tc>
          <w:tcPr>
            <w:shd w:val="clear" w:color="auto" w:fill="DCE6F4"/>
          </w:tcPr>
          <w:p>
            <w:pPr>
              <w:pStyle w:val="Compact"/>
              <w:spacing w:before="20" w:after="20"/>
              <w:jc w:val="left"/>
            </w:pPr>
            <w:r>
              <w:rPr>
                <w:b/>
                <w:color w:val="1F3864"/>
                <w:sz w:val="19"/>
              </w:rPr>
              <w:t xml:space="preserve">1st generation (about 1940–1956)</w:t>
            </w:r>
          </w:p>
        </w:tc>
        <w:tc>
          <w:tcPr>
            <w:shd w:val="clear" w:color="auto" w:fill="DCE6F4"/>
          </w:tcPr>
          <w:p>
            <w:pPr>
              <w:pStyle w:val="Compact"/>
              <w:spacing w:before="20" w:after="20"/>
              <w:jc w:val="left"/>
            </w:pPr>
            <w:r>
              <w:rPr>
                <w:b/>
                <w:color w:val="1F3864"/>
                <w:sz w:val="19"/>
              </w:rPr>
              <w:t xml:space="preserve">4th generation (1971 onwards)</w:t>
            </w:r>
          </w:p>
        </w:tc>
      </w:tr>
      <w:tr>
        <w:tc>
          <w:tcPr/>
          <w:p>
            <w:pPr>
              <w:pStyle w:val="Compact"/>
              <w:spacing w:before="20" w:after="20"/>
              <w:jc w:val="left"/>
            </w:pPr>
            <w:r>
              <w:rPr>
                <w:b/>
                <w:bCs/>
                <w:sz w:val="19"/>
              </w:rPr>
              <w:t xml:space="preserve">(a) Storage devices</w:t>
            </w:r>
          </w:p>
        </w:tc>
        <w:tc>
          <w:tcPr/>
          <w:p>
            <w:pPr>
              <w:pStyle w:val="Compact"/>
              <w:spacing w:before="20" w:after="20"/>
              <w:jc w:val="left"/>
            </w:pPr>
            <w:r>
              <w:rPr>
                <w:sz w:val="19"/>
              </w:rPr>
              <w:t xml:space="preserve">Magnetic drums, mercury delay lines, early magnetic-core memory; punched cards and paper tape for bulk data</w:t>
            </w:r>
          </w:p>
        </w:tc>
        <w:tc>
          <w:tcPr/>
          <w:p>
            <w:pPr>
              <w:pStyle w:val="Compact"/>
              <w:spacing w:before="20" w:after="20"/>
              <w:jc w:val="left"/>
            </w:pPr>
            <w:r>
              <w:rPr>
                <w:sz w:val="19"/>
              </w:rPr>
              <w:t xml:space="preserve">Semiconductor RAM in gigabytes; hard disks, SSDs, flash drives, optical discs, cloud storage</w:t>
            </w:r>
          </w:p>
        </w:tc>
      </w:tr>
      <w:tr>
        <w:tc>
          <w:tcPr/>
          <w:p>
            <w:pPr>
              <w:pStyle w:val="Compact"/>
              <w:spacing w:before="20" w:after="20"/>
              <w:jc w:val="left"/>
            </w:pPr>
            <w:r>
              <w:rPr>
                <w:b/>
                <w:bCs/>
                <w:sz w:val="19"/>
              </w:rPr>
              <w:t xml:space="preserve">(b) Hardware components</w:t>
            </w:r>
          </w:p>
        </w:tc>
        <w:tc>
          <w:tcPr/>
          <w:p>
            <w:pPr>
              <w:pStyle w:val="Compact"/>
              <w:spacing w:before="20" w:after="20"/>
              <w:jc w:val="left"/>
            </w:pPr>
            <w:r>
              <w:rPr>
                <w:sz w:val="19"/>
              </w:rPr>
              <w:t xml:space="preserve">Thousands of</w:t>
            </w:r>
            <w:r>
              <w:rPr>
                <w:sz w:val="19"/>
              </w:rPr>
              <w:t xml:space="preserve"> </w:t>
            </w:r>
            <w:r>
              <w:rPr>
                <w:b/>
                <w:bCs/>
                <w:sz w:val="19"/>
              </w:rPr>
              <w:t xml:space="preserve">vacuum tubes</w:t>
            </w:r>
            <w:r>
              <w:rPr>
                <w:sz w:val="19"/>
              </w:rPr>
              <w:t xml:space="preserve">; filled whole rooms; huge power use and heat</w:t>
            </w:r>
          </w:p>
        </w:tc>
        <w:tc>
          <w:tcPr/>
          <w:p>
            <w:pPr>
              <w:pStyle w:val="Compact"/>
              <w:spacing w:before="20" w:after="20"/>
              <w:jc w:val="left"/>
            </w:pPr>
            <w:r>
              <w:rPr>
                <w:b/>
                <w:bCs/>
                <w:sz w:val="19"/>
              </w:rPr>
              <w:t xml:space="preserve">Microprocessor</w:t>
            </w:r>
            <w:r>
              <w:rPr>
                <w:sz w:val="19"/>
              </w:rPr>
              <w:t xml:space="preserve">: VLSI chips with millions to billions of transistors; desktop, laptop and handheld size</w:t>
            </w:r>
          </w:p>
        </w:tc>
      </w:tr>
      <w:tr>
        <w:tc>
          <w:tcPr/>
          <w:p>
            <w:pPr>
              <w:pStyle w:val="Compact"/>
              <w:spacing w:before="20" w:after="20"/>
              <w:jc w:val="left"/>
            </w:pPr>
            <w:r>
              <w:rPr>
                <w:b/>
                <w:bCs/>
                <w:sz w:val="19"/>
              </w:rPr>
              <w:t xml:space="preserve">(c) I/O devices</w:t>
            </w:r>
          </w:p>
        </w:tc>
        <w:tc>
          <w:tcPr/>
          <w:p>
            <w:pPr>
              <w:pStyle w:val="Compact"/>
              <w:spacing w:before="20" w:after="20"/>
              <w:jc w:val="left"/>
            </w:pPr>
            <w:r>
              <w:rPr>
                <w:sz w:val="19"/>
              </w:rPr>
              <w:t xml:space="preserve">Punched-card readers, paper tape, switches, teleprinter printouts</w:t>
            </w:r>
          </w:p>
        </w:tc>
        <w:tc>
          <w:tcPr/>
          <w:p>
            <w:pPr>
              <w:pStyle w:val="Compact"/>
              <w:spacing w:before="20" w:after="20"/>
              <w:jc w:val="left"/>
            </w:pPr>
            <w:r>
              <w:rPr>
                <w:sz w:val="19"/>
              </w:rPr>
              <w:t xml:space="preserve">Keyboard, mouse, touchscreen, scanner, high-resolution monitor, laser and inkjet printers</w:t>
            </w:r>
          </w:p>
        </w:tc>
      </w:tr>
      <w:tr>
        <w:tc>
          <w:tcPr/>
          <w:p>
            <w:pPr>
              <w:pStyle w:val="Compact"/>
              <w:spacing w:before="20" w:after="20"/>
              <w:jc w:val="left"/>
            </w:pPr>
            <w:r>
              <w:rPr>
                <w:b/>
                <w:bCs/>
                <w:sz w:val="19"/>
              </w:rPr>
              <w:t xml:space="preserve">(d) Programming languages</w:t>
            </w:r>
          </w:p>
        </w:tc>
        <w:tc>
          <w:tcPr/>
          <w:p>
            <w:pPr>
              <w:pStyle w:val="Compact"/>
              <w:spacing w:before="20" w:after="20"/>
              <w:jc w:val="left"/>
            </w:pPr>
            <w:r>
              <w:rPr>
                <w:sz w:val="19"/>
              </w:rPr>
              <w:t xml:space="preserve">Machine language (binary) and early assembly</w:t>
            </w:r>
          </w:p>
        </w:tc>
        <w:tc>
          <w:tcPr/>
          <w:p>
            <w:pPr>
              <w:pStyle w:val="Compact"/>
              <w:spacing w:before="20" w:after="20"/>
              <w:jc w:val="left"/>
            </w:pPr>
            <w:r>
              <w:rPr>
                <w:sz w:val="19"/>
              </w:rPr>
              <w:t xml:space="preserve">High-level languages (C, C++, Java, Python), 4GLs such as SQL, and GUIs</w:t>
            </w:r>
          </w:p>
        </w:tc>
      </w:tr>
      <w:tr>
        <w:tc>
          <w:tcPr/>
          <w:p>
            <w:pPr>
              <w:pStyle w:val="Compact"/>
              <w:spacing w:before="20" w:after="20"/>
              <w:jc w:val="left"/>
            </w:pPr>
            <w:r>
              <w:rPr>
                <w:b/>
                <w:bCs/>
                <w:sz w:val="19"/>
              </w:rPr>
              <w:t xml:space="preserve">(e) Efficiency</w:t>
            </w:r>
          </w:p>
        </w:tc>
        <w:tc>
          <w:tcPr/>
          <w:p>
            <w:pPr>
              <w:pStyle w:val="Compact"/>
              <w:spacing w:before="20" w:after="20"/>
              <w:jc w:val="left"/>
            </w:pPr>
            <w:r>
              <w:rPr>
                <w:sz w:val="19"/>
              </w:rPr>
              <w:t xml:space="preserve">Slow (thousands of operations per second), unreliable (tubes burned out), very expensive</w:t>
            </w:r>
          </w:p>
        </w:tc>
        <w:tc>
          <w:tcPr/>
          <w:p>
            <w:pPr>
              <w:pStyle w:val="Compact"/>
              <w:spacing w:before="20" w:after="20"/>
              <w:jc w:val="left"/>
            </w:pPr>
            <w:r>
              <w:rPr>
                <w:sz w:val="19"/>
              </w:rPr>
              <w:t xml:space="preserve">Billions of operations per second, very reliable, cheap and energy-efficient</w:t>
            </w:r>
          </w:p>
        </w:tc>
      </w:tr>
    </w:tbl>
    <w:p>
      <w:pPr>
        <w:pStyle w:val="BodyText"/>
      </w:pPr>
      <w:r>
        <w:t xml:space="preserve">A good first-generation example is MIT’s</w:t>
      </w:r>
      <w:r>
        <w:t xml:space="preserve"> </w:t>
      </w:r>
      <w:r>
        <w:rPr>
          <w:b/>
          <w:bCs/>
        </w:rPr>
        <w:t xml:space="preserve">Whirlwind</w:t>
      </w:r>
      <w:r>
        <w:t xml:space="preserve">, a vacuum-tube machine that introduced reliable random-access magnetic-core memory (</w:t>
      </w:r>
      <w:hyperlink r:id="rId23">
        <w:r>
          <w:rPr>
            <w:rStyle w:val="Hyperlink"/>
          </w:rPr>
          <w:t xml:space="preserve">MIT-3</w:t>
        </w:r>
      </w:hyperlink>
      <w:r>
        <w:t xml:space="preserve">); a typical fourth-generation example is any PC built around an Intel or AMD microprocessor.</w:t>
      </w:r>
    </w:p>
    <w:p>
      <w:pPr>
        <w:pStyle w:val="BodyText"/>
      </w:pPr>
      <w:r>
        <w:rPr>
          <w:b/>
          <w:bCs/>
        </w:rPr>
        <w:t xml:space="preserve">Examiner’s tip:</w:t>
      </w:r>
      <w:r>
        <w:t xml:space="preserve"> </w:t>
      </w:r>
      <w:r>
        <w:t xml:space="preserve">keep each comparison on the</w:t>
      </w:r>
      <w:r>
        <w:t xml:space="preserve"> </w:t>
      </w:r>
      <w:r>
        <w:rPr>
          <w:b/>
          <w:bCs/>
        </w:rPr>
        <w:t xml:space="preserve">same line</w:t>
      </w:r>
      <w:r>
        <w:t xml:space="preserve"> </w:t>
      </w:r>
      <w:r>
        <w:t xml:space="preserve">for both generations (a table does this); examiners can then tick the comparison, not just the facts.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1176"/>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1176"/>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1176"/>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1176"/>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1176"/>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1176"/>
            <w:shd w:val="clear" w:color="auto" w:fill="455A64"/>
          </w:tcPr>
          <w:p>
            <w:pPr>
              <w:spacing w:before="0" w:after="0"/>
              <w:jc w:val="center"/>
            </w:pPr>
            <w:hyperlink w:anchor="tab_refs" w:history="1">
              <w:r>
                <w:rPr>
                  <w:rFonts w:ascii="Calibri" w:hAnsi="Calibri" w:cs="Calibri"/>
                  <w:b/>
                  <w:color w:val="FFFFFF"/>
                  <w:sz w:val="18"/>
                  <w:u w:val="none"/>
                </w:rPr>
                <w:t xml:space="preserve">Refs</w:t>
              </w:r>
            </w:hyperlink>
          </w:p>
        </w:tc>
        <w:tc>
          <w:tcPr>
            <w:tcW w:type="dxa" w:w="1176"/>
            <w:shd w:val="clear" w:color="auto" w:fill="E5E0DF"/>
          </w:tcPr>
          <w:p>
            <w:pPr>
              <w:spacing w:before="0" w:after="0"/>
              <w:jc w:val="center"/>
            </w:pPr>
            <w:hyperlink w:anchor="tab_links" w:history="1">
              <w:r>
                <w:rPr>
                  <w:rFonts w:ascii="Calibri" w:hAnsi="Calibri" w:cs="Calibri"/>
                  <w:b/>
                  <w:color w:val="5D4037"/>
                  <w:sz w:val="18"/>
                  <w:u w:val="none"/>
                </w:rPr>
                <w:t xml:space="preserve">Links</w:t>
              </w:r>
            </w:hyperlink>
          </w:p>
        </w:tc>
      </w:tr>
    </w:tbl>
    <w:p>
      <w:pPr>
        <w:pStyle w:val="Heading1"/>
        <w:pageBreakBefore w:val="0"/>
        <w:pBdr>
          <w:top w:val="single" w:sz="4" w:space="4" w:color="455A64"/>
          <w:left w:val="single" w:sz="4" w:space="4" w:color="455A64"/>
          <w:bottom w:val="single" w:sz="4" w:space="4" w:color="455A64"/>
          <w:right w:val="single" w:sz="4" w:space="4" w:color="455A64"/>
        </w:pBdr>
        <w:shd w:val="clear" w:color="auto" w:fill="455A64"/>
        <w:spacing w:before="160"/>
      </w:pPr>
      <w:bookmarkStart w:id="114" w:name="tab_refs"/>
      <w:r>
        <w:rPr>
          <w:color w:val="FFFFFF"/>
        </w:rPr>
        <w:t xml:space="preserve">Sources for this book</w:t>
      </w:r>
      <w:bookmarkEnd w:id="114"/>
    </w:p>
    <w:p>
      <w:pPr>
        <w:pStyle w:val="Compact"/>
        <w:numPr>
          <w:ilvl w:val="0"/>
          <w:numId w:val="1005"/>
        </w:numPr>
      </w:pPr>
      <w:r>
        <w:t xml:space="preserve">[MIT-3] Whirlwind Computer, 1944–59 (IEEE Milestone) — first-generation example (Q3).</w:t>
      </w:r>
    </w:p>
    <w:p>
      <w:pPr>
        <w:pStyle w:val="Compact"/>
        <w:numPr>
          <w:ilvl w:val="0"/>
          <w:numId w:val="1005"/>
        </w:numPr>
      </w:pPr>
      <w:r>
        <w:t xml:space="preserve">[NUST-1] SCS 1101 course outline.</w:t>
      </w:r>
    </w:p>
    <w:p>
      <w:pPr>
        <w:pStyle w:val="Compact"/>
        <w:numPr>
          <w:ilvl w:val="0"/>
          <w:numId w:val="1005"/>
        </w:numPr>
      </w:pPr>
      <w:r>
        <w:t xml:space="preserve">Textbook knowledge (tier 4): printer technology, memory types, virtual memory, OS functions, language levels and computer generations. Printer speeds are approximate ranges.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FE1E2"/>
          </w:tcPr>
          <w:p>
            <w:pPr>
              <w:spacing w:before="0" w:after="0"/>
              <w:jc w:val="center"/>
            </w:pPr>
            <w:hyperlink w:anchor="tab_index" w:history="1">
              <w:r>
                <w:rPr>
                  <w:rFonts w:ascii="Calibri" w:hAnsi="Calibri" w:cs="Calibri"/>
                  <w:b/>
                  <w:color w:val="37474F"/>
                  <w:sz w:val="18"/>
                  <w:u w:val="none"/>
                </w:rPr>
                <w:t xml:space="preserve">Index</w:t>
              </w:r>
            </w:hyperlink>
          </w:p>
        </w:tc>
        <w:tc>
          <w:tcPr>
            <w:tcW w:type="dxa" w:w="1176"/>
            <w:shd w:val="clear" w:color="auto" w:fill="DBDFE6"/>
          </w:tcPr>
          <w:p>
            <w:pPr>
              <w:spacing w:before="0" w:after="0"/>
              <w:jc w:val="center"/>
            </w:pPr>
            <w:hyperlink w:anchor="tab_guide" w:history="1">
              <w:r>
                <w:rPr>
                  <w:rFonts w:ascii="Calibri" w:hAnsi="Calibri" w:cs="Calibri"/>
                  <w:b/>
                  <w:color w:val="1F3864"/>
                  <w:sz w:val="18"/>
                  <w:u w:val="none"/>
                </w:rPr>
                <w:t xml:space="preserve">Guide</w:t>
              </w:r>
            </w:hyperlink>
          </w:p>
        </w:tc>
        <w:tc>
          <w:tcPr>
            <w:tcW w:type="dxa" w:w="1176"/>
            <w:shd w:val="clear" w:color="auto" w:fill="D6E7E4"/>
          </w:tcPr>
          <w:p>
            <w:pPr>
              <w:spacing w:before="0" w:after="0"/>
              <w:jc w:val="center"/>
            </w:pPr>
            <w:hyperlink w:anchor="tab_glance" w:history="1">
              <w:r>
                <w:rPr>
                  <w:rFonts w:ascii="Calibri" w:hAnsi="Calibri" w:cs="Calibri"/>
                  <w:b/>
                  <w:color w:val="00695C"/>
                  <w:sz w:val="18"/>
                  <w:u w:val="none"/>
                </w:rPr>
                <w:t xml:space="preserve">Glance</w:t>
              </w:r>
            </w:hyperlink>
          </w:p>
        </w:tc>
        <w:tc>
          <w:tcPr>
            <w:tcW w:type="dxa" w:w="1176"/>
            <w:shd w:val="clear" w:color="auto" w:fill="D9E6F4"/>
          </w:tcPr>
          <w:p>
            <w:pPr>
              <w:spacing w:before="0" w:after="0"/>
              <w:jc w:val="center"/>
            </w:pPr>
            <w:hyperlink w:anchor="tab_q1" w:history="1">
              <w:r>
                <w:rPr>
                  <w:rFonts w:ascii="Calibri" w:hAnsi="Calibri" w:cs="Calibri"/>
                  <w:b/>
                  <w:color w:val="1565C0"/>
                  <w:sz w:val="18"/>
                  <w:u w:val="none"/>
                </w:rPr>
                <w:t xml:space="preserve">Q1</w:t>
              </w:r>
            </w:hyperlink>
          </w:p>
        </w:tc>
        <w:tc>
          <w:tcPr>
            <w:tcW w:type="dxa" w:w="1176"/>
            <w:shd w:val="clear" w:color="auto" w:fill="DDEADE"/>
          </w:tcPr>
          <w:p>
            <w:pPr>
              <w:spacing w:before="0" w:after="0"/>
              <w:jc w:val="center"/>
            </w:pPr>
            <w:hyperlink w:anchor="tab_q2" w:history="1">
              <w:r>
                <w:rPr>
                  <w:rFonts w:ascii="Calibri" w:hAnsi="Calibri" w:cs="Calibri"/>
                  <w:b/>
                  <w:color w:val="2E7D32"/>
                  <w:sz w:val="18"/>
                  <w:u w:val="none"/>
                </w:rPr>
                <w:t xml:space="preserve">Q2</w:t>
              </w:r>
            </w:hyperlink>
          </w:p>
        </w:tc>
        <w:tc>
          <w:tcPr>
            <w:tcW w:type="dxa" w:w="1176"/>
            <w:shd w:val="clear" w:color="auto" w:fill="F5E4D8"/>
          </w:tcPr>
          <w:p>
            <w:pPr>
              <w:spacing w:before="0" w:after="0"/>
              <w:jc w:val="center"/>
            </w:pPr>
            <w:hyperlink w:anchor="tab_q3" w:history="1">
              <w:r>
                <w:rPr>
                  <w:rFonts w:ascii="Calibri" w:hAnsi="Calibri" w:cs="Calibri"/>
                  <w:b/>
                  <w:color w:val="C55A11"/>
                  <w:sz w:val="18"/>
                  <w:u w:val="none"/>
                </w:rPr>
                <w:t xml:space="preserve">Q3</w:t>
              </w:r>
            </w:hyperlink>
          </w:p>
        </w:tc>
        <w:tc>
          <w:tcPr>
            <w:tcW w:type="dxa" w:w="1176"/>
            <w:shd w:val="clear" w:color="auto" w:fill="E1E4E6"/>
          </w:tcPr>
          <w:p>
            <w:pPr>
              <w:spacing w:before="0" w:after="0"/>
              <w:jc w:val="center"/>
            </w:pPr>
            <w:hyperlink w:anchor="tab_refs" w:history="1">
              <w:r>
                <w:rPr>
                  <w:rFonts w:ascii="Calibri" w:hAnsi="Calibri" w:cs="Calibri"/>
                  <w:b/>
                  <w:color w:val="455A64"/>
                  <w:sz w:val="18"/>
                  <w:u w:val="none"/>
                </w:rPr>
                <w:t xml:space="preserve">Refs</w:t>
              </w:r>
            </w:hyperlink>
          </w:p>
        </w:tc>
        <w:tc>
          <w:tcPr>
            <w:tcW w:type="dxa" w:w="1176"/>
            <w:shd w:val="clear" w:color="auto" w:fill="5D4037"/>
          </w:tcPr>
          <w:p>
            <w:pPr>
              <w:spacing w:before="0" w:after="0"/>
              <w:jc w:val="center"/>
            </w:pPr>
            <w:hyperlink w:anchor="tab_links" w:history="1">
              <w:r>
                <w:rPr>
                  <w:rFonts w:ascii="Calibri" w:hAnsi="Calibri" w:cs="Calibri"/>
                  <w:b/>
                  <w:color w:val="FFFFFF"/>
                  <w:sz w:val="18"/>
                  <w:u w:val="none"/>
                </w:rPr>
                <w:t xml:space="preserve">Links</w:t>
              </w:r>
            </w:hyperlink>
          </w:p>
        </w:tc>
      </w:tr>
    </w:tbl>
    <w:p>
      <w:pPr>
        <w:pStyle w:val="Heading1"/>
        <w:pageBreakBefore w:val="0"/>
        <w:pBdr>
          <w:top w:val="single" w:sz="4" w:space="4" w:color="5D4037"/>
          <w:left w:val="single" w:sz="4" w:space="4" w:color="5D4037"/>
          <w:bottom w:val="single" w:sz="4" w:space="4" w:color="5D4037"/>
          <w:right w:val="single" w:sz="4" w:space="4" w:color="5D4037"/>
        </w:pBdr>
        <w:shd w:val="clear" w:color="auto" w:fill="5D4037"/>
        <w:spacing w:before="160"/>
      </w:pPr>
      <w:bookmarkStart w:id="115" w:name="tab_links"/>
      <w:r>
        <w:rPr>
          <w:color w:val="FFFFFF"/>
        </w:rPr>
        <w:t xml:space="preserve">Source register</w:t>
      </w:r>
      <w:bookmarkEnd w:id="115"/>
    </w:p>
    <w:p>
      <w:pPr>
        <w:pStyle w:val="FirstParagraph"/>
      </w:pPr>
      <w:r>
        <w:t xml:space="preserve">The full register for the solution-book set. Sources marked ✓ are cited in this book; the rest (MIT, UCLA and Wits material used across the set) are further reading on the same topics.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Key</w:t>
            </w:r>
          </w:p>
        </w:tc>
        <w:tc>
          <w:tcPr>
            <w:shd w:val="clear" w:color="auto" w:fill="DCE6F4"/>
          </w:tcPr>
          <w:p>
            <w:pPr>
              <w:pStyle w:val="Compact"/>
              <w:spacing w:before="20" w:after="20"/>
              <w:jc w:val="left"/>
            </w:pPr>
            <w:r>
              <w:rPr>
                <w:b/>
                <w:color w:val="1F3864"/>
                <w:sz w:val="19"/>
              </w:rPr>
              <w:t xml:space="preserve">Source</w:t>
            </w:r>
          </w:p>
        </w:tc>
        <w:tc>
          <w:tcPr>
            <w:shd w:val="clear" w:color="auto" w:fill="DCE6F4"/>
          </w:tcPr>
          <w:p>
            <w:pPr>
              <w:pStyle w:val="Compact"/>
              <w:spacing w:before="20" w:after="20"/>
              <w:jc w:val="left"/>
            </w:pPr>
            <w:r>
              <w:rPr>
                <w:b/>
                <w:color w:val="1F3864"/>
                <w:sz w:val="19"/>
              </w:rPr>
              <w:t xml:space="preserve">Institution</w:t>
            </w:r>
          </w:p>
        </w:tc>
        <w:tc>
          <w:tcPr>
            <w:shd w:val="clear" w:color="auto" w:fill="DCE6F4"/>
          </w:tcPr>
          <w:p>
            <w:pPr>
              <w:pStyle w:val="Compact"/>
              <w:spacing w:before="20" w:after="20"/>
              <w:jc w:val="left"/>
            </w:pPr>
            <w:r>
              <w:rPr>
                <w:b/>
                <w:color w:val="1F3864"/>
                <w:sz w:val="19"/>
              </w:rPr>
              <w:t xml:space="preserve">Used for</w:t>
            </w:r>
          </w:p>
        </w:tc>
        <w:tc>
          <w:tcPr>
            <w:shd w:val="clear" w:color="auto" w:fill="DCE6F4"/>
          </w:tcPr>
          <w:p>
            <w:pPr>
              <w:pStyle w:val="Compact"/>
              <w:spacing w:before="20" w:after="20"/>
              <w:jc w:val="left"/>
            </w:pPr>
            <w:r>
              <w:rPr>
                <w:b/>
                <w:color w:val="1F3864"/>
                <w:sz w:val="19"/>
              </w:rPr>
              <w:t xml:space="preserve">In this book</w:t>
            </w:r>
          </w:p>
        </w:tc>
      </w:tr>
      <w:tr>
        <w:tc>
          <w:tcPr/>
          <w:p>
            <w:pPr>
              <w:pStyle w:val="Compact"/>
              <w:spacing w:before="20" w:after="20"/>
              <w:jc w:val="left"/>
            </w:pPr>
            <w:r>
              <w:rPr>
                <w:sz w:val="19"/>
              </w:rPr>
              <w:t xml:space="preserve">NUST-1</w:t>
            </w:r>
          </w:p>
        </w:tc>
        <w:tc>
          <w:tcPr/>
          <w:p>
            <w:pPr>
              <w:pStyle w:val="Compact"/>
              <w:spacing w:before="20" w:after="20"/>
              <w:jc w:val="left"/>
            </w:pPr>
            <w:r>
              <w:rPr>
                <w:sz w:val="19"/>
              </w:rPr>
              <w:t xml:space="preserve">SCS 1101 course outline (uploaded)</w:t>
            </w:r>
          </w:p>
        </w:tc>
        <w:tc>
          <w:tcPr/>
          <w:p>
            <w:pPr>
              <w:pStyle w:val="Compact"/>
              <w:spacing w:before="20" w:after="20"/>
              <w:jc w:val="left"/>
            </w:pPr>
            <w:r>
              <w:rPr>
                <w:sz w:val="19"/>
              </w:rPr>
              <w:t xml:space="preserve">NUST</w:t>
            </w:r>
          </w:p>
        </w:tc>
        <w:tc>
          <w:tcPr/>
          <w:p>
            <w:pPr>
              <w:pStyle w:val="Compact"/>
              <w:spacing w:before="20" w:after="20"/>
              <w:jc w:val="left"/>
            </w:pPr>
            <w:r>
              <w:rPr>
                <w:sz w:val="19"/>
              </w:rPr>
              <w:t xml:space="preserve">Syllabus, assessment, C as the course language</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MIT-1</w:t>
            </w:r>
          </w:p>
        </w:tc>
        <w:tc>
          <w:tcPr/>
          <w:p>
            <w:pPr>
              <w:pStyle w:val="Compact"/>
              <w:spacing w:before="20" w:after="20"/>
              <w:jc w:val="left"/>
            </w:pPr>
            <w:hyperlink r:id="rId24">
              <w:r>
                <w:rPr>
                  <w:rStyle w:val="Hyperlink"/>
                </w:rPr>
                <w:t xml:space="preserve">6.087 Practical Programming in C</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C syntax, pointers, structs, files, coding style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MIT-2</w:t>
            </w:r>
          </w:p>
        </w:tc>
        <w:tc>
          <w:tcPr/>
          <w:p>
            <w:pPr>
              <w:pStyle w:val="Compact"/>
              <w:spacing w:before="20" w:after="20"/>
              <w:jc w:val="left"/>
            </w:pPr>
            <w:hyperlink r:id="rId25">
              <w:r>
                <w:rPr>
                  <w:rStyle w:val="Hyperlink"/>
                </w:rPr>
                <w:t xml:space="preserve">6.006 Lecture 19: Dynamic Programming I (Fibonacci)</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Why naive recursive Fibonacci is slow; memoization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MIT-3</w:t>
            </w:r>
          </w:p>
        </w:tc>
        <w:tc>
          <w:tcPr/>
          <w:p>
            <w:pPr>
              <w:pStyle w:val="Compact"/>
              <w:spacing w:before="20" w:after="20"/>
              <w:jc w:val="left"/>
            </w:pPr>
            <w:hyperlink r:id="rId23">
              <w:r>
                <w:rPr>
                  <w:rStyle w:val="Hyperlink"/>
                </w:rPr>
                <w:t xml:space="preserve">Whirlwind Computer, 1944–59 (IEEE Milestone)</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Magnetic-core memory, real-time computing</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MIT-4</w:t>
            </w:r>
          </w:p>
        </w:tc>
        <w:tc>
          <w:tcPr/>
          <w:p>
            <w:pPr>
              <w:pStyle w:val="Compact"/>
              <w:spacing w:before="20" w:after="20"/>
              <w:jc w:val="left"/>
            </w:pPr>
            <w:hyperlink r:id="rId26">
              <w:r>
                <w:rPr>
                  <w:rStyle w:val="Hyperlink"/>
                </w:rPr>
                <w:t xml:space="preserve">Wang et al.,</w:t>
              </w:r>
              <w:r>
                <w:rPr>
                  <w:rStyle w:val="Hyperlink"/>
                </w:rPr>
                <w:t xml:space="preserve"> </w:t>
              </w:r>
              <w:r>
                <w:rPr>
                  <w:rStyle w:val="Hyperlink"/>
                  <w:i/>
                  <w:iCs/>
                </w:rPr>
                <w:t xml:space="preserve">Undefined Behavior: What Happened to My Code?</w:t>
              </w:r>
            </w:hyperlink>
          </w:p>
        </w:tc>
        <w:tc>
          <w:tcPr/>
          <w:p>
            <w:pPr>
              <w:pStyle w:val="Compact"/>
              <w:spacing w:before="20" w:after="20"/>
              <w:jc w:val="left"/>
            </w:pPr>
            <w:r>
              <w:rPr>
                <w:sz w:val="19"/>
              </w:rPr>
              <w:t xml:space="preserve">MIT CSAIL</w:t>
            </w:r>
          </w:p>
        </w:tc>
        <w:tc>
          <w:tcPr/>
          <w:p>
            <w:pPr>
              <w:pStyle w:val="Compact"/>
              <w:spacing w:before="20" w:after="20"/>
              <w:jc w:val="left"/>
            </w:pPr>
            <w:r>
              <w:rPr>
                <w:sz w:val="19"/>
              </w:rPr>
              <w:t xml:space="preserve">Run-time and undefined-behaviour errors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UCLA-1</w:t>
            </w:r>
          </w:p>
        </w:tc>
        <w:tc>
          <w:tcPr/>
          <w:p>
            <w:pPr>
              <w:pStyle w:val="Compact"/>
              <w:spacing w:before="20" w:after="20"/>
              <w:jc w:val="left"/>
            </w:pPr>
            <w:hyperlink r:id="rId27">
              <w:r>
                <w:rPr>
                  <w:rStyle w:val="Hyperlink"/>
                </w:rPr>
                <w:t xml:space="preserve">First internet message, 29 Oct 1969</w:t>
              </w:r>
            </w:hyperlink>
          </w:p>
        </w:tc>
        <w:tc>
          <w:tcPr/>
          <w:p>
            <w:pPr>
              <w:pStyle w:val="Compact"/>
              <w:spacing w:before="20" w:after="20"/>
              <w:jc w:val="left"/>
            </w:pPr>
            <w:r>
              <w:rPr>
                <w:sz w:val="19"/>
              </w:rPr>
              <w:t xml:space="preserve">UCLA Samueli</w:t>
            </w:r>
          </w:p>
        </w:tc>
        <w:tc>
          <w:tcPr/>
          <w:p>
            <w:pPr>
              <w:pStyle w:val="Compact"/>
              <w:spacing w:before="20" w:after="20"/>
              <w:jc w:val="left"/>
            </w:pPr>
            <w:r>
              <w:rPr>
                <w:sz w:val="19"/>
              </w:rPr>
              <w:t xml:space="preserve">History of networks and the internet</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UCLA-2</w:t>
            </w:r>
          </w:p>
        </w:tc>
        <w:tc>
          <w:tcPr/>
          <w:p>
            <w:pPr>
              <w:pStyle w:val="Compact"/>
              <w:spacing w:before="20" w:after="20"/>
              <w:jc w:val="left"/>
            </w:pPr>
            <w:hyperlink r:id="rId28">
              <w:r>
                <w:rPr>
                  <w:rStyle w:val="Hyperlink"/>
                </w:rPr>
                <w:t xml:space="preserve">Birthplace of the Internet (IEEE Milestone)</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ARPANET, packet switching, first node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UCLA-3</w:t>
            </w:r>
          </w:p>
        </w:tc>
        <w:tc>
          <w:tcPr/>
          <w:p>
            <w:pPr>
              <w:pStyle w:val="Compact"/>
              <w:spacing w:before="20" w:after="20"/>
              <w:jc w:val="left"/>
            </w:pPr>
            <w:hyperlink r:id="rId29">
              <w:r>
                <w:rPr>
                  <w:rStyle w:val="Hyperlink"/>
                </w:rPr>
                <w:t xml:space="preserve">CS 31 Introduction to Computer Science I, syllabus</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Intro-programming scope; portability across compilers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WITS-1</w:t>
            </w:r>
          </w:p>
        </w:tc>
        <w:tc>
          <w:tcPr/>
          <w:p>
            <w:pPr>
              <w:pStyle w:val="Compact"/>
              <w:spacing w:before="20" w:after="20"/>
              <w:jc w:val="left"/>
            </w:pPr>
            <w:hyperlink r:id="rId30">
              <w:r>
                <w:rPr>
                  <w:rStyle w:val="Hyperlink"/>
                </w:rPr>
                <w:t xml:space="preserve">Sithole (Wits) &amp; Ruhode,</w:t>
              </w:r>
              <w:r>
                <w:rPr>
                  <w:rStyle w:val="Hyperlink"/>
                </w:rPr>
                <w:t xml:space="preserve"> </w:t>
              </w:r>
              <w:r>
                <w:rPr>
                  <w:rStyle w:val="Hyperlink"/>
                  <w:i/>
                  <w:iCs/>
                </w:rPr>
                <w:t xml:space="preserve">Cloud Computing Adoption: Opportunities and Challenges for SMMEs in South Africa</w:t>
              </w:r>
              <w:r>
                <w:rPr>
                  <w:rStyle w:val="Hyperlink"/>
                </w:rPr>
                <w:t xml:space="preserve">, arXiv:2108.10079</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Cloud benefits and barriers in Southern Africa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WITS-2</w:t>
            </w:r>
          </w:p>
        </w:tc>
        <w:tc>
          <w:tcPr/>
          <w:p>
            <w:pPr>
              <w:pStyle w:val="Compact"/>
              <w:spacing w:before="20" w:after="20"/>
              <w:jc w:val="left"/>
            </w:pPr>
            <w:hyperlink r:id="rId31">
              <w:r>
                <w:rPr>
                  <w:rStyle w:val="Hyperlink"/>
                  <w:i/>
                  <w:iCs/>
                </w:rPr>
                <w:t xml:space="preserve">Leadership and the adoption of cloud computing for enterprises in Johannesburg</w:t>
              </w:r>
              <w:r>
                <w:rPr>
                  <w:rStyle w:val="Hyperlink"/>
                </w:rPr>
                <w:t xml:space="preserve"> </w:t>
              </w:r>
              <w:r>
                <w:rPr>
                  <w:rStyle w:val="Hyperlink"/>
                </w:rPr>
                <w:t xml:space="preserve">(2022)</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Drivers and barriers of cloud adoption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STD-1</w:t>
            </w:r>
          </w:p>
        </w:tc>
        <w:tc>
          <w:tcPr/>
          <w:p>
            <w:pPr>
              <w:pStyle w:val="Compact"/>
              <w:spacing w:before="20" w:after="20"/>
              <w:jc w:val="left"/>
            </w:pPr>
            <w:hyperlink r:id="rId32">
              <w:r>
                <w:rPr>
                  <w:rStyle w:val="Hyperlink"/>
                </w:rPr>
                <w:t xml:space="preserve">NIST SP 800-145,</w:t>
              </w:r>
              <w:r>
                <w:rPr>
                  <w:rStyle w:val="Hyperlink"/>
                </w:rPr>
                <w:t xml:space="preserve"> </w:t>
              </w:r>
              <w:r>
                <w:rPr>
                  <w:rStyle w:val="Hyperlink"/>
                  <w:i/>
                  <w:iCs/>
                </w:rPr>
                <w:t xml:space="preserve">The NIST Definition of Cloud Computing</w:t>
              </w:r>
            </w:hyperlink>
          </w:p>
        </w:tc>
        <w:tc>
          <w:tcPr/>
          <w:p>
            <w:pPr>
              <w:pStyle w:val="Compact"/>
              <w:spacing w:before="20" w:after="20"/>
              <w:jc w:val="left"/>
            </w:pPr>
            <w:r>
              <w:rPr>
                <w:sz w:val="19"/>
              </w:rPr>
              <w:t xml:space="preserve">NIST</w:t>
            </w:r>
          </w:p>
        </w:tc>
        <w:tc>
          <w:tcPr/>
          <w:p>
            <w:pPr>
              <w:pStyle w:val="Compact"/>
              <w:spacing w:before="20" w:after="20"/>
              <w:jc w:val="left"/>
            </w:pPr>
            <w:r>
              <w:rPr>
                <w:sz w:val="19"/>
              </w:rPr>
              <w:t xml:space="preserve">SaaS, PaaS, IaaS; 5 characteristics; 4 deployment models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RES-1</w:t>
            </w:r>
          </w:p>
        </w:tc>
        <w:tc>
          <w:tcPr/>
          <w:p>
            <w:pPr>
              <w:pStyle w:val="Compact"/>
              <w:spacing w:before="20" w:after="20"/>
              <w:jc w:val="left"/>
            </w:pPr>
            <w:hyperlink r:id="rId33">
              <w:r>
                <w:rPr>
                  <w:rStyle w:val="Hyperlink"/>
                </w:rPr>
                <w:t xml:space="preserve">Bakasa &amp; Pekane,</w:t>
              </w:r>
              <w:r>
                <w:rPr>
                  <w:rStyle w:val="Hyperlink"/>
                </w:rPr>
                <w:t xml:space="preserve"> </w:t>
              </w:r>
              <w:r>
                <w:rPr>
                  <w:rStyle w:val="Hyperlink"/>
                  <w:i/>
                  <w:iCs/>
                </w:rPr>
                <w:t xml:space="preserve">Decision Criteria for Cloud Adoption by Large Enterprises in South Africa</w:t>
              </w:r>
              <w:r>
                <w:rPr>
                  <w:rStyle w:val="Hyperlink"/>
                </w:rPr>
                <w:t xml:space="preserve">, arXiv:2108.09757</w:t>
              </w:r>
            </w:hyperlink>
          </w:p>
        </w:tc>
        <w:tc>
          <w:tcPr/>
          <w:p>
            <w:pPr>
              <w:pStyle w:val="Compact"/>
              <w:spacing w:before="20" w:after="20"/>
              <w:jc w:val="left"/>
            </w:pPr>
            <w:r>
              <w:rPr>
                <w:sz w:val="19"/>
              </w:rPr>
              <w:t xml:space="preserve">UCT</w:t>
            </w:r>
          </w:p>
        </w:tc>
        <w:tc>
          <w:tcPr/>
          <w:p>
            <w:pPr>
              <w:pStyle w:val="Compact"/>
              <w:spacing w:before="20" w:after="20"/>
              <w:jc w:val="left"/>
            </w:pPr>
            <w:r>
              <w:rPr>
                <w:sz w:val="19"/>
              </w:rPr>
              <w:t xml:space="preserve">Security and data sovereignty as selection criteria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RES-2</w:t>
            </w:r>
          </w:p>
        </w:tc>
        <w:tc>
          <w:tcPr/>
          <w:p>
            <w:pPr>
              <w:pStyle w:val="Compact"/>
              <w:spacing w:before="20" w:after="20"/>
              <w:jc w:val="left"/>
            </w:pPr>
            <w:hyperlink r:id="rId34">
              <w:r>
                <w:rPr>
                  <w:rStyle w:val="Hyperlink"/>
                </w:rPr>
                <w:t xml:space="preserve">Fu et al.,</w:t>
              </w:r>
              <w:r>
                <w:rPr>
                  <w:rStyle w:val="Hyperlink"/>
                </w:rPr>
                <w:t xml:space="preserve"> </w:t>
              </w:r>
              <w:r>
                <w:rPr>
                  <w:rStyle w:val="Hyperlink"/>
                  <w:i/>
                  <w:iCs/>
                </w:rPr>
                <w:t xml:space="preserve">Error Log Analysis in C Programming Language Courses</w:t>
              </w:r>
              <w:r>
                <w:rPr>
                  <w:rStyle w:val="Hyperlink"/>
                </w:rPr>
                <w:t xml:space="preserve"> </w:t>
              </w:r>
              <w:r>
                <w:rPr>
                  <w:rStyle w:val="Hyperlink"/>
                </w:rPr>
                <w:t xml:space="preserve">(ICCE 2015)</w:t>
              </w:r>
            </w:hyperlink>
          </w:p>
        </w:tc>
        <w:tc>
          <w:tcPr/>
          <w:p>
            <w:pPr>
              <w:pStyle w:val="Compact"/>
              <w:spacing w:before="20" w:after="20"/>
              <w:jc w:val="left"/>
            </w:pPr>
            <w:r>
              <w:rPr>
                <w:sz w:val="19"/>
              </w:rPr>
              <w:t xml:space="preserve">Kyushu University</w:t>
            </w:r>
          </w:p>
        </w:tc>
        <w:tc>
          <w:tcPr/>
          <w:p>
            <w:pPr>
              <w:pStyle w:val="Compact"/>
              <w:spacing w:before="20" w:after="20"/>
              <w:jc w:val="left"/>
            </w:pPr>
            <w:r>
              <w:rPr>
                <w:sz w:val="19"/>
              </w:rPr>
              <w:t xml:space="preserve">The errors novice C students actually make</w:t>
            </w:r>
          </w:p>
        </w:tc>
        <w:tc>
          <w:tcPr/>
          <w:p>
            <w:pPr>
              <w:pStyle w:val="Compact"/>
              <w:spacing w:before="20" w:after="20"/>
              <w:jc w:val="left"/>
            </w:pPr>
            <w:r>
              <w:rPr>
                <w:sz w:val="19"/>
              </w:rPr>
              <w:t xml:space="preserve">Further reading</w:t>
            </w:r>
          </w:p>
        </w:tc>
      </w:tr>
    </w:tbl>
    <w:sectPr>
      <w:footerReference w:type="default" r:id="rId10"/>
      <w:pgSz w:h="16838" w:w="11906"/>
      <w:pgMar w:bottom="1134" w:left="1247" w:right="1247" w:top="1134"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E6B"/>
        <w:sz w:val="17"/>
      </w:rPr>
      <w:t xml:space="preserve">Solution Book 6 · SCP 1101, August 2004 Supplementary · page </w:t>
    </w:r>
    <w:r>
      <w:rPr>
        <w:color w:val="555E6B"/>
        <w:sz w:val="17"/>
      </w:rPr>
      <w:fldChar w:fldCharType="begin"/>
      <w:instrText xml:space="preserve"> PAGE </w:instrText>
      <w:fldChar w:fldCharType="end"/>
    </w:r>
    <w:r>
      <w:rPr>
        <w:color w:val="555E6B"/>
        <w:sz w:val="17"/>
      </w:rPr>
      <w:t xml:space="preserve">   ·   </w:t>
    </w:r>
    <w:hyperlink w:anchor="tab_index" w:history="1">
      <w:r>
        <w:rPr>
          <w:rFonts w:ascii="Calibri" w:hAnsi="Calibri" w:cs="Calibri"/>
          <w:b/>
          <w:color w:val="1F6F8B"/>
          <w:sz w:val="17"/>
          <w:u w:val="none"/>
        </w:rPr>
        <w:t xml:space="preserve">▲ Index / tabs</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60" w:line="269" w:lineRule="auto"/>
    </w:pPr>
    <w:rPr>
      <w:rFonts w:ascii="Calibri" w:cs="Calibri" w:eastAsia="Calibri" w:hAnsi="Calibri"/>
      <w:color w:val="22262E"/>
      <w:sz w:val="21"/>
    </w:rPr>
  </w:style>
  <w:style w:styleId="BodyText" w:type="paragraph">
    <w:name w:val="Body Text"/>
    <w:basedOn w:val="Normal"/>
    <w:link w:val="BodyTextChar"/>
    <w:qFormat/>
    <w:pPr>
      <w:spacing w:after="120" w:before="60" w:line="269" w:lineRule="auto"/>
    </w:pPr>
    <w:rPr>
      <w:rFonts w:ascii="Calibri" w:cs="Calibri" w:eastAsia="Calibri" w:hAnsi="Calibri"/>
      <w:color w:val="22262E"/>
      <w:sz w:val="21"/>
    </w:rPr>
  </w:style>
  <w:style w:customStyle="1" w:styleId="FirstParagraph" w:type="paragraph">
    <w:name w:val="First Paragraph"/>
    <w:basedOn w:val="BodyText"/>
    <w:next w:val="BodyText"/>
    <w:qFormat/>
    <w:pPr>
      <w:spacing w:after="120" w:before="60" w:line="269" w:lineRule="auto"/>
    </w:pPr>
    <w:rPr>
      <w:rFonts w:ascii="Calibri" w:cs="Calibri" w:eastAsia="Calibri" w:hAnsi="Calibri"/>
      <w:color w:val="22262E"/>
      <w:sz w:val="21"/>
    </w:rPr>
  </w:style>
  <w:style w:customStyle="1" w:styleId="Compact" w:type="paragraph">
    <w:name w:val="Compact"/>
    <w:basedOn w:val="BodyText"/>
    <w:qFormat/>
    <w:pPr>
      <w:spacing w:after="36" w:before="36"/>
    </w:pPr>
    <w:rPr>
      <w:rFonts w:ascii="Calibri" w:cs="Calibri" w:eastAsia="Calibri" w:hAnsi="Calibri"/>
      <w:color w:val="22262E"/>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6"/>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F6F8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outlineLvl w:val="0"/>
    </w:pPr>
    <w:rPr>
      <w:rFonts w:ascii="Calibri" w:cs="Calibri" w:eastAsia="Calibri" w:hAnsi="Calibri"/>
      <w:b/>
      <w:bCs/>
      <w:i w:val="0"/>
      <w:color w:val="1F3864"/>
      <w:sz w:val="34"/>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olor w:val="1F6F8B"/>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cs="Calibri" w:eastAsia="Calibri" w:hAnsi="Calibri"/>
      <w:b w:val="0"/>
      <w:i/>
      <w:color w:val="555E6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8A1C3C"/>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6F8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3" Type="http://schemas.openxmlformats.org/officeDocument/2006/relationships/hyperlink" Target="https://arxiv.org/abs/2108.09757" TargetMode="External"/><Relationship Id="rId30" Type="http://schemas.openxmlformats.org/officeDocument/2006/relationships/hyperlink" Target="https://arxiv.org/abs/2108.10079" TargetMode="External"/><Relationship Id="rId32" Type="http://schemas.openxmlformats.org/officeDocument/2006/relationships/hyperlink" Target="https://csrc.nist.gov/pubs/sp/800/145/final" TargetMode="External"/><Relationship Id="rId28" Type="http://schemas.openxmlformats.org/officeDocument/2006/relationships/hyperlink" Target="https://ethw.org/Milestones:Birthplace_of_the_Internet,_1969" TargetMode="External"/><Relationship Id="rId23" Type="http://schemas.openxmlformats.org/officeDocument/2006/relationships/hyperlink" Target="https://ethw.org/Milestones:Whirlwind_Computer,_1944-59" TargetMode="External"/><Relationship Id="rId34" Type="http://schemas.openxmlformats.org/officeDocument/2006/relationships/hyperlink" Target="https://library.apsce.net/index.php/ICCE/article/view/3276" TargetMode="External"/><Relationship Id="rId25" Type="http://schemas.openxmlformats.org/officeDocument/2006/relationships/hyperlink" Target="https://ocw.mit.edu/courses/6-006-introduction-to-algorithms-fall-2011/b6d4083131dd16e7d97f56d04b6e858f_MIT6_006F11_lec19.pdf" TargetMode="External"/><Relationship Id="rId24" Type="http://schemas.openxmlformats.org/officeDocument/2006/relationships/hyperlink" Target="https://ocw.mit.edu/courses/6-087-practical-programming-in-c-january-iap-2010/" TargetMode="External"/><Relationship Id="rId26" Type="http://schemas.openxmlformats.org/officeDocument/2006/relationships/hyperlink" Target="https://people.eecs.berkeley.edu/~akcheung/papers/apsys12.html" TargetMode="External"/><Relationship Id="rId27" Type="http://schemas.openxmlformats.org/officeDocument/2006/relationships/hyperlink" Target="https://samueli.ucla.edu/?p=52260" TargetMode="External"/><Relationship Id="rId29" Type="http://schemas.openxmlformats.org/officeDocument/2006/relationships/hyperlink" Target="https://web.cs.ucla.edu/classes/spring25/sandra/syllabus.html" TargetMode="External"/><Relationship Id="rId31" Type="http://schemas.openxmlformats.org/officeDocument/2006/relationships/hyperlink" Target="https://wiredspace.wits.ac.za/items/9fff065f-ef62-4331-bc55-1b5aea5efbf4/full"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3" Type="http://schemas.openxmlformats.org/officeDocument/2006/relationships/hyperlink" Target="https://arxiv.org/abs/2108.09757" TargetMode="External"/><Relationship Id="rId30" Type="http://schemas.openxmlformats.org/officeDocument/2006/relationships/hyperlink" Target="https://arxiv.org/abs/2108.10079" TargetMode="External"/><Relationship Id="rId32" Type="http://schemas.openxmlformats.org/officeDocument/2006/relationships/hyperlink" Target="https://csrc.nist.gov/pubs/sp/800/145/final" TargetMode="External"/><Relationship Id="rId28" Type="http://schemas.openxmlformats.org/officeDocument/2006/relationships/hyperlink" Target="https://ethw.org/Milestones:Birthplace_of_the_Internet,_1969" TargetMode="External"/><Relationship Id="rId23" Type="http://schemas.openxmlformats.org/officeDocument/2006/relationships/hyperlink" Target="https://ethw.org/Milestones:Whirlwind_Computer,_1944-59" TargetMode="External"/><Relationship Id="rId34" Type="http://schemas.openxmlformats.org/officeDocument/2006/relationships/hyperlink" Target="https://library.apsce.net/index.php/ICCE/article/view/3276" TargetMode="External"/><Relationship Id="rId25" Type="http://schemas.openxmlformats.org/officeDocument/2006/relationships/hyperlink" Target="https://ocw.mit.edu/courses/6-006-introduction-to-algorithms-fall-2011/b6d4083131dd16e7d97f56d04b6e858f_MIT6_006F11_lec19.pdf" TargetMode="External"/><Relationship Id="rId24" Type="http://schemas.openxmlformats.org/officeDocument/2006/relationships/hyperlink" Target="https://ocw.mit.edu/courses/6-087-practical-programming-in-c-january-iap-2010/" TargetMode="External"/><Relationship Id="rId26" Type="http://schemas.openxmlformats.org/officeDocument/2006/relationships/hyperlink" Target="https://people.eecs.berkeley.edu/~akcheung/papers/apsys12.html" TargetMode="External"/><Relationship Id="rId27" Type="http://schemas.openxmlformats.org/officeDocument/2006/relationships/hyperlink" Target="https://samueli.ucla.edu/?p=52260" TargetMode="External"/><Relationship Id="rId29" Type="http://schemas.openxmlformats.org/officeDocument/2006/relationships/hyperlink" Target="https://web.cs.ucla.edu/classes/spring25/sandra/syllabus.html" TargetMode="External"/><Relationship Id="rId31" Type="http://schemas.openxmlformats.org/officeDocument/2006/relationships/hyperlink" Target="https://wiredspace.wits.ac.za/items/9fff065f-ef62-4331-bc55-1b5aea5efbf4/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Book 6 — SCP 1101, August 2004 Supplementary</dc:title>
  <dc:creator>NUST SCS 1101 study set</dc:creator>
  <cp:keywords/>
  <dcterms:created xsi:type="dcterms:W3CDTF">2026-10-12T07:21:20Z</dcterms:created>
  <dcterms:modified xsi:type="dcterms:W3CDTF">2026-10-12T07:21:20Z</dcterms:modified>
  <dc:subject>SCS 1101 Introduction to Computer Science and Programming — past-paper solutions</dc:subject>
</cp:coreProperties>
</file>

<file path=docProps/custom.xml><?xml version="1.0" encoding="utf-8"?>
<Properties xmlns="http://schemas.openxmlformats.org/officeDocument/2006/custom-properties" xmlns:vt="http://schemas.openxmlformats.org/officeDocument/2006/docPropsVTypes"/>
</file>