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600"/>
      </w:tblGrid>
      <w:tr>
        <w:tc>
          <w:tcPr>
            <w:tcW w:type="dxa" w:w="498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r>
              <w:rPr>
                <w:b/>
                <w:color w:val="1B4F72"/>
                <w:sz w:val="48"/>
              </w:rPr>
              <w:t>Karthik Sankaran</w:t>
            </w:r>
          </w:p>
          <w:p>
            <w:pPr>
              <w:spacing w:before="60"/>
            </w:pPr>
            <w:r>
              <w:rPr>
                <w:color w:val="555555"/>
                <w:sz w:val="20"/>
              </w:rPr>
              <w:t>Associate Director  |  Head of Cloud Engineering  |  GCP · Azure · AWS  |  30+ Years</w:t>
            </w:r>
          </w:p>
        </w:tc>
        <w:tc>
          <w:tcPr>
            <w:tcW w:type="dxa" w:w="498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jc w:val="right"/>
            </w:pPr>
            <w:r>
              <w:rPr>
                <w:color w:val="555555"/>
                <w:sz w:val="20"/>
              </w:rPr>
              <w:t>karthik.a.sankaran@outlook.com</w:t>
              <w:br/>
              <w:t>+44 747 130 2755</w:t>
              <w:br/>
              <w:t>United Kingdom</w:t>
            </w:r>
          </w:p>
        </w:tc>
      </w:tr>
    </w:tbl>
    <w:p/>
    <w:p>
      <w:pPr>
        <w:spacing w:before="280" w:after="80"/>
        <w:pBdr>
          <w:bottom w:val="single" w:sz="6" w:space="1" w:color="d0e8f5"/>
        </w:pBdr>
      </w:pPr>
      <w:r>
        <w:rPr>
          <w:rFonts w:ascii="Calibri" w:hAnsi="Calibri"/>
          <w:b/>
          <w:color w:val="1B4F72"/>
          <w:sz w:val="19"/>
        </w:rPr>
        <w:t>EXECUTIVE SUMMARY</w:t>
      </w:r>
    </w:p>
    <w:p>
      <w:pPr>
        <w:spacing w:after="80"/>
      </w:pPr>
      <w:r>
        <w:rPr>
          <w:b w:val="0"/>
          <w:sz w:val="21"/>
        </w:rPr>
        <w:t xml:space="preserve">Senior technology leader and </w:t>
      </w:r>
      <w:r>
        <w:rPr>
          <w:b/>
          <w:sz w:val="21"/>
        </w:rPr>
        <w:t>Senior Manager at Deloitte</w:t>
      </w:r>
      <w:r>
        <w:rPr>
          <w:b w:val="0"/>
          <w:sz w:val="21"/>
        </w:rPr>
        <w:t xml:space="preserve"> with over </w:t>
      </w:r>
      <w:r>
        <w:rPr>
          <w:b/>
          <w:sz w:val="21"/>
        </w:rPr>
        <w:t>30 years of experience</w:t>
      </w:r>
      <w:r>
        <w:rPr>
          <w:b w:val="0"/>
          <w:sz w:val="21"/>
        </w:rPr>
        <w:t xml:space="preserve"> delivering large-scale cloud transformation, infrastructure modernisation, and managed services programmes for global Financial Services, Retail, and Manufacturing clients. Proven track record of building and leading high-performing engineering teams, driving automation-led operational efficiency, and acting as a trusted advisor to C-suite stakeholders. Deep technical expertise across </w:t>
      </w:r>
      <w:r>
        <w:rPr>
          <w:b/>
          <w:sz w:val="21"/>
        </w:rPr>
        <w:t>GCP, Azure, and AWS</w:t>
      </w:r>
      <w:r>
        <w:rPr>
          <w:b w:val="0"/>
          <w:sz w:val="21"/>
        </w:rPr>
        <w:t>, combined with strong commercial acumen and a passion for engineering craft and innovation. Currently leading the GCP Engineering stream at Deloitte Cloud Managed Services on an interim basis, with responsibility for strategy, delivery, and team development.</w:t>
      </w:r>
    </w:p>
    <w:p>
      <w:pPr>
        <w:spacing w:before="280" w:after="80"/>
        <w:pBdr>
          <w:bottom w:val="single" w:sz="6" w:space="1" w:color="d0e8f5"/>
        </w:pBdr>
      </w:pPr>
      <w:r>
        <w:rPr>
          <w:rFonts w:ascii="Calibri" w:hAnsi="Calibri"/>
          <w:b/>
          <w:color w:val="1B4F72"/>
          <w:sz w:val="19"/>
        </w:rPr>
        <w:t>CAREER HIGHLIGHTS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af4fb"/>
          </w:tcPr>
          <w:p>
            <w:pPr>
              <w:jc w:val="center"/>
            </w:pPr>
            <w:r>
              <w:rPr>
                <w:b/>
                <w:color w:val="1B4F72"/>
                <w:sz w:val="32"/>
              </w:rPr>
              <w:t>30+</w:t>
            </w:r>
          </w:p>
        </w:tc>
        <w:tc>
          <w:tcPr>
            <w:tcW w:type="dxa" w:w="1994"/>
            <w:shd w:val="clear" w:color="auto" w:fill="eaf4fb"/>
          </w:tcPr>
          <w:p>
            <w:pPr>
              <w:jc w:val="center"/>
            </w:pPr>
            <w:r>
              <w:rPr>
                <w:b/>
                <w:color w:val="1B4F72"/>
                <w:sz w:val="32"/>
              </w:rPr>
              <w:t>95%</w:t>
            </w:r>
          </w:p>
        </w:tc>
        <w:tc>
          <w:tcPr>
            <w:tcW w:type="dxa" w:w="1994"/>
            <w:shd w:val="clear" w:color="auto" w:fill="eaf4fb"/>
          </w:tcPr>
          <w:p>
            <w:pPr>
              <w:jc w:val="center"/>
            </w:pPr>
            <w:r>
              <w:rPr>
                <w:b/>
                <w:color w:val="1B4F72"/>
                <w:sz w:val="32"/>
              </w:rPr>
              <w:t>50%</w:t>
            </w:r>
          </w:p>
        </w:tc>
        <w:tc>
          <w:tcPr>
            <w:tcW w:type="dxa" w:w="1994"/>
            <w:shd w:val="clear" w:color="auto" w:fill="eaf4fb"/>
          </w:tcPr>
          <w:p>
            <w:pPr>
              <w:jc w:val="center"/>
            </w:pPr>
            <w:r>
              <w:rPr>
                <w:b/>
                <w:color w:val="1B4F72"/>
                <w:sz w:val="32"/>
              </w:rPr>
              <w:t>£1.2M</w:t>
            </w:r>
          </w:p>
        </w:tc>
        <w:tc>
          <w:tcPr>
            <w:tcW w:type="dxa" w:w="1994"/>
            <w:shd w:val="clear" w:color="auto" w:fill="eaf4fb"/>
          </w:tcPr>
          <w:p>
            <w:pPr>
              <w:jc w:val="center"/>
            </w:pPr>
            <w:r>
              <w:rPr>
                <w:b/>
                <w:color w:val="1B4F72"/>
                <w:sz w:val="32"/>
              </w:rPr>
              <w:t>15,000</w:t>
            </w:r>
          </w:p>
        </w:tc>
      </w:tr>
      <w:tr>
        <w:tc>
          <w:tcPr>
            <w:tcW w:type="dxa" w:w="1994"/>
            <w:shd w:val="clear" w:color="auto" w:fill="eaf4fb"/>
          </w:tcPr>
          <w:p>
            <w:pPr>
              <w:jc w:val="center"/>
            </w:pPr>
            <w:r>
              <w:rPr>
                <w:color w:val="555555"/>
                <w:sz w:val="17"/>
              </w:rPr>
              <w:t>Years in Technology</w:t>
            </w:r>
          </w:p>
        </w:tc>
        <w:tc>
          <w:tcPr>
            <w:tcW w:type="dxa" w:w="1994"/>
            <w:shd w:val="clear" w:color="auto" w:fill="eaf4fb"/>
          </w:tcPr>
          <w:p>
            <w:pPr>
              <w:jc w:val="center"/>
            </w:pPr>
            <w:r>
              <w:rPr>
                <w:color w:val="555555"/>
                <w:sz w:val="17"/>
              </w:rPr>
              <w:t>Faster GCP Provisioning</w:t>
            </w:r>
          </w:p>
        </w:tc>
        <w:tc>
          <w:tcPr>
            <w:tcW w:type="dxa" w:w="1994"/>
            <w:shd w:val="clear" w:color="auto" w:fill="eaf4fb"/>
          </w:tcPr>
          <w:p>
            <w:pPr>
              <w:jc w:val="center"/>
            </w:pPr>
            <w:r>
              <w:rPr>
                <w:color w:val="555555"/>
                <w:sz w:val="17"/>
              </w:rPr>
              <w:t>Cost Reduction Delivered</w:t>
            </w:r>
          </w:p>
        </w:tc>
        <w:tc>
          <w:tcPr>
            <w:tcW w:type="dxa" w:w="1994"/>
            <w:shd w:val="clear" w:color="auto" w:fill="eaf4fb"/>
          </w:tcPr>
          <w:p>
            <w:pPr>
              <w:jc w:val="center"/>
            </w:pPr>
            <w:r>
              <w:rPr>
                <w:color w:val="555555"/>
                <w:sz w:val="17"/>
              </w:rPr>
              <w:t>Azure Cost Savings</w:t>
            </w:r>
          </w:p>
        </w:tc>
        <w:tc>
          <w:tcPr>
            <w:tcW w:type="dxa" w:w="1994"/>
            <w:shd w:val="clear" w:color="auto" w:fill="eaf4fb"/>
          </w:tcPr>
          <w:p>
            <w:pPr>
              <w:jc w:val="center"/>
            </w:pPr>
            <w:r>
              <w:rPr>
                <w:color w:val="555555"/>
                <w:sz w:val="17"/>
              </w:rPr>
              <w:t>Users — WebEx Rollout</w:t>
            </w:r>
          </w:p>
        </w:tc>
      </w:tr>
    </w:tbl>
    <w:p>
      <w:pPr>
        <w:spacing w:before="280" w:after="80"/>
        <w:pBdr>
          <w:bottom w:val="single" w:sz="6" w:space="1" w:color="d0e8f5"/>
        </w:pBdr>
      </w:pPr>
      <w:r>
        <w:rPr>
          <w:rFonts w:ascii="Calibri" w:hAnsi="Calibri"/>
          <w:b/>
          <w:color w:val="1B4F72"/>
          <w:sz w:val="19"/>
        </w:rPr>
        <w:t>CORE COMPETENCIES</w:t>
      </w:r>
    </w:p>
    <w:p>
      <w:pPr>
        <w:spacing w:before="40" w:after="40"/>
        <w:ind w:left="216"/>
        <w:pBdr>
          <w:left w:val="single" w:sz="18" w:space="4" w:color="1b4f72"/>
        </w:pBdr>
      </w:pPr>
      <w:r>
        <w:rPr>
          <w:b/>
          <w:color w:val="1B4F72"/>
          <w:sz w:val="20"/>
        </w:rPr>
        <w:t xml:space="preserve">Technology Leadership </w:t>
      </w:r>
      <w:r>
        <w:rPr>
          <w:sz w:val="20"/>
        </w:rPr>
        <w:t>Leading engineering teams, setting cloud strategy, interim Head of GCP Engineering at Deloitte</w:t>
      </w:r>
    </w:p>
    <w:p>
      <w:pPr>
        <w:spacing w:before="40" w:after="40"/>
        <w:ind w:left="216"/>
        <w:pBdr>
          <w:left w:val="single" w:sz="18" w:space="4" w:color="1b4f72"/>
        </w:pBdr>
      </w:pPr>
      <w:r>
        <w:rPr>
          <w:b/>
          <w:color w:val="1B4F72"/>
          <w:sz w:val="20"/>
        </w:rPr>
        <w:t xml:space="preserve">Cloud Architecture </w:t>
      </w:r>
      <w:r>
        <w:rPr>
          <w:sz w:val="20"/>
        </w:rPr>
        <w:t>GCP, Azure, AWS — multi-cloud design, landing zones, hybrid cloud, enterprise-scale IaC</w:t>
      </w:r>
    </w:p>
    <w:p>
      <w:pPr>
        <w:spacing w:before="40" w:after="40"/>
        <w:ind w:left="216"/>
        <w:pBdr>
          <w:left w:val="single" w:sz="18" w:space="4" w:color="1b4f72"/>
        </w:pBdr>
      </w:pPr>
      <w:r>
        <w:rPr>
          <w:b/>
          <w:color w:val="1B4F72"/>
          <w:sz w:val="20"/>
        </w:rPr>
        <w:t xml:space="preserve">Programme Delivery </w:t>
      </w:r>
      <w:r>
        <w:rPr>
          <w:sz w:val="20"/>
        </w:rPr>
        <w:t>End-to-end delivery of complex cloud transformation and managed services programmes</w:t>
      </w:r>
    </w:p>
    <w:p>
      <w:pPr>
        <w:spacing w:before="40" w:after="40"/>
        <w:ind w:left="216"/>
        <w:pBdr>
          <w:left w:val="single" w:sz="18" w:space="4" w:color="1b4f72"/>
        </w:pBdr>
      </w:pPr>
      <w:r>
        <w:rPr>
          <w:b/>
          <w:color w:val="1B4F72"/>
          <w:sz w:val="20"/>
        </w:rPr>
        <w:t xml:space="preserve">DevOps &amp; Automation </w:t>
      </w:r>
      <w:r>
        <w:rPr>
          <w:sz w:val="20"/>
        </w:rPr>
        <w:t>CI/CD pipelines, GitHub Actions, Azure DevOps, Terraform, reusable automation frameworks</w:t>
      </w:r>
    </w:p>
    <w:p>
      <w:pPr>
        <w:spacing w:before="40" w:after="40"/>
        <w:ind w:left="216"/>
        <w:pBdr>
          <w:left w:val="single" w:sz="18" w:space="4" w:color="1b4f72"/>
        </w:pBdr>
      </w:pPr>
      <w:r>
        <w:rPr>
          <w:b/>
          <w:color w:val="1B4F72"/>
          <w:sz w:val="20"/>
        </w:rPr>
        <w:t xml:space="preserve">Stakeholder Management </w:t>
      </w:r>
      <w:r>
        <w:rPr>
          <w:sz w:val="20"/>
        </w:rPr>
        <w:t>Trusted advisor to client C-suite; managing expectations across global, cross-functional teams</w:t>
      </w:r>
    </w:p>
    <w:p>
      <w:pPr>
        <w:spacing w:before="40" w:after="40"/>
        <w:ind w:left="216"/>
        <w:pBdr>
          <w:left w:val="single" w:sz="18" w:space="4" w:color="1b4f72"/>
        </w:pBdr>
      </w:pPr>
      <w:r>
        <w:rPr>
          <w:b/>
          <w:color w:val="1B4F72"/>
          <w:sz w:val="20"/>
        </w:rPr>
        <w:t xml:space="preserve">Commercial Acumen </w:t>
      </w:r>
      <w:r>
        <w:rPr>
          <w:sz w:val="20"/>
        </w:rPr>
        <w:t>Delivering cost reduction, resource optimisation, and business value from technology investment</w:t>
      </w:r>
    </w:p>
    <w:p>
      <w:pPr>
        <w:spacing w:before="40" w:after="40"/>
        <w:ind w:left="216"/>
        <w:pBdr>
          <w:left w:val="single" w:sz="18" w:space="4" w:color="1b4f72"/>
        </w:pBdr>
      </w:pPr>
      <w:r>
        <w:rPr>
          <w:b/>
          <w:color w:val="1B4F72"/>
          <w:sz w:val="20"/>
        </w:rPr>
        <w:t xml:space="preserve">People &amp; Team Development </w:t>
      </w:r>
      <w:r>
        <w:rPr>
          <w:sz w:val="20"/>
        </w:rPr>
        <w:t>Mentoring engineers, growing team capability, supporting apprenticeship programmes since 2017</w:t>
      </w:r>
    </w:p>
    <w:p>
      <w:pPr>
        <w:spacing w:before="40" w:after="40"/>
        <w:ind w:left="216"/>
        <w:pBdr>
          <w:left w:val="single" w:sz="18" w:space="4" w:color="1b4f72"/>
        </w:pBdr>
      </w:pPr>
      <w:r>
        <w:rPr>
          <w:b/>
          <w:color w:val="1B4F72"/>
          <w:sz w:val="20"/>
        </w:rPr>
        <w:t xml:space="preserve">Security &amp; Compliance </w:t>
      </w:r>
      <w:r>
        <w:rPr>
          <w:sz w:val="20"/>
        </w:rPr>
        <w:t>Okta, IAM, Workload Identity Federation, Trend Micro, ITIL V4, cloud security standards</w:t>
      </w:r>
    </w:p>
    <w:p>
      <w:pPr>
        <w:spacing w:before="40" w:after="40"/>
        <w:ind w:left="216"/>
        <w:pBdr>
          <w:left w:val="single" w:sz="18" w:space="4" w:color="1b4f72"/>
        </w:pBdr>
      </w:pPr>
      <w:r>
        <w:rPr>
          <w:b/>
          <w:color w:val="1B4F72"/>
          <w:sz w:val="20"/>
        </w:rPr>
        <w:t xml:space="preserve">Governance &amp; Process </w:t>
      </w:r>
      <w:r>
        <w:rPr>
          <w:sz w:val="20"/>
        </w:rPr>
        <w:t>ITSM (ServiceNow), SLA management, School Governor, Scrum Master, audit-ready delivery</w:t>
      </w:r>
    </w:p>
    <w:p>
      <w:pPr>
        <w:spacing w:before="280" w:after="80"/>
        <w:pBdr>
          <w:bottom w:val="single" w:sz="6" w:space="1" w:color="d0e8f5"/>
        </w:pBdr>
      </w:pPr>
      <w:r>
        <w:rPr>
          <w:rFonts w:ascii="Calibri" w:hAnsi="Calibri"/>
          <w:b/>
          <w:color w:val="1B4F72"/>
          <w:sz w:val="19"/>
        </w:rPr>
        <w:t>CAREER HISTORY</w:t>
      </w:r>
    </w:p>
    <w:p>
      <w:pPr>
        <w:spacing w:before="120" w:after="20"/>
      </w:pPr>
      <w:r>
        <w:rPr>
          <w:b/>
          <w:sz w:val="24"/>
        </w:rPr>
        <w:t>Senior Manager – Solutions</w:t>
      </w:r>
      <w:r>
        <w:rPr>
          <w:color w:val="555555"/>
          <w:sz w:val="20"/>
        </w:rPr>
        <w:t xml:space="preserve">  |  previously Manager &amp; Senior Consultant</w:t>
      </w:r>
    </w:p>
    <w:p>
      <w:pPr>
        <w:spacing w:before="0" w:after="40"/>
      </w:pPr>
      <w:r>
        <w:rPr>
          <w:color w:val="555555"/>
          <w:sz w:val="20"/>
        </w:rPr>
        <w:t>Deloitte MCS – Cloud Managed Services</w:t>
      </w:r>
      <w:r>
        <w:rPr>
          <w:i/>
          <w:color w:val="555555"/>
          <w:sz w:val="20"/>
        </w:rPr>
        <w:t xml:space="preserve">          Oct 2020 – Present</w:t>
      </w:r>
    </w:p>
    <w:p>
      <w:pPr>
        <w:spacing w:before="120" w:after="40"/>
      </w:pPr>
      <w:r>
        <w:rPr>
          <w:b/>
          <w:color w:val="1B4F72"/>
          <w:sz w:val="20"/>
        </w:rPr>
        <w:t>Leadership &amp; Strategic Impact</w:t>
      </w:r>
    </w:p>
    <w:p>
      <w:pPr>
        <w:pStyle w:val="ListBullet"/>
        <w:spacing w:before="20" w:after="20"/>
        <w:ind w:left="288"/>
      </w:pPr>
      <w:r>
        <w:rPr>
          <w:sz w:val="21"/>
        </w:rPr>
        <w:t xml:space="preserve">Appointed interim </w:t>
      </w:r>
      <w:r>
        <w:rPr>
          <w:b/>
          <w:sz w:val="21"/>
        </w:rPr>
        <w:t>Head of GCP Engineering</w:t>
      </w:r>
      <w:r>
        <w:rPr>
          <w:sz w:val="21"/>
        </w:rPr>
        <w:t xml:space="preserve"> within Deloitte Cloud Managed Services — leading the engineering team, setting technical direction, and overseeing delivery quality across all GCP workstreams.</w:t>
      </w:r>
    </w:p>
    <w:p>
      <w:pPr>
        <w:pStyle w:val="ListBullet"/>
        <w:spacing w:before="20" w:after="20"/>
        <w:ind w:left="288"/>
      </w:pPr>
      <w:r>
        <w:rPr>
          <w:sz w:val="21"/>
        </w:rPr>
        <w:t>Led a smooth transition of GCP Engineering responsibilities from the ERDC team with minimal disruption to clients or operations.</w:t>
      </w:r>
    </w:p>
    <w:p>
      <w:pPr>
        <w:pStyle w:val="ListBullet"/>
        <w:spacing w:before="20" w:after="20"/>
        <w:ind w:left="288"/>
      </w:pPr>
      <w:r>
        <w:rPr>
          <w:sz w:val="21"/>
        </w:rPr>
        <w:t>Championing GCP standardisation across the CMS practice, defining engineering standards and guiding the GCP practice maturity roadmap.</w:t>
      </w:r>
    </w:p>
    <w:p>
      <w:pPr>
        <w:pStyle w:val="ListBullet"/>
        <w:spacing w:before="20" w:after="20"/>
        <w:ind w:left="288"/>
      </w:pPr>
      <w:r>
        <w:rPr>
          <w:sz w:val="21"/>
        </w:rPr>
        <w:t>Supporting the Deloitte Apprenticeship Programme and actively mentoring junior engineers and consultants.</w:t>
      </w:r>
    </w:p>
    <w:p>
      <w:pPr>
        <w:pStyle w:val="ListBullet"/>
        <w:spacing w:before="20" w:after="20"/>
        <w:ind w:left="288"/>
      </w:pPr>
      <w:r>
        <w:rPr>
          <w:sz w:val="21"/>
        </w:rPr>
        <w:t>Recognised by senior leadership for aligning delivery approach with Deloitte's Engineering CRAFT principles.</w:t>
      </w:r>
    </w:p>
    <w:p>
      <w:pPr>
        <w:spacing w:before="280" w:after="80"/>
        <w:pBdr>
          <w:bottom w:val="single" w:sz="6" w:space="1" w:color="d0e8f5"/>
        </w:pBdr>
      </w:pPr>
      <w:r>
        <w:rPr>
          <w:rFonts w:ascii="Calibri" w:hAnsi="Calibri"/>
          <w:b/>
          <w:color w:val="1B4F72"/>
          <w:sz w:val="19"/>
        </w:rPr>
        <w:t>KEY PROJECTS &amp; ACHIEVEMENTS</w:t>
      </w:r>
    </w:p>
    <w:p>
      <w:pPr>
        <w:spacing w:before="200" w:after="20"/>
      </w:pPr>
      <w:r>
        <w:rPr>
          <w:b/>
          <w:color w:val="1B4F72"/>
          <w:sz w:val="22"/>
        </w:rPr>
        <w:t>GCP Project Vending Pipeline — Deloitte Cloud Managed Services</w:t>
      </w:r>
      <w:r>
        <w:rPr>
          <w:i/>
          <w:color w:val="1B4F72"/>
          <w:sz w:val="18"/>
        </w:rPr>
        <w:t xml:space="preserve">  [Engineering Lead]</w:t>
      </w:r>
    </w:p>
    <w:p>
      <w:pPr>
        <w:spacing w:before="0" w:after="40"/>
      </w:pPr>
      <w:r>
        <w:rPr>
          <w:i/>
          <w:color w:val="555555"/>
          <w:sz w:val="20"/>
        </w:rPr>
        <w:t>Deloitte Internal &amp; External Clients  |  2024–Present</w:t>
      </w:r>
    </w:p>
    <w:p>
      <w:pPr>
        <w:pStyle w:val="ListBullet"/>
        <w:spacing w:before="20" w:after="20"/>
        <w:ind w:left="288"/>
      </w:pPr>
      <w:r>
        <w:rPr>
          <w:sz w:val="21"/>
        </w:rPr>
        <w:t>Initiated and led the end-to-end design and delivery of a fully automated GCP project vending pipeline, now in production across Deloitte's managed cloud estate.</w:t>
      </w:r>
    </w:p>
    <w:p>
      <w:pPr>
        <w:pStyle w:val="ListBullet"/>
        <w:spacing w:before="20" w:after="20"/>
        <w:ind w:left="288"/>
      </w:pPr>
      <w:r>
        <w:rPr>
          <w:sz w:val="21"/>
        </w:rPr>
        <w:t>Integrated Okta group creation, user provisioning, and GitHub Actions workflows directly into the pipeline — eliminating manual steps and reducing human error.</w:t>
      </w:r>
    </w:p>
    <w:p>
      <w:pPr>
        <w:pStyle w:val="ListBullet"/>
        <w:spacing w:before="20" w:after="20"/>
        <w:ind w:left="288"/>
      </w:pPr>
      <w:r>
        <w:rPr>
          <w:sz w:val="21"/>
        </w:rPr>
        <w:t>Developed reusable automation scripts deployable across multiple clients, saving over 6 hours per engagement on reporting and data gathering tasks.</w:t>
      </w:r>
    </w:p>
    <w:p>
      <w:pPr>
        <w:spacing w:before="60" w:after="120"/>
      </w:pPr>
      <w:r>
        <w:rPr>
          <w:b/>
          <w:color w:val="1E8449"/>
          <w:sz w:val="18"/>
        </w:rPr>
        <w:t xml:space="preserve">  95% faster provisioning (5 hrs → &lt;1 hr)  </w:t>
      </w:r>
      <w:r>
        <w:rPr>
          <w:color w:val="555555"/>
          <w:sz w:val="18"/>
        </w:rPr>
        <w:t xml:space="preserve"> | </w:t>
      </w:r>
      <w:r>
        <w:rPr>
          <w:b/>
          <w:color w:val="1E8449"/>
          <w:sz w:val="18"/>
        </w:rPr>
        <w:t xml:space="preserve">  ~50% operational cost reduction  </w:t>
      </w:r>
      <w:r>
        <w:rPr>
          <w:color w:val="555555"/>
          <w:sz w:val="18"/>
        </w:rPr>
        <w:t xml:space="preserve"> | </w:t>
      </w:r>
      <w:r>
        <w:rPr>
          <w:b/>
          <w:color w:val="1E8449"/>
          <w:sz w:val="18"/>
        </w:rPr>
        <w:t xml:space="preserve">  Automated OKTA + GitHub Actions integration  </w:t>
      </w:r>
    </w:p>
    <w:p>
      <w:pPr>
        <w:spacing w:before="200" w:after="20"/>
      </w:pPr>
      <w:r>
        <w:rPr>
          <w:b/>
          <w:color w:val="1B4F72"/>
          <w:sz w:val="22"/>
        </w:rPr>
        <w:t>West Brom Building Society — GCP Environment Build</w:t>
      </w:r>
      <w:r>
        <w:rPr>
          <w:i/>
          <w:color w:val="1B4F72"/>
          <w:sz w:val="18"/>
        </w:rPr>
        <w:t xml:space="preserve">  [GCP Lead]</w:t>
      </w:r>
    </w:p>
    <w:p>
      <w:pPr>
        <w:spacing w:before="0" w:after="40"/>
      </w:pPr>
      <w:r>
        <w:rPr>
          <w:i/>
          <w:color w:val="555555"/>
          <w:sz w:val="20"/>
        </w:rPr>
        <w:t>West Bromwich Building Society  |  2024–Present</w:t>
      </w:r>
    </w:p>
    <w:p>
      <w:pPr>
        <w:pStyle w:val="ListBullet"/>
        <w:spacing w:before="20" w:after="20"/>
        <w:ind w:left="288"/>
      </w:pPr>
      <w:r>
        <w:rPr>
          <w:sz w:val="21"/>
        </w:rPr>
        <w:t>Sole GCP technical lead supporting West Brom's non-production GCP environment, enabling their address validation tool API and Google SecOps instance.</w:t>
      </w:r>
    </w:p>
    <w:p>
      <w:pPr>
        <w:pStyle w:val="ListBullet"/>
        <w:spacing w:before="20" w:after="20"/>
        <w:ind w:left="288"/>
      </w:pPr>
      <w:r>
        <w:rPr>
          <w:sz w:val="21"/>
        </w:rPr>
        <w:t>Designed and implemented cross-cloud backup architecture, facilitating AWS-to-GCP backup pipelines for resilience and data sovereignty.</w:t>
      </w:r>
    </w:p>
    <w:p>
      <w:pPr>
        <w:pStyle w:val="ListBullet"/>
        <w:spacing w:before="20" w:after="20"/>
        <w:ind w:left="288"/>
      </w:pPr>
      <w:r>
        <w:rPr>
          <w:sz w:val="21"/>
        </w:rPr>
        <w:t>Acted as primary technical advisor, translating client requirements into GCP-native solutions and managing all engineering delivery.</w:t>
      </w:r>
    </w:p>
    <w:p>
      <w:pPr>
        <w:spacing w:before="60" w:after="120"/>
      </w:pPr>
      <w:r>
        <w:rPr>
          <w:b/>
          <w:color w:val="1E8449"/>
          <w:sz w:val="18"/>
        </w:rPr>
        <w:t xml:space="preserve">  Multi-cloud (AWS + GCP) architecture  </w:t>
      </w:r>
      <w:r>
        <w:rPr>
          <w:color w:val="555555"/>
          <w:sz w:val="18"/>
        </w:rPr>
        <w:t xml:space="preserve"> | </w:t>
      </w:r>
      <w:r>
        <w:rPr>
          <w:b/>
          <w:color w:val="1E8449"/>
          <w:sz w:val="18"/>
        </w:rPr>
        <w:t xml:space="preserve">  Google SecOps deployment  </w:t>
      </w:r>
      <w:r>
        <w:rPr>
          <w:color w:val="555555"/>
          <w:sz w:val="18"/>
        </w:rPr>
        <w:t xml:space="preserve"> | </w:t>
      </w:r>
      <w:r>
        <w:rPr>
          <w:b/>
          <w:color w:val="1E8449"/>
          <w:sz w:val="18"/>
        </w:rPr>
        <w:t xml:space="preserve">  Client-facing technical leadership  </w:t>
      </w:r>
    </w:p>
    <w:p>
      <w:pPr>
        <w:spacing w:before="200" w:after="20"/>
      </w:pPr>
      <w:r>
        <w:rPr>
          <w:b/>
          <w:color w:val="1B4F72"/>
          <w:sz w:val="22"/>
        </w:rPr>
        <w:t>Global Manufacturing — Azure Landing Zone &amp; Hybrid Cloud</w:t>
      </w:r>
      <w:r>
        <w:rPr>
          <w:i/>
          <w:color w:val="1B4F72"/>
          <w:sz w:val="18"/>
        </w:rPr>
        <w:t xml:space="preserve">  [Azure Workstream Lead &amp; Architect]</w:t>
      </w:r>
    </w:p>
    <w:p>
      <w:pPr>
        <w:spacing w:before="0" w:after="40"/>
      </w:pPr>
      <w:r>
        <w:rPr>
          <w:i/>
          <w:color w:val="555555"/>
          <w:sz w:val="20"/>
        </w:rPr>
        <w:t>Global Manufacturing Client  |  Deloitte</w:t>
      </w:r>
    </w:p>
    <w:p>
      <w:pPr>
        <w:pStyle w:val="ListBullet"/>
        <w:spacing w:before="20" w:after="20"/>
        <w:ind w:left="288"/>
      </w:pPr>
      <w:r>
        <w:rPr>
          <w:sz w:val="21"/>
        </w:rPr>
        <w:t>Led Azure workstream and acted as Cloud Architect for enterprise-scale landing zone design based on Open Cloud Framework.</w:t>
      </w:r>
    </w:p>
    <w:p>
      <w:pPr>
        <w:pStyle w:val="ListBullet"/>
        <w:spacing w:before="20" w:after="20"/>
        <w:ind w:left="288"/>
      </w:pPr>
      <w:r>
        <w:rPr>
          <w:sz w:val="21"/>
        </w:rPr>
        <w:t>Architected hybrid cloud design and implementation across multiple global business unit sites.</w:t>
      </w:r>
    </w:p>
    <w:p>
      <w:pPr>
        <w:pStyle w:val="ListBullet"/>
        <w:spacing w:before="20" w:after="20"/>
        <w:ind w:left="288"/>
      </w:pPr>
      <w:r>
        <w:rPr>
          <w:sz w:val="21"/>
        </w:rPr>
        <w:t>Developed infrastructure as code using Terraform, deployed via Buildkite pipelines for repeatable, auditable delivery.</w:t>
      </w:r>
    </w:p>
    <w:p>
      <w:pPr>
        <w:spacing w:before="60" w:after="120"/>
      </w:pPr>
      <w:r>
        <w:rPr>
          <w:b/>
          <w:color w:val="1E8449"/>
          <w:sz w:val="18"/>
        </w:rPr>
        <w:t xml:space="preserve">  Enterprise Landing Zone  </w:t>
      </w:r>
      <w:r>
        <w:rPr>
          <w:color w:val="555555"/>
          <w:sz w:val="18"/>
        </w:rPr>
        <w:t xml:space="preserve"> | </w:t>
      </w:r>
      <w:r>
        <w:rPr>
          <w:b/>
          <w:color w:val="1E8449"/>
          <w:sz w:val="18"/>
        </w:rPr>
        <w:t xml:space="preserve">  Global multi-site delivery  </w:t>
      </w:r>
      <w:r>
        <w:rPr>
          <w:color w:val="555555"/>
          <w:sz w:val="18"/>
        </w:rPr>
        <w:t xml:space="preserve"> | </w:t>
      </w:r>
      <w:r>
        <w:rPr>
          <w:b/>
          <w:color w:val="1E8449"/>
          <w:sz w:val="18"/>
        </w:rPr>
        <w:t xml:space="preserve">  Terraform + Buildkite IaC  </w:t>
      </w:r>
    </w:p>
    <w:p>
      <w:pPr>
        <w:spacing w:before="200" w:after="20"/>
      </w:pPr>
      <w:r>
        <w:rPr>
          <w:b/>
          <w:color w:val="1B4F72"/>
          <w:sz w:val="22"/>
        </w:rPr>
        <w:t>Large Retail Bank UAE — Digital Banking Platform</w:t>
      </w:r>
      <w:r>
        <w:rPr>
          <w:i/>
          <w:color w:val="1B4F72"/>
          <w:sz w:val="18"/>
        </w:rPr>
        <w:t xml:space="preserve">  [Azure Infrastructure DevOps Engineer]</w:t>
      </w:r>
    </w:p>
    <w:p>
      <w:pPr>
        <w:spacing w:before="0" w:after="40"/>
      </w:pPr>
      <w:r>
        <w:rPr>
          <w:i/>
          <w:color w:val="555555"/>
          <w:sz w:val="20"/>
        </w:rPr>
        <w:t>UAE Retail Bank  |  Deloitte</w:t>
      </w:r>
    </w:p>
    <w:p>
      <w:pPr>
        <w:pStyle w:val="ListBullet"/>
        <w:spacing w:before="20" w:after="20"/>
        <w:ind w:left="288"/>
      </w:pPr>
      <w:r>
        <w:rPr>
          <w:sz w:val="21"/>
        </w:rPr>
        <w:t>Designed and implemented Azure cloud infrastructure for a new digital banking platform using Terraform and Buildkite pipelines.</w:t>
      </w:r>
    </w:p>
    <w:p>
      <w:pPr>
        <w:pStyle w:val="ListBullet"/>
        <w:spacing w:before="20" w:after="20"/>
        <w:ind w:left="288"/>
      </w:pPr>
      <w:r>
        <w:rPr>
          <w:sz w:val="21"/>
        </w:rPr>
        <w:t>Delivered secure, scalable infrastructure to support digital banking services for a regulated financial institution.</w:t>
      </w:r>
    </w:p>
    <w:p>
      <w:pPr>
        <w:spacing w:before="60" w:after="120"/>
      </w:pPr>
      <w:r>
        <w:rPr>
          <w:b/>
          <w:color w:val="1E8449"/>
          <w:sz w:val="18"/>
        </w:rPr>
        <w:t xml:space="preserve">  Financial Services cloud delivery  </w:t>
      </w:r>
      <w:r>
        <w:rPr>
          <w:color w:val="555555"/>
          <w:sz w:val="18"/>
        </w:rPr>
        <w:t xml:space="preserve"> | </w:t>
      </w:r>
      <w:r>
        <w:rPr>
          <w:b/>
          <w:color w:val="1E8449"/>
          <w:sz w:val="18"/>
        </w:rPr>
        <w:t xml:space="preserve">  Azure DevOps &amp; Terraform  </w:t>
      </w:r>
    </w:p>
    <w:p>
      <w:pPr>
        <w:spacing w:before="240" w:after="20"/>
      </w:pPr>
      <w:r>
        <w:rPr>
          <w:b/>
          <w:sz w:val="24"/>
        </w:rPr>
        <w:t>Cloud Migration &amp; Implementation Delivery Associate Manager</w:t>
      </w:r>
    </w:p>
    <w:p>
      <w:pPr>
        <w:spacing w:before="0" w:after="40"/>
      </w:pPr>
      <w:r>
        <w:rPr>
          <w:color w:val="555555"/>
          <w:sz w:val="20"/>
        </w:rPr>
        <w:t>Accenture</w:t>
      </w:r>
      <w:r>
        <w:rPr>
          <w:i/>
          <w:color w:val="555555"/>
          <w:sz w:val="20"/>
        </w:rPr>
        <w:t xml:space="preserve">          2016 – 2020</w:t>
      </w:r>
    </w:p>
    <w:p>
      <w:pPr>
        <w:spacing w:before="200" w:after="20"/>
      </w:pPr>
      <w:r>
        <w:rPr>
          <w:b/>
          <w:color w:val="1B4F72"/>
          <w:sz w:val="22"/>
        </w:rPr>
        <w:t>Global Insurance Broker — Azure Cloud Migration</w:t>
      </w:r>
      <w:r>
        <w:rPr>
          <w:i/>
          <w:color w:val="1B4F72"/>
          <w:sz w:val="18"/>
        </w:rPr>
        <w:t xml:space="preserve">  [Data Centre Design Lead &amp; Azure SME]</w:t>
      </w:r>
    </w:p>
    <w:p>
      <w:pPr>
        <w:spacing w:before="0" w:after="40"/>
      </w:pPr>
      <w:r>
        <w:rPr>
          <w:i/>
          <w:color w:val="555555"/>
          <w:sz w:val="20"/>
        </w:rPr>
        <w:t>Global Insurance Broker  |  Accenture</w:t>
      </w:r>
    </w:p>
    <w:p>
      <w:pPr>
        <w:pStyle w:val="ListBullet"/>
        <w:spacing w:before="20" w:after="20"/>
        <w:ind w:left="288"/>
      </w:pPr>
      <w:r>
        <w:rPr>
          <w:sz w:val="21"/>
        </w:rPr>
        <w:t>Led the design and build of a large-scale, UK-first migration of financial applications and infrastructure to Microsoft Azure — one of the most significant cloud migrations in UK financial services at the time.</w:t>
      </w:r>
    </w:p>
    <w:p>
      <w:pPr>
        <w:pStyle w:val="ListBullet"/>
        <w:spacing w:before="20" w:after="20"/>
        <w:ind w:left="288"/>
      </w:pPr>
      <w:r>
        <w:rPr>
          <w:sz w:val="21"/>
        </w:rPr>
        <w:t>Delivery lead for end-to-end migration of ecommerce environment from on-premises datacentre to Azure.</w:t>
      </w:r>
    </w:p>
    <w:p>
      <w:pPr>
        <w:pStyle w:val="ListBullet"/>
        <w:spacing w:before="20" w:after="20"/>
        <w:ind w:left="288"/>
      </w:pPr>
      <w:r>
        <w:rPr>
          <w:sz w:val="21"/>
        </w:rPr>
        <w:t xml:space="preserve">Led Azure Optimisation &amp; Redesign project — assessed and implemented measures to reduce cloud spend, delivering approximately </w:t>
      </w:r>
      <w:r>
        <w:rPr>
          <w:b/>
          <w:sz w:val="21"/>
        </w:rPr>
        <w:t>£1.2 million in savings</w:t>
      </w:r>
      <w:r>
        <w:rPr>
          <w:sz w:val="21"/>
        </w:rPr>
        <w:t>.</w:t>
      </w:r>
    </w:p>
    <w:p>
      <w:pPr>
        <w:spacing w:before="60" w:after="120"/>
      </w:pPr>
      <w:r>
        <w:rPr>
          <w:b/>
          <w:color w:val="1E8449"/>
          <w:sz w:val="18"/>
        </w:rPr>
        <w:t xml:space="preserve">  £1.2M Azure cost savings  </w:t>
      </w:r>
      <w:r>
        <w:rPr>
          <w:color w:val="555555"/>
          <w:sz w:val="18"/>
        </w:rPr>
        <w:t xml:space="preserve"> | </w:t>
      </w:r>
      <w:r>
        <w:rPr>
          <w:b/>
          <w:color w:val="1E8449"/>
          <w:sz w:val="18"/>
        </w:rPr>
        <w:t xml:space="preserve">  UK-first financial cloud migration  </w:t>
      </w:r>
      <w:r>
        <w:rPr>
          <w:color w:val="555555"/>
          <w:sz w:val="18"/>
        </w:rPr>
        <w:t xml:space="preserve"> | </w:t>
      </w:r>
      <w:r>
        <w:rPr>
          <w:b/>
          <w:color w:val="1E8449"/>
          <w:sz w:val="18"/>
        </w:rPr>
        <w:t xml:space="preserve">  End-to-end delivery lead  </w:t>
      </w:r>
    </w:p>
    <w:p>
      <w:pPr>
        <w:spacing w:before="200" w:after="20"/>
      </w:pPr>
      <w:r>
        <w:rPr>
          <w:b/>
          <w:color w:val="1B4F72"/>
          <w:sz w:val="22"/>
        </w:rPr>
        <w:t>UK Communications &amp; Media — Cisco WebEx Enterprise Rollout</w:t>
      </w:r>
      <w:r>
        <w:rPr>
          <w:i/>
          <w:color w:val="1B4F72"/>
          <w:sz w:val="18"/>
        </w:rPr>
        <w:t xml:space="preserve">  [Technology Lead]</w:t>
      </w:r>
    </w:p>
    <w:p>
      <w:pPr>
        <w:spacing w:before="0" w:after="40"/>
      </w:pPr>
      <w:r>
        <w:rPr>
          <w:i/>
          <w:color w:val="555555"/>
          <w:sz w:val="20"/>
        </w:rPr>
        <w:t>UK Communications &amp; Media Client  |  Accenture</w:t>
      </w:r>
    </w:p>
    <w:p>
      <w:pPr>
        <w:pStyle w:val="ListBullet"/>
        <w:spacing w:before="20" w:after="20"/>
        <w:ind w:left="288"/>
      </w:pPr>
      <w:r>
        <w:rPr>
          <w:sz w:val="21"/>
        </w:rPr>
        <w:t xml:space="preserve">Led the technical release and enterprise-wide adoption of Cisco WebEx to </w:t>
      </w:r>
      <w:r>
        <w:rPr>
          <w:b/>
          <w:sz w:val="21"/>
        </w:rPr>
        <w:t>15,000 users</w:t>
      </w:r>
      <w:r>
        <w:rPr>
          <w:sz w:val="21"/>
        </w:rPr>
        <w:t>, managing cross-functional teams and stakeholder communications throughout.</w:t>
      </w:r>
    </w:p>
    <w:p>
      <w:pPr>
        <w:spacing w:before="60" w:after="120"/>
      </w:pPr>
      <w:r>
        <w:rPr>
          <w:b/>
          <w:color w:val="1E8449"/>
          <w:sz w:val="18"/>
        </w:rPr>
        <w:t xml:space="preserve">  15,000-user rollout  </w:t>
      </w:r>
      <w:r>
        <w:rPr>
          <w:color w:val="555555"/>
          <w:sz w:val="18"/>
        </w:rPr>
        <w:t xml:space="preserve"> | </w:t>
      </w:r>
      <w:r>
        <w:rPr>
          <w:b/>
          <w:color w:val="1E8449"/>
          <w:sz w:val="18"/>
        </w:rPr>
        <w:t xml:space="preserve">  Technical delivery lead  </w:t>
      </w:r>
    </w:p>
    <w:p>
      <w:pPr>
        <w:spacing w:before="200" w:after="20"/>
      </w:pPr>
      <w:r>
        <w:rPr>
          <w:b/>
          <w:color w:val="1B4F72"/>
          <w:sz w:val="22"/>
        </w:rPr>
        <w:t>Large UK Retail Bank — Cloud Enablement &amp; Architecture</w:t>
      </w:r>
      <w:r>
        <w:rPr>
          <w:i/>
          <w:color w:val="1B4F72"/>
          <w:sz w:val="18"/>
        </w:rPr>
        <w:t xml:space="preserve">  [Delivery Lead &amp; Cloud Architect]</w:t>
      </w:r>
    </w:p>
    <w:p>
      <w:pPr>
        <w:spacing w:before="0" w:after="40"/>
      </w:pPr>
      <w:r>
        <w:rPr>
          <w:i/>
          <w:color w:val="555555"/>
          <w:sz w:val="20"/>
        </w:rPr>
        <w:t>UK Retail Bank  |  Accenture</w:t>
      </w:r>
    </w:p>
    <w:p>
      <w:pPr>
        <w:pStyle w:val="ListBullet"/>
        <w:spacing w:before="20" w:after="20"/>
        <w:ind w:left="288"/>
      </w:pPr>
      <w:r>
        <w:rPr>
          <w:sz w:val="21"/>
        </w:rPr>
        <w:t>Led cloud enablement for application stakeholders, developing cloud-native reference architectures and working directly with client architects on their cloud journey strategy.</w:t>
      </w:r>
    </w:p>
    <w:p>
      <w:pPr>
        <w:spacing w:before="60" w:after="120"/>
      </w:pPr>
      <w:r>
        <w:rPr>
          <w:b/>
          <w:color w:val="1E8449"/>
          <w:sz w:val="18"/>
        </w:rPr>
        <w:t xml:space="preserve">  Cloud-native reference architectures  </w:t>
      </w:r>
      <w:r>
        <w:rPr>
          <w:color w:val="555555"/>
          <w:sz w:val="18"/>
        </w:rPr>
        <w:t xml:space="preserve"> | </w:t>
      </w:r>
      <w:r>
        <w:rPr>
          <w:b/>
          <w:color w:val="1E8449"/>
          <w:sz w:val="18"/>
        </w:rPr>
        <w:t xml:space="preserve">  Stakeholder cloud enablement  </w:t>
      </w:r>
    </w:p>
    <w:p>
      <w:pPr>
        <w:spacing w:before="280" w:after="80"/>
        <w:pBdr>
          <w:bottom w:val="single" w:sz="6" w:space="1" w:color="d0e8f5"/>
        </w:pBdr>
      </w:pPr>
      <w:r>
        <w:rPr>
          <w:rFonts w:ascii="Calibri" w:hAnsi="Calibri"/>
          <w:b/>
          <w:color w:val="1B4F72"/>
          <w:sz w:val="19"/>
        </w:rPr>
        <w:t>EARLIER CAREER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b4f72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93"/>
            <w:shd w:val="clear" w:color="auto" w:fill="1b4f72"/>
          </w:tcPr>
          <w:p>
            <w:r>
              <w:rPr>
                <w:b/>
                <w:color w:val="FFFFFF"/>
                <w:sz w:val="20"/>
              </w:rPr>
              <w:t>Organisation</w:t>
            </w:r>
          </w:p>
        </w:tc>
        <w:tc>
          <w:tcPr>
            <w:tcW w:type="dxa" w:w="2493"/>
            <w:shd w:val="clear" w:color="auto" w:fill="1b4f72"/>
          </w:tcPr>
          <w:p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2493"/>
            <w:shd w:val="clear" w:color="auto" w:fill="1b4f72"/>
          </w:tcPr>
          <w:p>
            <w:r>
              <w:rPr>
                <w:b/>
                <w:color w:val="FFFFFF"/>
                <w:sz w:val="20"/>
              </w:rPr>
              <w:t>Key Contribution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Consultant / Azure SME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Avanade, Singapore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2013–2015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Solution Architect for Azure-hosted Sitecore platform; SME for Government, Marina Bay Sands, Fuji Xerox bids</w:t>
            </w:r>
          </w:p>
        </w:tc>
      </w:tr>
      <w:tr>
        <w:tc>
          <w:tcPr>
            <w:tcW w:type="dxa" w:w="2493"/>
            <w:shd w:val="clear" w:color="auto" w:fill="f7fbff"/>
          </w:tcPr>
          <w:p>
            <w:r>
              <w:rPr>
                <w:sz w:val="20"/>
              </w:rPr>
              <w:t>Senior Analyst / Infrastructure Consultant</w:t>
            </w:r>
          </w:p>
        </w:tc>
        <w:tc>
          <w:tcPr>
            <w:tcW w:type="dxa" w:w="2493"/>
            <w:shd w:val="clear" w:color="auto" w:fill="f7fbff"/>
          </w:tcPr>
          <w:p>
            <w:r>
              <w:rPr>
                <w:sz w:val="20"/>
              </w:rPr>
              <w:t>Avanade Pty, Australia</w:t>
            </w:r>
          </w:p>
        </w:tc>
        <w:tc>
          <w:tcPr>
            <w:tcW w:type="dxa" w:w="2493"/>
            <w:shd w:val="clear" w:color="auto" w:fill="f7fbff"/>
          </w:tcPr>
          <w:p>
            <w:r>
              <w:rPr>
                <w:sz w:val="20"/>
              </w:rPr>
              <w:t>2011–2013</w:t>
            </w:r>
          </w:p>
        </w:tc>
        <w:tc>
          <w:tcPr>
            <w:tcW w:type="dxa" w:w="2493"/>
            <w:shd w:val="clear" w:color="auto" w:fill="f7fbff"/>
          </w:tcPr>
          <w:p>
            <w:r>
              <w:rPr>
                <w:sz w:val="20"/>
              </w:rPr>
              <w:t>Led SCCM infrastructure readiness across 6 asset sites; VDI PoC infrastructure build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Executive / Release &amp; Config Manager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Barclays Capital Services, Singapore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2007–2011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PoC for LEH-to-Barclays SCCM migration; £150K infrastructure consolidation saving</w:t>
            </w:r>
          </w:p>
        </w:tc>
      </w:tr>
      <w:tr>
        <w:tc>
          <w:tcPr>
            <w:tcW w:type="dxa" w:w="2493"/>
            <w:shd w:val="clear" w:color="auto" w:fill="f7fbff"/>
          </w:tcPr>
          <w:p>
            <w:r>
              <w:rPr>
                <w:sz w:val="20"/>
              </w:rPr>
              <w:t>Project Lead</w:t>
            </w:r>
          </w:p>
        </w:tc>
        <w:tc>
          <w:tcPr>
            <w:tcW w:type="dxa" w:w="2493"/>
            <w:shd w:val="clear" w:color="auto" w:fill="f7fbff"/>
          </w:tcPr>
          <w:p>
            <w:r>
              <w:rPr>
                <w:sz w:val="20"/>
              </w:rPr>
              <w:t>Medsys E-Solutions, Dubai</w:t>
            </w:r>
          </w:p>
        </w:tc>
        <w:tc>
          <w:tcPr>
            <w:tcW w:type="dxa" w:w="2493"/>
            <w:shd w:val="clear" w:color="auto" w:fill="f7fbff"/>
          </w:tcPr>
          <w:p>
            <w:r>
              <w:rPr>
                <w:sz w:val="20"/>
              </w:rPr>
              <w:t>2005–2007</w:t>
            </w:r>
          </w:p>
        </w:tc>
        <w:tc>
          <w:tcPr>
            <w:tcW w:type="dxa" w:w="2493"/>
            <w:shd w:val="clear" w:color="auto" w:fill="f7fbff"/>
          </w:tcPr>
          <w:p>
            <w:r>
              <w:rPr>
                <w:sz w:val="20"/>
              </w:rPr>
              <w:t>Desktop migration lead for global bank in UAE; 1,000+ application repackaging; 14-country EMEA PoC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IT Consultant / Packaging SME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LogicaCMG, India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2004–2005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Developed Application Tracker Tool and automated MSI packaging tool; 300+ applications packaged</w:t>
            </w:r>
          </w:p>
        </w:tc>
      </w:tr>
      <w:tr>
        <w:tc>
          <w:tcPr>
            <w:tcW w:type="dxa" w:w="2493"/>
            <w:shd w:val="clear" w:color="auto" w:fill="f7fbff"/>
          </w:tcPr>
          <w:p>
            <w:r>
              <w:rPr>
                <w:sz w:val="20"/>
              </w:rPr>
              <w:t>Software Engineer</w:t>
            </w:r>
          </w:p>
        </w:tc>
        <w:tc>
          <w:tcPr>
            <w:tcW w:type="dxa" w:w="2493"/>
            <w:shd w:val="clear" w:color="auto" w:fill="f7fbff"/>
          </w:tcPr>
          <w:p>
            <w:r>
              <w:rPr>
                <w:sz w:val="20"/>
              </w:rPr>
              <w:t>HP Global Delivery Centre, India</w:t>
            </w:r>
          </w:p>
        </w:tc>
        <w:tc>
          <w:tcPr>
            <w:tcW w:type="dxa" w:w="2493"/>
            <w:shd w:val="clear" w:color="auto" w:fill="f7fbff"/>
          </w:tcPr>
          <w:p>
            <w:r>
              <w:rPr>
                <w:sz w:val="20"/>
              </w:rPr>
              <w:t>2002–2004</w:t>
            </w:r>
          </w:p>
        </w:tc>
        <w:tc>
          <w:tcPr>
            <w:tcW w:type="dxa" w:w="2493"/>
            <w:shd w:val="clear" w:color="auto" w:fill="f7fbff"/>
          </w:tcPr>
          <w:p>
            <w:r>
              <w:rPr>
                <w:sz w:val="20"/>
              </w:rPr>
              <w:t>Application repackaging for KPMG UK, Fidelity; Process Improvement Plan contributor</w:t>
            </w:r>
          </w:p>
        </w:tc>
      </w:tr>
    </w:tbl>
    <w:p>
      <w:pPr>
        <w:spacing w:before="280" w:after="80"/>
        <w:pBdr>
          <w:bottom w:val="single" w:sz="6" w:space="1" w:color="d0e8f5"/>
        </w:pBdr>
      </w:pPr>
      <w:r>
        <w:rPr>
          <w:rFonts w:ascii="Calibri" w:hAnsi="Calibri"/>
          <w:b/>
          <w:color w:val="1B4F72"/>
          <w:sz w:val="19"/>
        </w:rPr>
        <w:t>PROFESSIONAL CERTIFICATIONS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7fbff"/>
            <w:tcBorders>
              <w:left w:val="single" w:sz="12" w:space="0" w:color="1b4f72"/>
            </w:tcBorders>
          </w:tcPr>
          <w:p>
            <w:pPr>
              <w:spacing w:before="40" w:after="40"/>
            </w:pPr>
            <w:r>
              <w:rPr>
                <w:sz w:val="20"/>
              </w:rPr>
              <w:t>Microsoft Certified: Azure Solutions Architect Expert</w:t>
            </w:r>
          </w:p>
        </w:tc>
        <w:tc>
          <w:tcPr>
            <w:tcW w:type="dxa" w:w="4986"/>
            <w:shd w:val="clear" w:color="auto" w:fill="f7fbff"/>
            <w:tcBorders>
              <w:left w:val="single" w:sz="12" w:space="0" w:color="1b4f72"/>
            </w:tcBorders>
          </w:tcPr>
          <w:p>
            <w:pPr>
              <w:spacing w:before="40" w:after="40"/>
            </w:pPr>
            <w:r>
              <w:rPr>
                <w:sz w:val="20"/>
              </w:rPr>
              <w:t>Microsoft Certified: DevOps Engineer Expert</w:t>
            </w:r>
          </w:p>
        </w:tc>
      </w:tr>
      <w:tr>
        <w:tc>
          <w:tcPr>
            <w:tcW w:type="dxa" w:w="4986"/>
            <w:shd w:val="clear" w:color="auto" w:fill="f7fbff"/>
            <w:tcBorders>
              <w:left w:val="single" w:sz="12" w:space="0" w:color="1b4f72"/>
            </w:tcBorders>
          </w:tcPr>
          <w:p>
            <w:pPr>
              <w:spacing w:before="40" w:after="40"/>
            </w:pPr>
            <w:r>
              <w:rPr>
                <w:sz w:val="20"/>
              </w:rPr>
              <w:t>Google Cloud Certified: Associate Cloud Engineer</w:t>
            </w:r>
          </w:p>
        </w:tc>
        <w:tc>
          <w:tcPr>
            <w:tcW w:type="dxa" w:w="4986"/>
            <w:shd w:val="clear" w:color="auto" w:fill="f7fbff"/>
            <w:tcBorders>
              <w:left w:val="single" w:sz="12" w:space="0" w:color="1b4f72"/>
            </w:tcBorders>
          </w:tcPr>
          <w:p>
            <w:pPr>
              <w:spacing w:before="40" w:after="40"/>
            </w:pPr>
            <w:r>
              <w:rPr>
                <w:sz w:val="20"/>
              </w:rPr>
              <w:t>AWS Certified: Solutions Architect Associate</w:t>
            </w:r>
          </w:p>
        </w:tc>
      </w:tr>
      <w:tr>
        <w:tc>
          <w:tcPr>
            <w:tcW w:type="dxa" w:w="4986"/>
            <w:shd w:val="clear" w:color="auto" w:fill="f7fbff"/>
            <w:tcBorders>
              <w:left w:val="single" w:sz="12" w:space="0" w:color="1b4f72"/>
            </w:tcBorders>
          </w:tcPr>
          <w:p>
            <w:pPr>
              <w:spacing w:before="40" w:after="40"/>
            </w:pPr>
            <w:r>
              <w:rPr>
                <w:sz w:val="20"/>
              </w:rPr>
              <w:t>MCSE: Cloud Platform and Infrastructure</w:t>
            </w:r>
          </w:p>
        </w:tc>
        <w:tc>
          <w:tcPr>
            <w:tcW w:type="dxa" w:w="4986"/>
            <w:shd w:val="clear" w:color="auto" w:fill="f7fbff"/>
            <w:tcBorders>
              <w:left w:val="single" w:sz="12" w:space="0" w:color="1b4f72"/>
            </w:tcBorders>
          </w:tcPr>
          <w:p>
            <w:pPr>
              <w:spacing w:before="40" w:after="40"/>
            </w:pPr>
            <w:r>
              <w:rPr>
                <w:sz w:val="20"/>
              </w:rPr>
              <w:t>MCSA: Cloud Platform</w:t>
            </w:r>
          </w:p>
        </w:tc>
      </w:tr>
      <w:tr>
        <w:tc>
          <w:tcPr>
            <w:tcW w:type="dxa" w:w="4986"/>
            <w:shd w:val="clear" w:color="auto" w:fill="f7fbff"/>
            <w:tcBorders>
              <w:left w:val="single" w:sz="12" w:space="0" w:color="1b4f72"/>
            </w:tcBorders>
          </w:tcPr>
          <w:p>
            <w:pPr>
              <w:spacing w:before="40" w:after="40"/>
            </w:pPr>
            <w:r>
              <w:rPr>
                <w:sz w:val="20"/>
              </w:rPr>
              <w:t>MS: Server Virtualisation with Hyper-V &amp; System Center</w:t>
            </w:r>
          </w:p>
        </w:tc>
        <w:tc>
          <w:tcPr>
            <w:tcW w:type="dxa" w:w="4986"/>
            <w:shd w:val="clear" w:color="auto" w:fill="f7fbff"/>
            <w:tcBorders>
              <w:left w:val="single" w:sz="12" w:space="0" w:color="1b4f72"/>
            </w:tcBorders>
          </w:tcPr>
          <w:p>
            <w:pPr>
              <w:spacing w:before="40" w:after="40"/>
            </w:pPr>
            <w:r>
              <w:rPr>
                <w:sz w:val="20"/>
              </w:rPr>
              <w:t>ITIL V4 Foundation</w:t>
            </w:r>
          </w:p>
        </w:tc>
      </w:tr>
      <w:tr>
        <w:tc>
          <w:tcPr>
            <w:tcW w:type="dxa" w:w="4986"/>
            <w:shd w:val="clear" w:color="auto" w:fill="f7fbff"/>
            <w:tcBorders>
              <w:left w:val="single" w:sz="12" w:space="0" w:color="1b4f72"/>
            </w:tcBorders>
          </w:tcPr>
          <w:p>
            <w:pPr>
              <w:spacing w:before="40" w:after="40"/>
            </w:pPr>
            <w:r>
              <w:rPr>
                <w:sz w:val="20"/>
              </w:rPr>
              <w:t>ITIL4 Specialist: Acquiring &amp; Managing Cloud Services</w:t>
            </w:r>
          </w:p>
        </w:tc>
        <w:tc>
          <w:tcPr>
            <w:tcW w:type="dxa" w:w="4986"/>
            <w:shd w:val="clear" w:color="auto" w:fill="f7fbff"/>
            <w:tcBorders>
              <w:left w:val="single" w:sz="12" w:space="0" w:color="1b4f72"/>
            </w:tcBorders>
          </w:tcPr>
          <w:p>
            <w:pPr>
              <w:spacing w:before="40" w:after="40"/>
            </w:pPr>
            <w:r>
              <w:rPr>
                <w:sz w:val="20"/>
              </w:rPr>
              <w:t>Certified ScrumMaster®</w:t>
            </w:r>
          </w:p>
        </w:tc>
      </w:tr>
    </w:tbl>
    <w:p>
      <w:pPr>
        <w:spacing w:before="280" w:after="80"/>
        <w:pBdr>
          <w:bottom w:val="single" w:sz="6" w:space="1" w:color="d0e8f5"/>
        </w:pBdr>
      </w:pPr>
      <w:r>
        <w:rPr>
          <w:rFonts w:ascii="Calibri" w:hAnsi="Calibri"/>
          <w:b/>
          <w:color w:val="1B4F72"/>
          <w:sz w:val="19"/>
        </w:rPr>
        <w:t>EDUCATION &amp; COMMUNITY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r>
              <w:rPr>
                <w:b/>
                <w:color w:val="1B4F72"/>
                <w:sz w:val="21"/>
              </w:rPr>
              <w:t>Education</w:t>
            </w:r>
          </w:p>
          <w:p>
            <w:pPr>
              <w:spacing w:before="80"/>
            </w:pPr>
            <w:r>
              <w:rPr>
                <w:b/>
                <w:sz w:val="21"/>
              </w:rPr>
              <w:t>Master's in Computer Applications (MCA)</w:t>
            </w:r>
          </w:p>
          <w:p>
            <w:pPr>
              <w:spacing w:after="40"/>
            </w:pPr>
            <w:r>
              <w:rPr>
                <w:color w:val="555555"/>
                <w:sz w:val="20"/>
              </w:rPr>
              <w:t>Madurai Kamaraj University, India — First Class Honours (1999–2002)</w:t>
            </w:r>
          </w:p>
          <w:p>
            <w:pPr>
              <w:spacing w:before="80"/>
            </w:pPr>
            <w:r>
              <w:rPr>
                <w:b/>
                <w:sz w:val="21"/>
              </w:rPr>
              <w:t>BSc Mathematics</w:t>
            </w:r>
          </w:p>
          <w:p>
            <w:pPr>
              <w:spacing w:after="40"/>
            </w:pPr>
            <w:r>
              <w:rPr>
                <w:color w:val="555555"/>
                <w:sz w:val="20"/>
              </w:rPr>
              <w:t>Bharathidasan University, India — First Class Honours (1992–1995)</w:t>
            </w:r>
          </w:p>
        </w:tc>
        <w:tc>
          <w:tcPr>
            <w:tcW w:type="dxa" w:w="4986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r>
              <w:rPr>
                <w:b/>
                <w:color w:val="1B4F72"/>
                <w:sz w:val="21"/>
              </w:rPr>
              <w:t>Community &amp; Leadership</w:t>
            </w:r>
          </w:p>
          <w:p>
            <w:pPr>
              <w:spacing w:before="80"/>
            </w:pPr>
            <w:r>
              <w:rPr>
                <w:b/>
                <w:sz w:val="21"/>
              </w:rPr>
              <w:t xml:space="preserve">School Governor — </w:t>
            </w:r>
            <w:r>
              <w:rPr>
                <w:sz w:val="21"/>
              </w:rPr>
              <w:t>Curriculum &amp; Student Committee, local school (2018–present)</w:t>
            </w:r>
          </w:p>
          <w:p>
            <w:pPr>
              <w:spacing w:before="80"/>
            </w:pPr>
            <w:r>
              <w:rPr>
                <w:b/>
                <w:sz w:val="21"/>
              </w:rPr>
              <w:t xml:space="preserve">Apprenticeship Programme Champion — </w:t>
            </w:r>
            <w:r>
              <w:rPr>
                <w:sz w:val="21"/>
              </w:rPr>
              <w:t>Supporting early-career technologists at Deloitte (2017–present)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