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fontanero</w:t>
      </w:r>
    </w:p>
    <w:p>
      <w:pPr>
        <w:pStyle w:val="Heading2"/>
      </w:pPr>
      <w:r>
        <w:t>Milanuncios:</w:t>
      </w:r>
    </w:p>
    <w:p>
      <w:r>
        <w:t>Para continuar, completa el captcha: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