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 w:after="80"/>
      </w:pPr>
      <w:r>
        <w:rPr>
          <w:rFonts w:ascii="Calibri" w:hAnsi="Calibri"/>
          <w:b/>
          <w:color w:val="000000"/>
          <w:sz w:val="46"/>
        </w:rPr>
        <w:t>ТЕХНИЧЕСКАЯ СПЕЦИФИКАЦИЯ</w:t>
      </w:r>
    </w:p>
    <w:p>
      <w:pPr>
        <w:spacing w:after="280"/>
      </w:pPr>
      <w:r>
        <w:rPr>
          <w:rFonts w:ascii="Calibri" w:hAnsi="Calibri"/>
          <w:color w:val="4B5563"/>
          <w:sz w:val="28"/>
        </w:rPr>
        <w:t>Локальный AI-помощник для поддержки WMS: Jira, Confluence и Ollama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/>
                <w:b/>
                <w:color w:val="172033"/>
                <w:sz w:val="22"/>
              </w:rPr>
              <w:t>Версия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172033"/>
                <w:sz w:val="22"/>
              </w:rPr>
              <w:t>1.1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/>
                <w:b/>
                <w:color w:val="172033"/>
                <w:sz w:val="22"/>
              </w:rPr>
              <w:t>Дата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172033"/>
                <w:sz w:val="22"/>
              </w:rPr>
              <w:t>27 июля 2026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/>
                <w:b/>
                <w:color w:val="172033"/>
                <w:sz w:val="22"/>
              </w:rPr>
              <w:t>Статус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172033"/>
                <w:sz w:val="22"/>
              </w:rPr>
              <w:t>Тестовый прототип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F4D78"/>
                <w:sz w:val="22"/>
              </w:rPr>
              <w:t>Цель</w:t>
            </w:r>
          </w:p>
          <w:p>
            <w:pPr>
              <w:spacing w:after="0"/>
            </w:pPr>
            <w:r>
              <w:rPr>
                <w:rFonts w:ascii="Calibri" w:hAnsi="Calibri"/>
                <w:color w:val="172033"/>
                <w:sz w:val="22"/>
              </w:rPr>
              <w:t>Помочь консультанту первой линии быстро определить первичные проверки, прошлое решение аналогичного обращения, связанную документацию и задачу разработки.</w:t>
            </w:r>
          </w:p>
        </w:tc>
      </w:tr>
    </w:tbl>
    <w:p>
      <w:pPr>
        <w:pStyle w:val="Heading1"/>
      </w:pPr>
      <w:r>
        <w:t>1. Назначение и границы</w:t>
      </w:r>
    </w:p>
    <w:p>
      <w:r>
        <w:rPr>
          <w:rFonts w:ascii="Calibri" w:hAnsi="Calibri"/>
          <w:color w:val="172033"/>
          <w:sz w:val="22"/>
        </w:rPr>
        <w:t>Приложение анализирует обращения пользователей складской WMS. Оно ищет похожие обращения, задачи разработки и документацию, после чего формирует единый безопасный сценарий решения.</w:t>
      </w:r>
    </w:p>
    <w:p>
      <w:pPr>
        <w:pStyle w:val="ListBullet"/>
        <w:spacing w:after="80" w:line="280" w:lineRule="auto"/>
      </w:pPr>
      <w:r>
        <w:rPr>
          <w:rFonts w:ascii="Calibri" w:hAnsi="Calibri"/>
          <w:color w:val="172033"/>
          <w:sz w:val="22"/>
        </w:rPr>
        <w:t>Поддерживает приёмку, отгрузку, инвентаризацию, ТСД и печать Zebra.</w:t>
      </w:r>
    </w:p>
    <w:p>
      <w:pPr>
        <w:pStyle w:val="ListBullet"/>
        <w:spacing w:after="80" w:line="280" w:lineRule="auto"/>
      </w:pPr>
      <w:r>
        <w:rPr>
          <w:rFonts w:ascii="Calibri" w:hAnsi="Calibri"/>
          <w:color w:val="172033"/>
          <w:sz w:val="22"/>
        </w:rPr>
        <w:t>Не меняет остатки, права, документы или статусы задач.</w:t>
      </w:r>
    </w:p>
    <w:p>
      <w:pPr>
        <w:pStyle w:val="ListBullet"/>
        <w:spacing w:after="80" w:line="280" w:lineRule="auto"/>
      </w:pPr>
      <w:r>
        <w:rPr>
          <w:rFonts w:ascii="Calibri" w:hAnsi="Calibri"/>
          <w:color w:val="172033"/>
          <w:sz w:val="22"/>
        </w:rPr>
        <w:t>Рекомендации требуют проверки консультантом до выполнения действий в продуктивной среде.</w:t>
      </w:r>
    </w:p>
    <w:p>
      <w:pPr>
        <w:pStyle w:val="Heading1"/>
      </w:pPr>
      <w:r>
        <w:t>2. Пользователи и роли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/>
                <w:b/>
                <w:color w:val="172033"/>
                <w:sz w:val="22"/>
              </w:rPr>
              <w:t>Роль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/>
                <w:b/>
                <w:color w:val="172033"/>
                <w:sz w:val="22"/>
              </w:rPr>
              <w:t>Задача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/>
                <w:b/>
                <w:color w:val="172033"/>
                <w:sz w:val="22"/>
              </w:rPr>
              <w:t>Результат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color w:val="172033"/>
                <w:sz w:val="22"/>
              </w:rPr>
              <w:t>Кладовщик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color w:val="172033"/>
                <w:sz w:val="22"/>
              </w:rPr>
              <w:t>Создаёт обращение и отвечает на уточняющие вопросы.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color w:val="172033"/>
                <w:sz w:val="22"/>
              </w:rPr>
              <w:t>Передаёт понятные наблюдения без технических терминов.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color w:val="172033"/>
                <w:sz w:val="22"/>
              </w:rPr>
              <w:t>Консультант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color w:val="172033"/>
                <w:sz w:val="22"/>
              </w:rPr>
              <w:t>Проверяет первичные причины и выполняет регламент.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color w:val="172033"/>
                <w:sz w:val="22"/>
              </w:rPr>
              <w:t>Получает сценарий решения и прошлый опыт.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color w:val="172033"/>
                <w:sz w:val="22"/>
              </w:rPr>
              <w:t>Разработчик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color w:val="172033"/>
                <w:sz w:val="22"/>
              </w:rPr>
              <w:t>Разбирает подтверждённый дефект.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color w:val="172033"/>
                <w:sz w:val="22"/>
              </w:rPr>
              <w:t>Получает ссылку на задачу PROB и контекст ошибки.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color w:val="172033"/>
                <w:sz w:val="22"/>
              </w:rPr>
              <w:t>Администратор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color w:val="172033"/>
                <w:sz w:val="22"/>
              </w:rPr>
              <w:t>Настраивает доступы и модели.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color w:val="172033"/>
                <w:sz w:val="22"/>
              </w:rPr>
              <w:t>Контролирует интеграции и безопасность.</w:t>
            </w:r>
          </w:p>
        </w:tc>
      </w:tr>
    </w:tbl>
    <w:p>
      <w:pPr>
        <w:pStyle w:val="Heading1"/>
      </w:pPr>
      <w:r>
        <w:t>3. Архитектура</w:t>
      </w:r>
    </w:p>
    <w:p>
      <w:r>
        <w:rPr>
          <w:rFonts w:ascii="Calibri" w:hAnsi="Calibri"/>
          <w:color w:val="172033"/>
          <w:sz w:val="22"/>
        </w:rPr>
        <w:t>Контекст обращения проходит через слой семантического поиска и три логические AI-роли.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2033"/>
          </w:tcPr>
          <w:p>
            <w:pPr>
              <w:spacing w:after="0"/>
            </w:pPr>
            <w:r>
              <w:rPr>
                <w:rFonts w:ascii="Consolas" w:hAnsi="Consolas"/>
                <w:color w:val="E8EFFF"/>
                <w:sz w:val="18"/>
              </w:rPr>
              <w:t>Jira / демо-обращение</w:t>
              <w:br/>
              <w:t xml:space="preserve">  ├─ Сабагент обращений → похожие WMS и PROB-задачи</w:t>
              <w:br/>
              <w:t xml:space="preserve">  ├─ Сабагент документации → страницы Confluence и точки ошибок</w:t>
              <w:br/>
              <w:t xml:space="preserve">  └─ Агент-оркестратор → единый сценарий решения</w:t>
            </w:r>
          </w:p>
        </w:tc>
      </w:tr>
    </w:tbl>
    <w:p>
      <w:pPr>
        <w:spacing w:after="20"/>
      </w:pPr>
    </w:p>
    <w:p>
      <w:r>
        <w:rPr>
          <w:rFonts w:ascii="Calibri" w:hAnsi="Calibri"/>
          <w:color w:val="172033"/>
          <w:sz w:val="22"/>
        </w:rPr>
        <w:t>Два сабагента запускаются параллельно. Оркестратор получает только их структурированные выводы, а не полную базу данных.</w:t>
      </w:r>
    </w:p>
    <w:p>
      <w:pPr>
        <w:pStyle w:val="Heading1"/>
      </w:pPr>
      <w:r>
        <w:t>4. Локальные модели Ollama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/>
                <w:b/>
                <w:color w:val="172033"/>
                <w:sz w:val="22"/>
              </w:rPr>
              <w:t>Роль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/>
                <w:b/>
                <w:color w:val="172033"/>
                <w:sz w:val="22"/>
              </w:rPr>
              <w:t>Модель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/>
                <w:b/>
                <w:color w:val="172033"/>
                <w:sz w:val="22"/>
              </w:rPr>
              <w:t>API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/>
                <w:b/>
                <w:color w:val="172033"/>
                <w:sz w:val="22"/>
              </w:rPr>
              <w:t>Назначение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/>
                <w:color w:val="172033"/>
                <w:sz w:val="22"/>
              </w:rPr>
              <w:t>Семантический поиск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color w:val="172033"/>
                <w:sz w:val="22"/>
              </w:rPr>
              <w:t>embeddinggemma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color w:val="172033"/>
                <w:sz w:val="22"/>
              </w:rPr>
              <w:t>/api/embed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color w:val="172033"/>
                <w:sz w:val="22"/>
              </w:rPr>
              <w:t>Векторы обращений и документации.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/>
                <w:color w:val="172033"/>
                <w:sz w:val="22"/>
              </w:rPr>
              <w:t>Сабагенты и оркестратор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color w:val="172033"/>
                <w:sz w:val="22"/>
              </w:rPr>
              <w:t>qwen3.6:latest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color w:val="172033"/>
                <w:sz w:val="22"/>
              </w:rPr>
              <w:t>/api/chat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color w:val="172033"/>
                <w:sz w:val="22"/>
              </w:rPr>
              <w:t>Анализ текста и формирование ответа.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F4D78"/>
                <w:sz w:val="22"/>
              </w:rPr>
              <w:t>Важно</w:t>
            </w:r>
          </w:p>
          <w:p>
            <w:pPr>
              <w:spacing w:after="0"/>
            </w:pPr>
            <w:r>
              <w:rPr>
                <w:rFonts w:ascii="Calibri" w:hAnsi="Calibri"/>
                <w:color w:val="172033"/>
                <w:sz w:val="22"/>
              </w:rPr>
              <w:t>embeddinggemma применяется только для embedding-поиска и не должна использоваться как чат-модель.</w:t>
            </w:r>
          </w:p>
        </w:tc>
      </w:tr>
    </w:tbl>
    <w:p>
      <w:pPr>
        <w:pStyle w:val="Heading1"/>
      </w:pPr>
      <w:r>
        <w:t>5. Процесс анализа обращения</w:t>
      </w:r>
    </w:p>
    <w:p>
      <w:pPr>
        <w:pStyle w:val="ListNumber"/>
        <w:spacing w:after="80" w:line="280" w:lineRule="auto"/>
      </w:pPr>
      <w:r>
        <w:rPr>
          <w:rFonts w:ascii="Calibri" w:hAnsi="Calibri"/>
          <w:color w:val="172033"/>
          <w:sz w:val="22"/>
        </w:rPr>
        <w:t>Получить текст обращения, переписку и приложенные данные.</w:t>
      </w:r>
    </w:p>
    <w:p>
      <w:pPr>
        <w:pStyle w:val="ListNumber"/>
        <w:spacing w:after="80" w:line="280" w:lineRule="auto"/>
      </w:pPr>
      <w:r>
        <w:rPr>
          <w:rFonts w:ascii="Calibri" w:hAnsi="Calibri"/>
          <w:color w:val="172033"/>
          <w:sz w:val="22"/>
        </w:rPr>
        <w:t>Найти близкие по смыслу WMS-обращения и PROB-задачи через embeddinggemma.</w:t>
      </w:r>
    </w:p>
    <w:p>
      <w:pPr>
        <w:pStyle w:val="ListNumber"/>
        <w:spacing w:after="80" w:line="280" w:lineRule="auto"/>
      </w:pPr>
      <w:r>
        <w:rPr>
          <w:rFonts w:ascii="Calibri" w:hAnsi="Calibri"/>
          <w:color w:val="172033"/>
          <w:sz w:val="22"/>
        </w:rPr>
        <w:t>Найти релевантные страницы Confluence, включая точки генерации ошибок.</w:t>
      </w:r>
    </w:p>
    <w:p>
      <w:pPr>
        <w:pStyle w:val="ListNumber"/>
        <w:spacing w:after="80" w:line="280" w:lineRule="auto"/>
      </w:pPr>
      <w:r>
        <w:rPr>
          <w:rFonts w:ascii="Calibri" w:hAnsi="Calibri"/>
          <w:color w:val="172033"/>
          <w:sz w:val="22"/>
        </w:rPr>
        <w:t>Передать историю обращений сабагенту обращений, а документацию - сабагенту документации.</w:t>
      </w:r>
    </w:p>
    <w:p>
      <w:pPr>
        <w:pStyle w:val="ListNumber"/>
        <w:spacing w:after="80" w:line="280" w:lineRule="auto"/>
      </w:pPr>
      <w:r>
        <w:rPr>
          <w:rFonts w:ascii="Calibri" w:hAnsi="Calibri"/>
          <w:color w:val="172033"/>
          <w:sz w:val="22"/>
        </w:rPr>
        <w:t>Передать оба вывода оркестратору и вернуть сценарий решения.</w:t>
      </w:r>
    </w:p>
    <w:p>
      <w:pPr>
        <w:pStyle w:val="Heading1"/>
      </w:pPr>
      <w:r>
        <w:t>6. Формат результата оркестратора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2033"/>
          </w:tcPr>
          <w:p>
            <w:pPr>
              <w:spacing w:after="0"/>
            </w:pPr>
            <w:r>
              <w:rPr>
                <w:rFonts w:ascii="Consolas" w:hAnsi="Consolas"/>
                <w:color w:val="E8EFFF"/>
                <w:sz w:val="18"/>
              </w:rPr>
              <w:t>{</w:t>
              <w:br/>
              <w:t xml:space="preserve">  "summary": "Краткое описание ситуации",</w:t>
              <w:br/>
              <w:t xml:space="preserve">  "possible_causes": [{"cause":"...","evidence":"...","confidence":"medium"}],</w:t>
              <w:br/>
              <w:t xml:space="preserve">  "error_locations": [{"error":"...","location":"функция → условие","condition":"..."}],</w:t>
              <w:br/>
              <w:t xml:space="preserve">  "solution_scenario": {"goal":"...","steps":["..."],"verification":["..."],"escalation":["..."]},</w:t>
              <w:br/>
              <w:t xml:space="preserve">  "questions": ["..."],</w:t>
              <w:br/>
              <w:t xml:space="preserve">  "risk_note": "..."</w:t>
              <w:br/>
              <w:t>}</w:t>
            </w:r>
          </w:p>
        </w:tc>
      </w:tr>
    </w:tbl>
    <w:p>
      <w:pPr>
        <w:spacing w:after="20"/>
      </w:pPr>
    </w:p>
    <w:p>
      <w:pPr>
        <w:pStyle w:val="Heading1"/>
      </w:pPr>
      <w:r>
        <w:t>7. Демонстрационные данные</w:t>
      </w:r>
    </w:p>
    <w:p>
      <w:pPr>
        <w:pStyle w:val="ListBullet"/>
        <w:spacing w:after="80" w:line="280" w:lineRule="auto"/>
      </w:pPr>
      <w:r>
        <w:rPr>
          <w:rFonts w:ascii="Calibri" w:hAnsi="Calibri"/>
          <w:color w:val="172033"/>
          <w:sz w:val="22"/>
        </w:rPr>
        <w:t>500 WMS-обращений с ключами WMS-*.</w:t>
      </w:r>
    </w:p>
    <w:p>
      <w:pPr>
        <w:pStyle w:val="ListBullet"/>
        <w:spacing w:after="80" w:line="280" w:lineRule="auto"/>
      </w:pPr>
      <w:r>
        <w:rPr>
          <w:rFonts w:ascii="Calibri" w:hAnsi="Calibri"/>
          <w:color w:val="172033"/>
          <w:sz w:val="22"/>
        </w:rPr>
        <w:t>30 задач разработки типа Development Bug с ключами PROB-*.</w:t>
      </w:r>
    </w:p>
    <w:p>
      <w:pPr>
        <w:pStyle w:val="ListBullet"/>
        <w:spacing w:after="80" w:line="280" w:lineRule="auto"/>
      </w:pPr>
      <w:r>
        <w:rPr>
          <w:rFonts w:ascii="Calibri" w:hAnsi="Calibri"/>
          <w:color w:val="172033"/>
          <w:sz w:val="22"/>
        </w:rPr>
        <w:t>175 WMS-кейсов содержат переписку консультанта с пользователем.</w:t>
      </w:r>
    </w:p>
    <w:p>
      <w:pPr>
        <w:pStyle w:val="ListBullet"/>
        <w:spacing w:after="80" w:line="280" w:lineRule="auto"/>
      </w:pPr>
      <w:r>
        <w:rPr>
          <w:rFonts w:ascii="Calibri" w:hAnsi="Calibri"/>
          <w:color w:val="172033"/>
          <w:sz w:val="22"/>
        </w:rPr>
        <w:t>250 WMS-кейсов являются переформулированными вариантами предыдущих сценариев и расширяют семантический поиск.</w:t>
      </w:r>
    </w:p>
    <w:p>
      <w:pPr>
        <w:pStyle w:val="ListBullet"/>
        <w:spacing w:after="80" w:line="280" w:lineRule="auto"/>
      </w:pPr>
      <w:r>
        <w:rPr>
          <w:rFonts w:ascii="Calibri" w:hAnsi="Calibri"/>
          <w:color w:val="172033"/>
          <w:sz w:val="22"/>
        </w:rPr>
        <w:t>20 страниц демо-Confluence в пространстве WMSDEV.</w:t>
      </w:r>
    </w:p>
    <w:p>
      <w:pPr>
        <w:pStyle w:val="Heading1"/>
      </w:pPr>
      <w:r>
        <w:t>8. Поиск места возникновения ошибки</w:t>
      </w:r>
    </w:p>
    <w:p>
      <w:r>
        <w:rPr>
          <w:rFonts w:ascii="Calibri" w:hAnsi="Calibri"/>
          <w:color w:val="172033"/>
          <w:sz w:val="22"/>
        </w:rPr>
        <w:t>Страницы разработки содержат примерную логику, код ошибки, условие и функцию, в которой ошибка должна возникать. Поиск повышает релевантность страницы при совпадении HTTP-кода или идентификатора ошибки.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/>
                <w:b/>
                <w:color w:val="172033"/>
                <w:sz w:val="22"/>
              </w:rPr>
              <w:t>Ошибка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/>
                <w:b/>
                <w:color w:val="172033"/>
                <w:sz w:val="22"/>
              </w:rPr>
              <w:t>Место в логике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/>
                <w:b/>
                <w:color w:val="172033"/>
                <w:sz w:val="22"/>
              </w:rPr>
              <w:t>Условие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color w:val="172033"/>
                <w:sz w:val="22"/>
              </w:rPr>
              <w:t>409 INVENTORY_CELL_NOT_LOCKED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color w:val="172033"/>
                <w:sz w:val="22"/>
              </w:rPr>
              <w:t>postCount() → isCellLockedBy()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color w:val="172033"/>
                <w:sz w:val="22"/>
              </w:rPr>
              <w:t>Ячейка разблокирована или заблокирована другим листом.</w:t>
            </w:r>
          </w:p>
        </w:tc>
      </w:tr>
    </w:tbl>
    <w:p>
      <w:pPr>
        <w:pStyle w:val="Heading1"/>
      </w:pPr>
      <w:r>
        <w:t>9. Промышленная интеграция Jira</w:t>
      </w:r>
    </w:p>
    <w:p>
      <w:pPr>
        <w:pStyle w:val="ListBullet"/>
        <w:spacing w:after="80" w:line="280" w:lineRule="auto"/>
      </w:pPr>
      <w:r>
        <w:rPr>
          <w:rFonts w:ascii="Calibri" w:hAnsi="Calibri"/>
          <w:color w:val="172033"/>
          <w:sz w:val="22"/>
        </w:rPr>
        <w:t>Webhook Jira должен вызывать анализ при создании нового обращения.</w:t>
      </w:r>
    </w:p>
    <w:p>
      <w:pPr>
        <w:pStyle w:val="ListBullet"/>
        <w:spacing w:after="80" w:line="280" w:lineRule="auto"/>
      </w:pPr>
      <w:r>
        <w:rPr>
          <w:rFonts w:ascii="Calibri" w:hAnsi="Calibri"/>
          <w:color w:val="172033"/>
          <w:sz w:val="22"/>
        </w:rPr>
        <w:t>Сервисная учётная запись должна иметь чтение Jira и право добавлять комментарии в разрешённых проектах.</w:t>
      </w:r>
    </w:p>
    <w:p>
      <w:pPr>
        <w:pStyle w:val="ListBullet"/>
        <w:spacing w:after="80" w:line="280" w:lineRule="auto"/>
      </w:pPr>
      <w:r>
        <w:rPr>
          <w:rFonts w:ascii="Calibri" w:hAnsi="Calibri"/>
          <w:color w:val="172033"/>
          <w:sz w:val="22"/>
        </w:rPr>
        <w:t>Комментарий содержит первые проверки, прошлое решение, ссылки на документацию и PROB-задачу при наличии.</w:t>
      </w:r>
    </w:p>
    <w:p>
      <w:pPr>
        <w:pStyle w:val="ListBullet"/>
        <w:spacing w:after="80" w:line="280" w:lineRule="auto"/>
      </w:pPr>
      <w:r>
        <w:rPr>
          <w:rFonts w:ascii="Calibri" w:hAnsi="Calibri"/>
          <w:color w:val="172033"/>
          <w:sz w:val="22"/>
        </w:rPr>
        <w:t>Защита от дублей реализуется через свойство Jira-задачи или хеш опубликованного результата.</w:t>
      </w:r>
    </w:p>
    <w:p>
      <w:pPr>
        <w:pStyle w:val="Heading1"/>
      </w:pPr>
      <w:r>
        <w:t>10. Интеграция Confluence</w:t>
      </w:r>
    </w:p>
    <w:p>
      <w:pPr>
        <w:pStyle w:val="ListBullet"/>
        <w:spacing w:after="80" w:line="280" w:lineRule="auto"/>
      </w:pPr>
      <w:r>
        <w:rPr>
          <w:rFonts w:ascii="Calibri" w:hAnsi="Calibri"/>
          <w:color w:val="172033"/>
          <w:sz w:val="22"/>
        </w:rPr>
        <w:t>Используются URL Confluence, e-mail сервисной учётной записи, API token и ключи разрешённых пространств.</w:t>
      </w:r>
    </w:p>
    <w:p>
      <w:pPr>
        <w:pStyle w:val="ListBullet"/>
        <w:spacing w:after="80" w:line="280" w:lineRule="auto"/>
      </w:pPr>
      <w:r>
        <w:rPr>
          <w:rFonts w:ascii="Calibri" w:hAnsi="Calibri"/>
          <w:color w:val="172033"/>
          <w:sz w:val="22"/>
        </w:rPr>
        <w:t>Поиск ограничивается страницами, к которым сервисная учётная запись имеет доступ.</w:t>
      </w:r>
    </w:p>
    <w:p>
      <w:pPr>
        <w:pStyle w:val="ListBullet"/>
        <w:spacing w:after="80" w:line="280" w:lineRule="auto"/>
      </w:pPr>
      <w:r>
        <w:rPr>
          <w:rFonts w:ascii="Calibri" w:hAnsi="Calibri"/>
          <w:color w:val="172033"/>
          <w:sz w:val="22"/>
        </w:rPr>
        <w:t>Найденные страницы и точки ошибок передаются сабагенту документации.</w:t>
      </w:r>
    </w:p>
    <w:p>
      <w:pPr>
        <w:pStyle w:val="Heading1"/>
      </w:pPr>
      <w:r>
        <w:t>11. Безопасность и ограничения</w:t>
      </w:r>
    </w:p>
    <w:p>
      <w:pPr>
        <w:pStyle w:val="ListBullet"/>
        <w:spacing w:after="80" w:line="280" w:lineRule="auto"/>
      </w:pPr>
      <w:r>
        <w:rPr>
          <w:rFonts w:ascii="Calibri" w:hAnsi="Calibri"/>
          <w:color w:val="172033"/>
          <w:sz w:val="22"/>
        </w:rPr>
        <w:t>Локальный Ollama не отправляет текст обращений в OpenAI.</w:t>
      </w:r>
    </w:p>
    <w:p>
      <w:pPr>
        <w:pStyle w:val="ListBullet"/>
        <w:spacing w:after="80" w:line="280" w:lineRule="auto"/>
      </w:pPr>
      <w:r>
        <w:rPr>
          <w:rFonts w:ascii="Calibri" w:hAnsi="Calibri"/>
          <w:color w:val="172033"/>
          <w:sz w:val="22"/>
        </w:rPr>
        <w:t>Текущая чат-модель анализирует текст. Для скриншотов требуется отдельная локальная vision-модель.</w:t>
      </w:r>
    </w:p>
    <w:p>
      <w:pPr>
        <w:pStyle w:val="ListBullet"/>
        <w:spacing w:after="80" w:line="280" w:lineRule="auto"/>
      </w:pPr>
      <w:r>
        <w:rPr>
          <w:rFonts w:ascii="Calibri" w:hAnsi="Calibri"/>
          <w:color w:val="172033"/>
          <w:sz w:val="22"/>
        </w:rPr>
        <w:t>Автоматическая публикация комментариев в Jira должна выполняться только сервисной учётной записью.</w:t>
      </w:r>
    </w:p>
    <w:p>
      <w:pPr>
        <w:pStyle w:val="Heading1"/>
      </w:pPr>
      <w:r>
        <w:t>12. Критерии готовности</w:t>
      </w:r>
    </w:p>
    <w:p>
      <w:pPr>
        <w:pStyle w:val="ListBullet"/>
        <w:spacing w:after="80" w:line="280" w:lineRule="auto"/>
      </w:pPr>
      <w:r>
        <w:rPr>
          <w:rFonts w:ascii="Calibri" w:hAnsi="Calibri"/>
          <w:color w:val="172033"/>
          <w:sz w:val="22"/>
        </w:rPr>
        <w:t>Новое обращение автоматически поступает в анализ.</w:t>
      </w:r>
    </w:p>
    <w:p>
      <w:pPr>
        <w:pStyle w:val="ListBullet"/>
        <w:spacing w:after="80" w:line="280" w:lineRule="auto"/>
      </w:pPr>
      <w:r>
        <w:rPr>
          <w:rFonts w:ascii="Calibri" w:hAnsi="Calibri"/>
          <w:color w:val="172033"/>
          <w:sz w:val="22"/>
        </w:rPr>
        <w:t>Находятся похожие WMS-обращения, PROB-задачи и страницы Confluence.</w:t>
      </w:r>
    </w:p>
    <w:p>
      <w:pPr>
        <w:pStyle w:val="ListBullet"/>
        <w:spacing w:after="80" w:line="280" w:lineRule="auto"/>
      </w:pPr>
      <w:r>
        <w:rPr>
          <w:rFonts w:ascii="Calibri" w:hAnsi="Calibri"/>
          <w:color w:val="172033"/>
          <w:sz w:val="22"/>
        </w:rPr>
        <w:t>В ответе есть безопасный сценарий решения и условия эскалации.</w:t>
      </w:r>
    </w:p>
    <w:p>
      <w:pPr>
        <w:pStyle w:val="ListBullet"/>
        <w:spacing w:after="80" w:line="280" w:lineRule="auto"/>
      </w:pPr>
      <w:r>
        <w:rPr>
          <w:rFonts w:ascii="Calibri" w:hAnsi="Calibri"/>
          <w:color w:val="172033"/>
          <w:sz w:val="22"/>
        </w:rPr>
        <w:t>При известной ошибке отображается место её возникновения в логике.</w:t>
      </w:r>
    </w:p>
    <w:p>
      <w:pPr>
        <w:pStyle w:val="ListBullet"/>
        <w:spacing w:after="80" w:line="280" w:lineRule="auto"/>
      </w:pPr>
      <w:r>
        <w:rPr>
          <w:rFonts w:ascii="Calibri" w:hAnsi="Calibri"/>
          <w:color w:val="172033"/>
          <w:sz w:val="22"/>
        </w:rPr>
        <w:t>В Jira публикуется один структурированный комментарий без повторов.</w:t>
      </w:r>
    </w:p>
    <w:p>
      <w:pPr>
        <w:pStyle w:val="ListBullet"/>
        <w:spacing w:after="80" w:line="280" w:lineRule="auto"/>
      </w:pPr>
      <w:r>
        <w:rPr>
          <w:rFonts w:ascii="Calibri" w:hAnsi="Calibri"/>
          <w:color w:val="172033"/>
          <w:sz w:val="22"/>
        </w:rPr>
        <w:t>При недоступности сабагента используется резервный вывод со статусом ошибки.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B7280"/>
        <w:sz w:val="18"/>
      </w:rPr>
      <w:t>Внутренний документ | Демонстрационный прототип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B7280"/>
        <w:sz w:val="18"/>
      </w:rPr>
      <w:t>WMS AI Assistant | Техническая спецификация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1720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Техническая спецификация WMS AI-помощника</dc:title>
  <dc:subject>Jira, Confluence и Ollama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