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6D77"/>
          <w:sz w:val="36"/>
          <w:szCs w:val="36"/>
        </w:rPr>
        <w:t xml:space="preserve">Summary of Advice</w:t>
      </w:r>
    </w:p>
    <w:p>
      <w:pPr>
        <w:pBdr>
          <w:bottom w:val="single" w:color="006D77" w:sz="6" w:space="1"/>
        </w:pBdr>
        <w:spacing w:after="400" w:before="0"/>
      </w:pPr>
      <w:r>
        <w:rPr>
          <w:rFonts w:ascii="Arial" w:cs="Arial" w:eastAsia="Arial" w:hAnsi="Arial"/>
          <w:color w:val="888888"/>
          <w:sz w:val="20"/>
          <w:szCs w:val="20"/>
        </w:rPr>
        <w:t xml:space="preserve">Base Mortgages</w:t>
      </w:r>
    </w:p>
    <w:p>
      <w:pPr>
        <w:spacing w:after="120" w:before="320"/>
      </w:pPr>
      <w:r>
        <w:rPr>
          <w:rFonts w:ascii="Arial" w:cs="Arial" w:eastAsia="Arial" w:hAnsi="Arial"/>
          <w:b/>
          <w:bCs/>
          <w:color w:val="006D77"/>
          <w:sz w:val="26"/>
          <w:szCs w:val="26"/>
        </w:rPr>
        <w:t xml:space="preserve">Summary</w:t>
      </w:r>
    </w:p>
    <w:p>
      <w:pPr>
        <w:spacing w:after="160" w:before="0"/>
        <w:jc w:val="both"/>
      </w:pPr>
      <w:r>
        <w:rPr>
          <w:rFonts w:ascii="Arial" w:cs="Arial" w:eastAsia="Arial" w:hAnsi="Arial"/>
          <w:color w:val="1F2933"/>
          <w:sz w:val="22"/>
          <w:szCs w:val="22"/>
        </w:rPr>
        <w:t xml:space="preserve">The client sought to refinance their existing home loan with the objective of securing a more competitive interest rate and improving their overall financial position. A key goal of the refinance was to consolidate existing unsecured personal lending — including a car loan and personal loan — into the mortgage, significantly reducing the blended interest rate across the client's total debt and simplifying their repayment structure. By consolidating this debt into home loan security, the client benefits from materially lower interest costs compared to the rates applicable to unsecured lending.</w:t>
      </w:r>
    </w:p>
    <w:p>
      <w:pPr>
        <w:spacing w:after="120" w:before="320"/>
      </w:pPr>
      <w:r>
        <w:rPr>
          <w:rFonts w:ascii="Arial" w:cs="Arial" w:eastAsia="Arial" w:hAnsi="Arial"/>
          <w:b/>
          <w:bCs/>
          <w:color w:val="006D77"/>
          <w:sz w:val="26"/>
          <w:szCs w:val="26"/>
        </w:rPr>
        <w:t xml:space="preserve">Lender Preferences</w:t>
      </w:r>
    </w:p>
    <w:p>
      <w:pPr>
        <w:spacing w:after="160" w:before="0"/>
        <w:jc w:val="both"/>
      </w:pPr>
      <w:r>
        <w:rPr>
          <w:rFonts w:ascii="Arial" w:cs="Arial" w:eastAsia="Arial" w:hAnsi="Arial"/>
          <w:color w:val="1F2933"/>
          <w:sz w:val="22"/>
          <w:szCs w:val="22"/>
        </w:rPr>
        <w:t xml:space="preserve">We approached a number of lenders to identify the most suitable refinance option for the client's requirements, including the ability to consolidate personal lending into the mortgage facility. Following a thorough assessment of the market, only ASB was able to provide an offer that met the client's full needs. ASB was selected as the preferred lender on the basis of their more competitive interest rates, a larger cashback offer relative to other lenders, and their willingness to accommodate the consolidation of the client's personal debt into the new mortgage structure. Where other lenders were approached, they were either unable to support the debt consolidation requirement or their overall offer was less competitive.</w:t>
      </w:r>
    </w:p>
    <w:p>
      <w:pPr>
        <w:spacing w:after="120" w:before="320"/>
      </w:pPr>
      <w:r>
        <w:rPr>
          <w:rFonts w:ascii="Arial" w:cs="Arial" w:eastAsia="Arial" w:hAnsi="Arial"/>
          <w:b/>
          <w:bCs/>
          <w:color w:val="006D77"/>
          <w:sz w:val="26"/>
          <w:szCs w:val="26"/>
        </w:rPr>
        <w:t xml:space="preserve">Loan Structure</w:t>
      </w:r>
    </w:p>
    <w:p>
      <w:pPr>
        <w:spacing w:after="160" w:before="0"/>
        <w:jc w:val="both"/>
      </w:pPr>
      <w:r>
        <w:rPr>
          <w:rFonts w:ascii="Arial" w:cs="Arial" w:eastAsia="Arial" w:hAnsi="Arial"/>
          <w:color w:val="1F2933"/>
          <w:sz w:val="22"/>
          <w:szCs w:val="22"/>
        </w:rPr>
        <w:t xml:space="preserve">The lending was structured into three fixed rate splits totalling $671,095, all on a principal and interest basis. The splits were established as follows: $274,243 fixed for 12 months at 4.49%, $372,607 fixed for 24 months at 4.89%, and $24,245 fixed for 18 months at 4.69%, all repaid fortnightly over a 30 year loan term. The 30 year term was utilised to satisfy serviceability requirements; however, the client's fortnightly repayments were increased above the minimum required amounts in order to reduce the effective loan term and align with the client's existing repayment commitments. This ensures the client does not extend the period over which their total debt is repaid, while benefiting from the significantly lower interest rates associated with home loan security.</w:t>
      </w:r>
    </w:p>
    <w:p>
      <w:pPr>
        <w:spacing w:after="120" w:before="320"/>
      </w:pPr>
      <w:r>
        <w:rPr>
          <w:rFonts w:ascii="Arial" w:cs="Arial" w:eastAsia="Arial" w:hAnsi="Arial"/>
          <w:b/>
          <w:bCs/>
          <w:color w:val="006D77"/>
          <w:sz w:val="26"/>
          <w:szCs w:val="26"/>
        </w:rPr>
        <w:t xml:space="preserve">Product Features &amp; Interest Rates</w:t>
      </w:r>
    </w:p>
    <w:p>
      <w:pPr>
        <w:spacing w:after="160" w:before="0"/>
        <w:jc w:val="both"/>
      </w:pPr>
      <w:r>
        <w:rPr>
          <w:rFonts w:ascii="Arial" w:cs="Arial" w:eastAsia="Arial" w:hAnsi="Arial"/>
          <w:color w:val="1F2933"/>
          <w:sz w:val="22"/>
          <w:szCs w:val="22"/>
        </w:rPr>
        <w:t xml:space="preserve">The Orbit Fixed product was selected across all three loan splits, providing the client with interest rate certainty for the duration of each fixed term. Fixing the lending at current rates protects the client against short term interest rate volatility and enables accurate household budgeting. The staggered fixed terms of 12, 18, and 24 months provide the flexibility to review and adjust the structure at each refix point as market conditions and the client's circumstances evolve.</w:t>
      </w:r>
    </w:p>
    <w:p>
      <w:pPr>
        <w:spacing w:after="160" w:before="0"/>
        <w:jc w:val="both"/>
      </w:pPr>
      <w:r>
        <w:rPr>
          <w:rFonts w:ascii="Arial" w:cs="Arial" w:eastAsia="Arial" w:hAnsi="Arial"/>
          <w:color w:val="1F2933"/>
          <w:sz w:val="22"/>
          <w:szCs w:val="22"/>
        </w:rPr>
        <w:t xml:space="preserve">To ensure the debt consolidation does not extend the client's overall repayment timeline, fortnightly repayments were increased above the contractual minimums as follows:</w:t>
      </w:r>
    </w:p>
    <w:p>
      <w:pPr>
        <w:spacing w:after="60" w:before="60"/>
        <w:ind w:left="360"/>
      </w:pPr>
      <w:r>
        <w:rPr>
          <w:rFonts w:ascii="Arial" w:cs="Arial" w:eastAsia="Arial" w:hAnsi="Arial"/>
          <w:color w:val="1F2933"/>
          <w:sz w:val="22"/>
          <w:szCs w:val="22"/>
        </w:rPr>
        <w:t xml:space="preserve">•  $274,243 split — increased to $709 per fortnight</w:t>
      </w:r>
    </w:p>
    <w:p>
      <w:pPr>
        <w:spacing w:after="60" w:before="60"/>
        <w:ind w:left="360"/>
      </w:pPr>
      <w:r>
        <w:rPr>
          <w:rFonts w:ascii="Arial" w:cs="Arial" w:eastAsia="Arial" w:hAnsi="Arial"/>
          <w:color w:val="1F2933"/>
          <w:sz w:val="22"/>
          <w:szCs w:val="22"/>
        </w:rPr>
        <w:t xml:space="preserve">•  $372,607 split — increased to $1,002 per fortnight</w:t>
      </w:r>
    </w:p>
    <w:p>
      <w:pPr>
        <w:spacing w:after="160" w:before="60"/>
        <w:ind w:left="360"/>
      </w:pPr>
      <w:r>
        <w:rPr>
          <w:rFonts w:ascii="Arial" w:cs="Arial" w:eastAsia="Arial" w:hAnsi="Arial"/>
          <w:color w:val="1F2933"/>
          <w:sz w:val="22"/>
          <w:szCs w:val="22"/>
        </w:rPr>
        <w:t xml:space="preserve">•  $24,245 split — increased to $332 per fortnight</w:t>
      </w:r>
    </w:p>
    <w:p>
      <w:pPr>
        <w:spacing w:after="160" w:before="0"/>
        <w:jc w:val="both"/>
      </w:pPr>
      <w:r>
        <w:rPr>
          <w:rFonts w:ascii="Arial" w:cs="Arial" w:eastAsia="Arial" w:hAnsi="Arial"/>
          <w:color w:val="1F2933"/>
          <w:sz w:val="22"/>
          <w:szCs w:val="22"/>
        </w:rPr>
        <w:t xml:space="preserve">These increased repayments are designed to match the client's current loan term and accelerate repayment of the consolidated personal lending, ensuring the benefit of lower interest rates is fully realised over the life of the loan. Alternative structures — including fully floating rates or interest only lending — were considered but not recommended, as they did not align with the client's objective of reducing total debt and improving their long term financial position.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2026-06-07T23:19:27.104Z</dcterms:created>
  <dcterms:modified xsi:type="dcterms:W3CDTF">2026-06-07T23:19:27.105Z</dcterms:modified>
</cp:coreProperties>
</file>

<file path=docProps/custom.xml><?xml version="1.0" encoding="utf-8"?>
<Properties xmlns="http://schemas.openxmlformats.org/officeDocument/2006/custom-properties" xmlns:vt="http://schemas.openxmlformats.org/officeDocument/2006/docPropsVTypes"/>
</file>