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60" w:lineRule="exact"/>
        <w:ind w:firstLine="420"/>
        <w:jc w:val="center"/>
        <w:rPr>
          <w:rFonts w:ascii="Arial Black" w:hAnsi="Arial Black" w:eastAsia="黑体"/>
          <w:b/>
          <w:color w:val="BFBFBF" w:themeColor="background1" w:themeShade="BF"/>
          <w:spacing w:val="21"/>
          <w:w w:val="85"/>
          <w:position w:val="-10"/>
          <w:sz w:val="150"/>
        </w:rPr>
      </w:pPr>
      <w:r>
        <w:rPr>
          <w:rFonts w:ascii="Arial Black" w:hAnsi="Arial Black" w:eastAsia="黑体"/>
          <w:b/>
          <w:spacing w:val="21"/>
          <w:position w:val="-10"/>
          <w:sz w:val="150"/>
        </w:rPr>
        <w:drawing>
          <wp:anchor distT="0" distB="0" distL="114300" distR="114300" simplePos="0" relativeHeight="251659264" behindDoc="0" locked="0" layoutInCell="1" allowOverlap="1">
            <wp:simplePos x="0" y="0"/>
            <wp:positionH relativeFrom="column">
              <wp:posOffset>533400</wp:posOffset>
            </wp:positionH>
            <wp:positionV relativeFrom="paragraph">
              <wp:posOffset>-85725</wp:posOffset>
            </wp:positionV>
            <wp:extent cx="4229100" cy="885825"/>
            <wp:effectExtent l="0" t="0" r="0" b="0"/>
            <wp:wrapNone/>
            <wp:docPr id="4" name="图片 2"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浙江理工大学"/>
                    <pic:cNvPicPr>
                      <a:picLocks noChangeAspect="1" noChangeArrowheads="1"/>
                    </pic:cNvPicPr>
                  </pic:nvPicPr>
                  <pic:blipFill>
                    <a:blip r:embed="rId13">
                      <a:clrChange>
                        <a:clrFrom>
                          <a:srgbClr val="FFFFFF"/>
                        </a:clrFrom>
                        <a:clrTo>
                          <a:srgbClr val="FFFFFF">
                            <a:alpha val="0"/>
                          </a:srgbClr>
                        </a:clrTo>
                      </a:clrChange>
                      <a:biLevel thresh="50000"/>
                      <a:grayscl/>
                    </a:blip>
                    <a:srcRect/>
                    <a:stretch>
                      <a:fillRect/>
                    </a:stretch>
                  </pic:blipFill>
                  <pic:spPr>
                    <a:xfrm>
                      <a:off x="0" y="0"/>
                      <a:ext cx="4229100" cy="885825"/>
                    </a:xfrm>
                    <a:prstGeom prst="rect">
                      <a:avLst/>
                    </a:prstGeom>
                    <a:noFill/>
                    <a:ln w="9525">
                      <a:noFill/>
                      <a:miter lim="800000"/>
                      <a:headEnd/>
                      <a:tailEnd/>
                    </a:ln>
                  </pic:spPr>
                </pic:pic>
              </a:graphicData>
            </a:graphic>
          </wp:anchor>
        </w:drawing>
      </w:r>
      <w:r>
        <w:rPr>
          <w:rFonts w:ascii="Arial Black" w:hAnsi="Arial Black" w:eastAsia="黑体"/>
          <w:b/>
          <w:color w:val="BFBFBF" w:themeColor="background1" w:themeShade="BF"/>
          <w:spacing w:val="21"/>
          <w:w w:val="85"/>
          <w:position w:val="-10"/>
          <w:sz w:val="150"/>
        </w:rPr>
        <w:t>Z S T U</w:t>
      </w:r>
    </w:p>
    <w:p>
      <w:pPr>
        <w:spacing w:line="400" w:lineRule="exact"/>
        <w:jc w:val="center"/>
        <w:rPr>
          <w:rFonts w:ascii="黑体" w:hAnsi="Impact" w:eastAsia="黑体"/>
          <w:b/>
          <w:sz w:val="44"/>
        </w:rPr>
      </w:pPr>
      <w:r>
        <w:rPr>
          <w:rFonts w:hint="eastAsia" w:ascii="黑体" w:hAnsi="Impact" w:eastAsia="黑体"/>
          <w:b/>
          <w:sz w:val="44"/>
        </w:rPr>
        <w:t>Zhejiang Sci-Tech University</w:t>
      </w:r>
    </w:p>
    <w:p>
      <w:pPr>
        <w:spacing w:line="400" w:lineRule="exact"/>
        <w:ind w:firstLine="883" w:firstLineChars="200"/>
        <w:rPr>
          <w:rFonts w:ascii="黑体" w:hAnsi="宋体" w:eastAsia="黑体"/>
          <w:b/>
          <w:sz w:val="44"/>
        </w:rPr>
      </w:pPr>
    </w:p>
    <w:p>
      <w:pPr>
        <w:spacing w:line="400" w:lineRule="exact"/>
        <w:ind w:firstLine="883" w:firstLineChars="200"/>
        <w:rPr>
          <w:rFonts w:ascii="黑体" w:hAnsi="宋体" w:eastAsia="黑体"/>
          <w:b/>
          <w:sz w:val="44"/>
        </w:rPr>
      </w:pPr>
    </w:p>
    <w:p>
      <w:pPr>
        <w:jc w:val="center"/>
        <w:rPr>
          <w:rFonts w:ascii="黑体" w:hAnsi="Arial Black" w:eastAsia="黑体"/>
          <w:b/>
          <w:sz w:val="70"/>
        </w:rPr>
      </w:pPr>
      <w:r>
        <w:rPr>
          <w:rFonts w:hint="eastAsia" w:ascii="黑体" w:hAnsi="Arial Black" w:eastAsia="黑体"/>
          <w:b/>
          <w:sz w:val="70"/>
        </w:rPr>
        <w:t>本  科  毕  业  设  计</w:t>
      </w:r>
    </w:p>
    <w:p>
      <w:pPr>
        <w:jc w:val="center"/>
        <w:rPr>
          <w:rFonts w:eastAsia="黑体"/>
          <w:b/>
          <w:i/>
          <w:sz w:val="50"/>
        </w:rPr>
      </w:pPr>
      <w:r>
        <w:rPr>
          <w:rFonts w:hint="eastAsia" w:ascii="Arial" w:hAnsi="Arial"/>
          <w:b/>
          <w:i/>
          <w:sz w:val="50"/>
        </w:rPr>
        <w:t>B</w:t>
      </w:r>
      <w:r>
        <w:rPr>
          <w:rFonts w:ascii="Arial" w:hAnsi="Arial"/>
          <w:b/>
          <w:i/>
          <w:sz w:val="50"/>
        </w:rPr>
        <w:t>achelor</w:t>
      </w:r>
      <w:r>
        <w:rPr>
          <w:rFonts w:hint="eastAsia" w:eastAsia="黑体"/>
          <w:b/>
          <w:i/>
          <w:sz w:val="50"/>
        </w:rPr>
        <w:t>’S  THESIS</w:t>
      </w:r>
    </w:p>
    <w:p>
      <w:pPr>
        <w:ind w:firstLine="316" w:firstLineChars="150"/>
        <w:jc w:val="center"/>
        <w:rPr>
          <w:rFonts w:eastAsia="黑体"/>
          <w:b/>
          <w:i/>
        </w:rPr>
      </w:pPr>
    </w:p>
    <w:p>
      <w:pPr>
        <w:jc w:val="center"/>
      </w:pPr>
      <w:r>
        <w:drawing>
          <wp:inline distT="0" distB="0" distL="0" distR="0">
            <wp:extent cx="1503045" cy="1256030"/>
            <wp:effectExtent l="19050" t="0" r="1905" b="0"/>
            <wp:docPr id="130" name="图片 6" descr="学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 descr="学校"/>
                    <pic:cNvPicPr>
                      <a:picLocks noChangeAspect="1" noChangeArrowheads="1"/>
                    </pic:cNvPicPr>
                  </pic:nvPicPr>
                  <pic:blipFill>
                    <a:blip r:embed="rId14"/>
                    <a:srcRect/>
                    <a:stretch>
                      <a:fillRect/>
                    </a:stretch>
                  </pic:blipFill>
                  <pic:spPr>
                    <a:xfrm>
                      <a:off x="0" y="0"/>
                      <a:ext cx="1503045" cy="1256030"/>
                    </a:xfrm>
                    <a:prstGeom prst="rect">
                      <a:avLst/>
                    </a:prstGeom>
                    <a:noFill/>
                    <a:ln w="9525">
                      <a:noFill/>
                      <a:miter lim="800000"/>
                      <a:headEnd/>
                      <a:tailEnd/>
                    </a:ln>
                  </pic:spPr>
                </pic:pic>
              </a:graphicData>
            </a:graphic>
          </wp:inline>
        </w:drawing>
      </w:r>
    </w:p>
    <w:p>
      <w:pPr>
        <w:rPr>
          <w:rFonts w:ascii="黑体" w:eastAsia="黑体"/>
          <w:sz w:val="32"/>
        </w:rPr>
      </w:pPr>
    </w:p>
    <w:p>
      <w:pPr>
        <w:ind w:firstLine="482" w:firstLineChars="150"/>
        <w:rPr>
          <w:rFonts w:ascii="黑体" w:eastAsia="黑体"/>
          <w:b/>
          <w:sz w:val="32"/>
          <w:u w:val="single"/>
        </w:rPr>
      </w:pPr>
      <w:r>
        <w:rPr>
          <w:rFonts w:hint="eastAsia" w:ascii="黑体" w:eastAsia="黑体"/>
          <w:b/>
          <w:sz w:val="32"/>
        </w:rPr>
        <w:t>论文题目：</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lang w:val="en-US" w:eastAsia="zh-CN"/>
        </w:rPr>
        <w:t>农村生活污水处理远程监测采集器设计</w:t>
      </w:r>
      <w:r>
        <w:rPr>
          <w:rFonts w:hint="eastAsia" w:ascii="黑体" w:eastAsia="黑体"/>
          <w:b/>
          <w:sz w:val="32"/>
          <w:u w:val="single"/>
        </w:rPr>
        <w:t xml:space="preserve">                             </w:t>
      </w:r>
      <w:r>
        <w:rPr>
          <w:rFonts w:ascii="黑体" w:eastAsia="黑体"/>
          <w:b/>
          <w:sz w:val="32"/>
          <w:u w:val="single"/>
        </w:rPr>
        <w:t xml:space="preserve">    </w:t>
      </w:r>
    </w:p>
    <w:p>
      <w:pPr>
        <w:rPr>
          <w:rFonts w:ascii="黑体" w:eastAsia="黑体"/>
          <w:b/>
          <w:sz w:val="32"/>
          <w:u w:val="thick"/>
        </w:rPr>
      </w:pPr>
    </w:p>
    <w:p>
      <w:pPr>
        <w:ind w:firstLine="482" w:firstLineChars="150"/>
        <w:rPr>
          <w:rFonts w:ascii="黑体" w:eastAsia="黑体"/>
          <w:b/>
          <w:sz w:val="32"/>
          <w:u w:val="single"/>
        </w:rPr>
      </w:pPr>
      <w:r>
        <w:rPr>
          <w:rFonts w:hint="eastAsia" w:ascii="黑体" w:eastAsia="黑体"/>
          <w:b/>
          <w:sz w:val="32"/>
        </w:rPr>
        <w:t>专业班级：</w:t>
      </w:r>
      <w:r>
        <w:rPr>
          <w:rFonts w:hint="eastAsia" w:ascii="黑体" w:eastAsia="黑体"/>
          <w:b/>
          <w:sz w:val="32"/>
          <w:u w:val="single"/>
        </w:rPr>
        <w:t xml:space="preserve">      </w:t>
      </w:r>
      <w:r>
        <w:rPr>
          <w:rFonts w:hint="eastAsia" w:ascii="黑体" w:eastAsia="黑体"/>
          <w:b/>
          <w:sz w:val="32"/>
          <w:u w:val="single"/>
          <w:lang w:val="en-US" w:eastAsia="zh-CN"/>
        </w:rPr>
        <w:t>13级机械电子工程2班</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left="624" w:firstLine="108"/>
        <w:rPr>
          <w:rFonts w:ascii="黑体" w:eastAsia="黑体"/>
          <w:b/>
          <w:sz w:val="32"/>
          <w:u w:val="single"/>
        </w:rPr>
      </w:pPr>
    </w:p>
    <w:p>
      <w:pPr>
        <w:ind w:firstLine="482" w:firstLineChars="150"/>
        <w:rPr>
          <w:rFonts w:ascii="黑体" w:eastAsia="黑体"/>
          <w:b/>
          <w:sz w:val="32"/>
          <w:u w:val="single"/>
        </w:rPr>
      </w:pPr>
      <w:r>
        <w:rPr>
          <w:rFonts w:hint="eastAsia" w:ascii="黑体" w:eastAsia="黑体"/>
          <w:b/>
          <w:sz w:val="32"/>
        </w:rPr>
        <w:t>姓名学号：</w:t>
      </w:r>
      <w:r>
        <w:rPr>
          <w:rFonts w:hint="eastAsia" w:ascii="黑体" w:eastAsia="黑体"/>
          <w:b/>
          <w:sz w:val="32"/>
          <w:u w:val="single"/>
        </w:rPr>
        <w:t xml:space="preserve">   </w:t>
      </w:r>
      <w:r>
        <w:rPr>
          <w:rFonts w:hint="eastAsia" w:ascii="黑体" w:eastAsia="黑体"/>
          <w:b/>
          <w:sz w:val="32"/>
          <w:u w:val="single"/>
          <w:lang w:val="en-US" w:eastAsia="zh-CN"/>
        </w:rPr>
        <w:t>夏灵能</w:t>
      </w:r>
      <w:r>
        <w:rPr>
          <w:rFonts w:hint="eastAsia" w:ascii="黑体" w:eastAsia="黑体"/>
          <w:b/>
          <w:sz w:val="32"/>
          <w:u w:val="single"/>
          <w:lang w:val="en-US" w:eastAsia="zh-CN"/>
        </w:rPr>
        <w:tab/>
      </w:r>
      <w:r>
        <w:rPr>
          <w:rFonts w:hint="eastAsia" w:ascii="黑体" w:eastAsia="黑体"/>
          <w:b/>
          <w:sz w:val="32"/>
          <w:u w:val="single"/>
          <w:lang w:val="en-US" w:eastAsia="zh-CN"/>
        </w:rPr>
        <w:t>2013330300327</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firstLine="732" w:firstLineChars="228"/>
        <w:rPr>
          <w:rFonts w:ascii="黑体" w:eastAsia="黑体"/>
          <w:b/>
          <w:sz w:val="32"/>
        </w:rPr>
      </w:pPr>
    </w:p>
    <w:p>
      <w:pPr>
        <w:ind w:firstLine="482" w:firstLineChars="150"/>
        <w:rPr>
          <w:rFonts w:ascii="黑体" w:eastAsia="黑体"/>
          <w:b/>
          <w:sz w:val="32"/>
          <w:u w:val="single"/>
        </w:rPr>
      </w:pPr>
      <w:r>
        <w:rPr>
          <w:rFonts w:hint="eastAsia" w:ascii="黑体" w:eastAsia="黑体"/>
          <w:b/>
          <w:sz w:val="32"/>
        </w:rPr>
        <w:t>指导教师：</w:t>
      </w:r>
      <w:r>
        <w:rPr>
          <w:rFonts w:hint="eastAsia" w:ascii="黑体" w:eastAsia="黑体"/>
          <w:b/>
          <w:sz w:val="32"/>
          <w:u w:val="single"/>
        </w:rPr>
        <w:t xml:space="preserve">           </w:t>
      </w:r>
      <w:r>
        <w:rPr>
          <w:rFonts w:hint="eastAsia" w:ascii="黑体" w:eastAsia="黑体"/>
          <w:b/>
          <w:sz w:val="32"/>
          <w:u w:val="single"/>
          <w:lang w:val="en-US" w:eastAsia="zh-CN"/>
        </w:rPr>
        <w:t>张建义</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rPr>
          <w:rFonts w:ascii="黑体" w:eastAsia="黑体"/>
          <w:b/>
          <w:sz w:val="32"/>
          <w:u w:val="single"/>
        </w:rPr>
      </w:pPr>
    </w:p>
    <w:p>
      <w:pPr>
        <w:adjustRightInd w:val="0"/>
        <w:ind w:firstLine="482" w:firstLineChars="150"/>
        <w:rPr>
          <w:rFonts w:ascii="黑体" w:hAnsi="宋体" w:eastAsia="黑体"/>
          <w:spacing w:val="4"/>
          <w:sz w:val="30"/>
          <w:szCs w:val="30"/>
          <w:u w:val="single"/>
        </w:rPr>
      </w:pPr>
      <w:r>
        <w:rPr>
          <w:rFonts w:hint="eastAsia" w:ascii="黑体" w:eastAsia="黑体"/>
          <w:b/>
          <w:sz w:val="32"/>
        </w:rPr>
        <w:t>递交日期：</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rPr>
        <w:t xml:space="preserve">   </w:t>
      </w:r>
    </w:p>
    <w:p>
      <w:pPr>
        <w:ind w:left="252"/>
        <w:jc w:val="center"/>
        <w:rPr>
          <w:rFonts w:ascii="宋体" w:hAnsi="宋体"/>
          <w:b/>
          <w:sz w:val="52"/>
          <w:szCs w:val="52"/>
        </w:rPr>
      </w:pPr>
      <w:r>
        <w:rPr>
          <w:rFonts w:ascii="黑体" w:eastAsia="黑体"/>
          <w:sz w:val="32"/>
          <w:szCs w:val="32"/>
        </w:rPr>
        <w:br w:type="page"/>
      </w:r>
      <w:r>
        <w:rPr>
          <w:rFonts w:hint="eastAsia" w:ascii="黑体" w:eastAsia="黑体"/>
          <w:sz w:val="32"/>
          <w:szCs w:val="32"/>
        </w:rPr>
        <w:t xml:space="preserve"> </w:t>
      </w:r>
      <w:r>
        <w:rPr>
          <w:rFonts w:hint="eastAsia" w:ascii="宋体" w:hAnsi="宋体"/>
          <w:b/>
          <w:sz w:val="52"/>
          <w:szCs w:val="52"/>
        </w:rPr>
        <w:t>浙  江  理  工  大  学</w:t>
      </w:r>
    </w:p>
    <w:p>
      <w:pPr>
        <w:jc w:val="center"/>
        <w:rPr>
          <w:rFonts w:ascii="宋体" w:hAnsi="宋体"/>
          <w:b/>
          <w:sz w:val="52"/>
          <w:szCs w:val="52"/>
        </w:rPr>
      </w:pPr>
      <w:r>
        <w:rPr>
          <w:rFonts w:hint="eastAsia" w:ascii="宋体" w:hAnsi="宋体"/>
          <w:b/>
          <w:sz w:val="52"/>
          <w:szCs w:val="52"/>
        </w:rPr>
        <w:t xml:space="preserve"> 机械与</w:t>
      </w:r>
      <w:r>
        <w:rPr>
          <w:rFonts w:ascii="宋体" w:hAnsi="宋体"/>
          <w:b/>
          <w:sz w:val="52"/>
          <w:szCs w:val="52"/>
        </w:rPr>
        <w:t>自动控制学院</w:t>
      </w:r>
    </w:p>
    <w:p>
      <w:pPr>
        <w:jc w:val="center"/>
        <w:rPr>
          <w:rFonts w:ascii="宋体" w:hAnsi="宋体"/>
          <w:b/>
          <w:sz w:val="72"/>
          <w:szCs w:val="72"/>
        </w:rPr>
      </w:pPr>
    </w:p>
    <w:p>
      <w:pPr>
        <w:jc w:val="center"/>
        <w:rPr>
          <w:rFonts w:ascii="宋体" w:hAnsi="宋体"/>
          <w:sz w:val="48"/>
          <w:szCs w:val="48"/>
        </w:rPr>
      </w:pPr>
      <w:r>
        <w:rPr>
          <w:rFonts w:hint="eastAsia" w:ascii="宋体" w:hAnsi="宋体"/>
          <w:sz w:val="48"/>
          <w:szCs w:val="48"/>
        </w:rPr>
        <w:t>毕业论文诚信声明</w:t>
      </w:r>
    </w:p>
    <w:p>
      <w:pPr>
        <w:jc w:val="center"/>
        <w:rPr>
          <w:rFonts w:ascii="宋体" w:hAnsi="宋体"/>
          <w:sz w:val="48"/>
          <w:szCs w:val="48"/>
        </w:rPr>
      </w:pPr>
    </w:p>
    <w:p>
      <w:pPr>
        <w:jc w:val="center"/>
        <w:rPr>
          <w:rFonts w:ascii="宋体" w:hAnsi="宋体"/>
          <w:sz w:val="48"/>
          <w:szCs w:val="48"/>
        </w:rPr>
      </w:pPr>
    </w:p>
    <w:p>
      <w:pPr>
        <w:ind w:firstLine="420"/>
        <w:rPr>
          <w:rFonts w:ascii="宋体" w:hAnsi="宋体"/>
          <w:sz w:val="28"/>
          <w:szCs w:val="28"/>
        </w:rPr>
      </w:pPr>
      <w:r>
        <w:rPr>
          <w:rFonts w:hint="eastAsia" w:ascii="宋体" w:hAnsi="宋体"/>
          <w:sz w:val="28"/>
          <w:szCs w:val="28"/>
        </w:rPr>
        <w:t>我谨在此保证：本人所写的毕业论文，凡引用他人的研究成果均已在参考文献或注释中列出。论文主体均由本人独立完成，没有抄袭、剽窃他人已经发表或未发表的研究成果行为。如出现以上违反知识产权的情况，本人愿意承担相应的责任。</w:t>
      </w:r>
    </w:p>
    <w:p>
      <w:pPr>
        <w:jc w:val="center"/>
        <w:rPr>
          <w:rFonts w:ascii="宋体" w:hAnsi="宋体"/>
          <w:sz w:val="48"/>
          <w:szCs w:val="48"/>
        </w:rPr>
      </w:pPr>
    </w:p>
    <w:p>
      <w:pPr>
        <w:jc w:val="center"/>
        <w:rPr>
          <w:rFonts w:ascii="宋体" w:hAnsi="宋体"/>
          <w:sz w:val="48"/>
          <w:szCs w:val="48"/>
        </w:rPr>
      </w:pPr>
    </w:p>
    <w:p>
      <w:pPr>
        <w:jc w:val="center"/>
        <w:rPr>
          <w:rFonts w:ascii="宋体" w:hAnsi="宋体"/>
          <w:sz w:val="28"/>
          <w:szCs w:val="28"/>
        </w:rPr>
      </w:pPr>
      <w:r>
        <w:rPr>
          <w:rFonts w:hint="eastAsia" w:ascii="宋体" w:hAnsi="宋体"/>
          <w:sz w:val="28"/>
          <w:szCs w:val="28"/>
        </w:rPr>
        <w:t xml:space="preserve">                          声明人（签名）：</w:t>
      </w:r>
    </w:p>
    <w:p>
      <w:r>
        <w:rPr>
          <w:rFonts w:hint="eastAsia"/>
        </w:rPr>
        <w:t xml:space="preserve">                                               年   月   日</w:t>
      </w:r>
    </w:p>
    <w:p>
      <w:pPr>
        <w:widowControl/>
        <w:spacing w:line="240" w:lineRule="auto"/>
        <w:jc w:val="left"/>
        <w:sectPr>
          <w:footerReference r:id="rId3" w:type="default"/>
          <w:footerReference r:id="rId4"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pPr>
      <w:r>
        <w:br w:type="page"/>
      </w:r>
    </w:p>
    <w:p>
      <w:pPr>
        <w:spacing w:before="163" w:beforeLines="50" w:after="326" w:afterLines="100"/>
        <w:jc w:val="center"/>
        <w:rPr>
          <w:sz w:val="30"/>
          <w:szCs w:val="30"/>
        </w:rPr>
      </w:pPr>
      <w:bookmarkStart w:id="0" w:name="_Toc477897543"/>
      <w:r>
        <w:rPr>
          <w:rFonts w:hint="eastAsia"/>
          <w:b/>
          <w:sz w:val="30"/>
          <w:szCs w:val="30"/>
        </w:rPr>
        <w:t>摘  要</w:t>
      </w:r>
      <w:bookmarkEnd w:id="0"/>
      <w:bookmarkStart w:id="51" w:name="_GoBack"/>
      <w:bookmarkEnd w:id="51"/>
    </w:p>
    <w:p>
      <w:r>
        <w:t>摘要内容(宋体，小四号)为500字左右。</w:t>
      </w:r>
    </w:p>
    <w:p/>
    <w:p>
      <w:pPr>
        <w:widowControl/>
        <w:spacing w:line="240" w:lineRule="auto"/>
        <w:jc w:val="left"/>
        <w:rPr>
          <w:rFonts w:ascii="宋体" w:hAnsi="宋体" w:cs="宋体"/>
          <w:kern w:val="0"/>
          <w:szCs w:val="24"/>
        </w:rPr>
      </w:pPr>
      <w:r>
        <w:rPr>
          <w:rFonts w:hint="eastAsia"/>
        </w:rPr>
        <w:t>此处</w:t>
      </w:r>
      <w:r>
        <w:t>采用</w:t>
      </w:r>
      <w:r>
        <w:rPr>
          <w:rFonts w:hint="eastAsia"/>
        </w:rPr>
        <w:t>“</w:t>
      </w:r>
      <w:r>
        <w:t>正文</w:t>
      </w:r>
      <w:r>
        <w:rPr>
          <w:rFonts w:hint="eastAsia"/>
        </w:rPr>
        <w:t>”样</w:t>
      </w:r>
      <w:r>
        <w:t>式</w:t>
      </w:r>
      <w:r>
        <w:rPr>
          <w:rFonts w:hint="eastAsia"/>
        </w:rPr>
        <w:t>，</w:t>
      </w:r>
      <w:r>
        <w:t>应用时选中文字，点击</w:t>
      </w:r>
      <w:r>
        <w:rPr>
          <w:rFonts w:hint="eastAsia"/>
        </w:rPr>
        <w:t>，</w:t>
      </w:r>
      <w:r>
        <w:t>样式——</w:t>
      </w:r>
      <w:r>
        <w:rPr>
          <w:highlight w:val="yellow"/>
        </w:rPr>
        <w:t>正文</w:t>
      </w:r>
      <w:r>
        <w:rPr>
          <w:rFonts w:hint="eastAsia"/>
        </w:rPr>
        <w:t>，</w:t>
      </w:r>
      <w:r>
        <w:t>如下图</w:t>
      </w:r>
      <w:r>
        <w:rPr>
          <w:rFonts w:ascii="宋体" w:hAnsi="宋体" w:cs="宋体"/>
          <w:kern w:val="0"/>
          <w:szCs w:val="24"/>
        </w:rPr>
        <w:drawing>
          <wp:inline distT="0" distB="0" distL="0" distR="0">
            <wp:extent cx="1190625" cy="752475"/>
            <wp:effectExtent l="0" t="0" r="9525" b="9525"/>
            <wp:docPr id="1" name="图片 1" descr="C:\Users\Administrator\AppData\Roaming\Tencent\Users\93058034\QQ\WinTemp\RichOle\[GGCW0TDLO~406X24]%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93058034\QQ\WinTemp\RichOle\[GGCW0TDLO~406X24]%9%%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90625" cy="752475"/>
                    </a:xfrm>
                    <a:prstGeom prst="rect">
                      <a:avLst/>
                    </a:prstGeom>
                    <a:noFill/>
                    <a:ln>
                      <a:noFill/>
                    </a:ln>
                  </pic:spPr>
                </pic:pic>
              </a:graphicData>
            </a:graphic>
          </wp:inline>
        </w:drawing>
      </w:r>
    </w:p>
    <w:p/>
    <w:p/>
    <w:p>
      <w:pPr>
        <w:rPr>
          <w:rFonts w:hAnsi="宋体"/>
          <w:spacing w:val="4"/>
        </w:rPr>
      </w:pPr>
      <w:r>
        <w:rPr>
          <w:rFonts w:hint="eastAsia" w:ascii="黑体" w:hAnsi="黑体" w:eastAsia="黑体"/>
          <w:sz w:val="28"/>
          <w:szCs w:val="28"/>
        </w:rPr>
        <w:t>关键词</w:t>
      </w:r>
      <w:r>
        <w:rPr>
          <w:rFonts w:ascii="黑体" w:hAnsi="黑体" w:eastAsia="黑体"/>
          <w:sz w:val="28"/>
          <w:szCs w:val="28"/>
        </w:rPr>
        <w:t>：</w:t>
      </w:r>
      <w:r>
        <w:rPr>
          <w:rFonts w:hint="eastAsia" w:ascii="宋体" w:hAnsi="宋体" w:eastAsia="宋体" w:cs="宋体"/>
          <w:sz w:val="24"/>
          <w:szCs w:val="24"/>
          <w:lang w:val="en-US" w:eastAsia="zh-CN"/>
        </w:rPr>
        <w:t>水质监测；无线通讯；远程传输；STM32F030</w:t>
      </w:r>
    </w:p>
    <w:p>
      <w:pPr>
        <w:widowControl/>
        <w:spacing w:line="240" w:lineRule="auto"/>
        <w:jc w:val="left"/>
        <w:rPr>
          <w:rFonts w:hAnsi="宋体"/>
          <w:spacing w:val="4"/>
        </w:rPr>
      </w:pPr>
      <w:r>
        <w:rPr>
          <w:rFonts w:hAnsi="宋体"/>
          <w:spacing w:val="4"/>
        </w:rPr>
        <w:br w:type="page"/>
      </w:r>
    </w:p>
    <w:p>
      <w:pPr>
        <w:spacing w:before="163" w:beforeLines="50" w:after="326" w:afterLines="100"/>
        <w:jc w:val="center"/>
        <w:rPr>
          <w:b/>
          <w:sz w:val="30"/>
          <w:szCs w:val="30"/>
        </w:rPr>
      </w:pPr>
      <w:bookmarkStart w:id="1" w:name="_Toc100977754"/>
      <w:bookmarkStart w:id="2" w:name="_Toc100977922"/>
      <w:bookmarkStart w:id="3" w:name="_Toc477897544"/>
      <w:bookmarkStart w:id="4" w:name="_Toc100993699"/>
      <w:r>
        <w:rPr>
          <w:b/>
          <w:sz w:val="30"/>
          <w:szCs w:val="30"/>
        </w:rPr>
        <w:t>Abstract</w:t>
      </w:r>
      <w:bookmarkEnd w:id="1"/>
      <w:bookmarkEnd w:id="2"/>
      <w:bookmarkEnd w:id="3"/>
      <w:bookmarkEnd w:id="4"/>
    </w:p>
    <w:p>
      <w:r>
        <w:rPr>
          <w:rFonts w:hAnsi="宋体"/>
        </w:rPr>
        <w:t>摘要内容</w:t>
      </w:r>
      <w:r>
        <w:t>(Times New Roman,</w:t>
      </w:r>
      <w:r>
        <w:rPr>
          <w:rFonts w:hAnsi="宋体"/>
        </w:rPr>
        <w:t>小四号</w:t>
      </w:r>
      <w:r>
        <w:t>)</w:t>
      </w:r>
      <w:r>
        <w:rPr>
          <w:rFonts w:hint="eastAsia"/>
        </w:rPr>
        <w:t>，此处</w:t>
      </w:r>
      <w:r>
        <w:t>采用</w:t>
      </w:r>
      <w:r>
        <w:rPr>
          <w:rFonts w:hint="eastAsia"/>
        </w:rPr>
        <w:t>“</w:t>
      </w:r>
      <w:r>
        <w:rPr>
          <w:highlight w:val="yellow"/>
        </w:rPr>
        <w:t>正文</w:t>
      </w:r>
      <w:r>
        <w:rPr>
          <w:rFonts w:hint="eastAsia"/>
        </w:rPr>
        <w:t>”样</w:t>
      </w:r>
      <w:r>
        <w:t>式</w:t>
      </w:r>
    </w:p>
    <w:p>
      <w:pPr>
        <w:rPr>
          <w:spacing w:val="4"/>
        </w:rPr>
      </w:pPr>
    </w:p>
    <w:p>
      <w:pPr>
        <w:rPr>
          <w:spacing w:val="4"/>
        </w:rPr>
      </w:pPr>
    </w:p>
    <w:p>
      <w:pPr>
        <w:rPr>
          <w:rFonts w:hAnsi="宋体"/>
          <w:spacing w:val="4"/>
        </w:rPr>
      </w:pPr>
      <w:r>
        <w:rPr>
          <w:rFonts w:ascii="黑体" w:hAnsi="黑体" w:eastAsia="黑体"/>
          <w:color w:val="000000"/>
          <w:kern w:val="0"/>
          <w:sz w:val="28"/>
          <w:szCs w:val="28"/>
        </w:rPr>
        <w:t>Key words</w:t>
      </w:r>
      <w:r>
        <w:rPr>
          <w:rFonts w:hAnsi="宋体"/>
          <w:spacing w:val="4"/>
        </w:rPr>
        <w:t>：</w:t>
      </w:r>
      <w:r>
        <w:rPr>
          <w:rFonts w:hint="default" w:ascii="Times New Roman" w:hAnsi="Times New Roman" w:cs="Times New Roman"/>
          <w:spacing w:val="4"/>
          <w:sz w:val="24"/>
          <w:szCs w:val="24"/>
          <w:lang w:val="en-US" w:eastAsia="zh-CN"/>
        </w:rPr>
        <w:t>water examination;</w:t>
      </w:r>
      <w:r>
        <w:rPr>
          <w:rFonts w:hint="eastAsia" w:cs="Times New Roman"/>
          <w:spacing w:val="4"/>
          <w:sz w:val="24"/>
          <w:szCs w:val="24"/>
          <w:lang w:val="en-US" w:eastAsia="zh-CN"/>
        </w:rPr>
        <w:t xml:space="preserve"> </w:t>
      </w:r>
      <w:r>
        <w:rPr>
          <w:rFonts w:hint="default" w:ascii="Times New Roman" w:hAnsi="Times New Roman" w:cs="Times New Roman"/>
          <w:spacing w:val="4"/>
          <w:sz w:val="24"/>
          <w:szCs w:val="24"/>
          <w:lang w:val="en-US" w:eastAsia="zh-CN"/>
        </w:rPr>
        <w:t>wireless communication;</w:t>
      </w:r>
      <w:r>
        <w:rPr>
          <w:rFonts w:hint="eastAsia" w:cs="Times New Roman"/>
          <w:spacing w:val="4"/>
          <w:sz w:val="24"/>
          <w:szCs w:val="24"/>
          <w:lang w:val="en-US" w:eastAsia="zh-CN"/>
        </w:rPr>
        <w:t xml:space="preserve"> </w:t>
      </w:r>
      <w:r>
        <w:rPr>
          <w:rFonts w:hint="default" w:ascii="Times New Roman" w:hAnsi="Times New Roman" w:cs="Times New Roman"/>
          <w:spacing w:val="4"/>
          <w:sz w:val="24"/>
          <w:szCs w:val="24"/>
          <w:lang w:val="en-US" w:eastAsia="zh-CN"/>
        </w:rPr>
        <w:t>remote transmission;</w:t>
      </w:r>
      <w:r>
        <w:rPr>
          <w:rFonts w:hint="eastAsia" w:cs="Times New Roman"/>
          <w:spacing w:val="4"/>
          <w:sz w:val="24"/>
          <w:szCs w:val="24"/>
          <w:lang w:val="en-US" w:eastAsia="zh-CN"/>
        </w:rPr>
        <w:t xml:space="preserve"> </w:t>
      </w:r>
      <w:r>
        <w:rPr>
          <w:rFonts w:hint="default" w:ascii="Times New Roman" w:hAnsi="Times New Roman" w:eastAsia="宋体" w:cs="Times New Roman"/>
          <w:sz w:val="24"/>
          <w:szCs w:val="24"/>
          <w:lang w:val="en-US" w:eastAsia="zh-CN"/>
        </w:rPr>
        <w:t>STM32F030</w:t>
      </w:r>
    </w:p>
    <w:p>
      <w:pPr>
        <w:widowControl/>
        <w:spacing w:line="240" w:lineRule="auto"/>
        <w:jc w:val="left"/>
        <w:rPr>
          <w:rFonts w:hAnsi="宋体"/>
          <w:spacing w:val="4"/>
        </w:rPr>
      </w:pPr>
      <w:r>
        <w:rPr>
          <w:rFonts w:hAnsi="宋体"/>
          <w:spacing w:val="4"/>
        </w:rPr>
        <w:br w:type="page"/>
      </w:r>
    </w:p>
    <w:sdt>
      <w:sdtPr>
        <w:rPr>
          <w:rFonts w:ascii="Times New Roman" w:hAnsi="Times New Roman" w:eastAsia="宋体" w:cstheme="minorBidi"/>
          <w:color w:val="auto"/>
          <w:kern w:val="2"/>
          <w:sz w:val="24"/>
          <w:szCs w:val="22"/>
          <w:lang w:val="zh-CN"/>
        </w:rPr>
        <w:id w:val="-750584391"/>
      </w:sdtPr>
      <w:sdtEndPr>
        <w:rPr>
          <w:rFonts w:ascii="黑体" w:hAnsi="黑体" w:eastAsia="黑体" w:cstheme="minorBidi"/>
          <w:bCs/>
          <w:color w:val="auto"/>
          <w:kern w:val="2"/>
          <w:sz w:val="28"/>
          <w:szCs w:val="28"/>
          <w:lang w:val="zh-CN"/>
        </w:rPr>
      </w:sdtEndPr>
      <w:sdtContent>
        <w:p>
          <w:pPr>
            <w:pStyle w:val="32"/>
            <w:jc w:val="center"/>
            <w:rPr>
              <w:rFonts w:ascii="黑体" w:hAnsi="黑体" w:eastAsia="黑体" w:cstheme="minorBidi"/>
              <w:color w:val="auto"/>
              <w:spacing w:val="4"/>
              <w:kern w:val="2"/>
            </w:rPr>
          </w:pPr>
          <w:r>
            <w:rPr>
              <w:rFonts w:ascii="黑体" w:hAnsi="黑体" w:eastAsia="黑体" w:cstheme="minorBidi"/>
              <w:color w:val="auto"/>
              <w:spacing w:val="4"/>
              <w:kern w:val="2"/>
            </w:rPr>
            <w:t>目</w:t>
          </w:r>
          <w:r>
            <w:rPr>
              <w:rFonts w:hint="eastAsia" w:ascii="黑体" w:hAnsi="黑体" w:eastAsia="黑体" w:cstheme="minorBidi"/>
              <w:color w:val="auto"/>
              <w:spacing w:val="4"/>
              <w:kern w:val="2"/>
            </w:rPr>
            <w:t xml:space="preserve">  </w:t>
          </w:r>
          <w:r>
            <w:rPr>
              <w:rFonts w:ascii="黑体" w:hAnsi="黑体" w:eastAsia="黑体" w:cstheme="minorBidi"/>
              <w:color w:val="auto"/>
              <w:spacing w:val="4"/>
              <w:kern w:val="2"/>
            </w:rPr>
            <w:t>录</w:t>
          </w:r>
        </w:p>
        <w:p>
          <w:pPr>
            <w:rPr>
              <w:rFonts w:ascii="黑体" w:hAnsi="黑体" w:eastAsia="黑体"/>
              <w:sz w:val="28"/>
              <w:szCs w:val="28"/>
            </w:rPr>
          </w:pPr>
          <w:r>
            <w:rPr>
              <w:rFonts w:hint="eastAsia" w:ascii="黑体" w:hAnsi="黑体" w:eastAsia="黑体"/>
              <w:sz w:val="28"/>
              <w:szCs w:val="28"/>
            </w:rPr>
            <w:t xml:space="preserve">摘  </w:t>
          </w:r>
          <w:r>
            <w:rPr>
              <w:rFonts w:ascii="黑体" w:hAnsi="黑体" w:eastAsia="黑体"/>
              <w:sz w:val="28"/>
              <w:szCs w:val="28"/>
            </w:rPr>
            <w:t xml:space="preserve">  </w:t>
          </w:r>
          <w:r>
            <w:rPr>
              <w:rFonts w:hint="eastAsia" w:ascii="黑体" w:hAnsi="黑体" w:eastAsia="黑体"/>
              <w:sz w:val="28"/>
              <w:szCs w:val="28"/>
            </w:rPr>
            <w:t>要</w:t>
          </w:r>
        </w:p>
        <w:p>
          <w:pPr>
            <w:tabs>
              <w:tab w:val="left" w:pos="2402"/>
            </w:tabs>
            <w:rPr>
              <w:rFonts w:hint="eastAsia" w:ascii="黑体" w:hAnsi="黑体" w:eastAsia="黑体"/>
              <w:sz w:val="28"/>
              <w:szCs w:val="28"/>
            </w:rPr>
          </w:pPr>
          <w:r>
            <w:rPr>
              <w:rFonts w:hint="eastAsia" w:ascii="黑体" w:hAnsi="黑体" w:eastAsia="黑体"/>
              <w:sz w:val="28"/>
              <w:szCs w:val="28"/>
            </w:rPr>
            <w:t>A</w:t>
          </w:r>
          <w:r>
            <w:rPr>
              <w:rFonts w:ascii="黑体" w:hAnsi="黑体" w:eastAsia="黑体"/>
              <w:sz w:val="28"/>
              <w:szCs w:val="28"/>
            </w:rPr>
            <w:t>bstract</w:t>
          </w:r>
          <w:r>
            <w:rPr>
              <w:rFonts w:hint="eastAsia" w:ascii="黑体" w:hAnsi="黑体" w:eastAsia="黑体"/>
              <w:sz w:val="28"/>
              <w:szCs w:val="28"/>
              <w:lang w:eastAsia="zh-CN"/>
            </w:rPr>
            <w:tab/>
          </w:r>
        </w:p>
        <w:p>
          <w:pPr>
            <w:pStyle w:val="10"/>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_Toc15819 </w:instrText>
          </w:r>
          <w:r>
            <w:fldChar w:fldCharType="separate"/>
          </w:r>
          <w:r>
            <w:rPr>
              <w:rFonts w:hint="eastAsia"/>
            </w:rPr>
            <w:t>第1章 绪论</w:t>
          </w:r>
          <w:r>
            <w:tab/>
          </w:r>
          <w:r>
            <w:fldChar w:fldCharType="begin"/>
          </w:r>
          <w:r>
            <w:instrText xml:space="preserve"> PAGEREF _Toc15819 </w:instrText>
          </w:r>
          <w:r>
            <w:fldChar w:fldCharType="separate"/>
          </w:r>
          <w:r>
            <w:t>1</w:t>
          </w:r>
          <w:r>
            <w:fldChar w:fldCharType="end"/>
          </w:r>
          <w:r>
            <w:fldChar w:fldCharType="end"/>
          </w:r>
        </w:p>
        <w:p>
          <w:pPr>
            <w:pStyle w:val="11"/>
            <w:tabs>
              <w:tab w:val="right" w:leader="dot" w:pos="8306"/>
              <w:tab w:val="clear" w:pos="8296"/>
            </w:tabs>
          </w:pPr>
          <w:r>
            <w:rPr>
              <w:b/>
              <w:bCs/>
              <w:lang w:val="zh-CN"/>
            </w:rPr>
            <w:fldChar w:fldCharType="begin"/>
          </w:r>
          <w:r>
            <w:rPr>
              <w:b/>
              <w:bCs/>
              <w:lang w:val="zh-CN"/>
            </w:rPr>
            <w:instrText xml:space="preserve"> HYPERLINK \l _Toc18682 </w:instrText>
          </w:r>
          <w:r>
            <w:rPr>
              <w:b/>
              <w:bCs/>
              <w:lang w:val="zh-CN"/>
            </w:rPr>
            <w:fldChar w:fldCharType="separate"/>
          </w:r>
          <w:r>
            <w:rPr>
              <w:rFonts w:hint="eastAsia"/>
            </w:rPr>
            <w:t>1.1 背景</w:t>
          </w:r>
          <w:r>
            <w:t>和意义</w:t>
          </w:r>
          <w:r>
            <w:tab/>
          </w:r>
          <w:r>
            <w:fldChar w:fldCharType="begin"/>
          </w:r>
          <w:r>
            <w:instrText xml:space="preserve"> PAGEREF _Toc18682 </w:instrText>
          </w:r>
          <w:r>
            <w:fldChar w:fldCharType="separate"/>
          </w:r>
          <w:r>
            <w:t>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_Toc19418 </w:instrText>
          </w:r>
          <w:r>
            <w:rPr>
              <w:b/>
              <w:bCs/>
              <w:lang w:val="zh-CN"/>
            </w:rPr>
            <w:fldChar w:fldCharType="separate"/>
          </w:r>
          <w:r>
            <w:rPr>
              <w:rFonts w:hint="eastAsia"/>
            </w:rPr>
            <w:t>1.1.1 背景</w:t>
          </w:r>
          <w:r>
            <w:tab/>
          </w:r>
          <w:r>
            <w:fldChar w:fldCharType="begin"/>
          </w:r>
          <w:r>
            <w:instrText xml:space="preserve"> PAGEREF _Toc19418 </w:instrText>
          </w:r>
          <w:r>
            <w:fldChar w:fldCharType="separate"/>
          </w:r>
          <w:r>
            <w:t>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_Toc17631 </w:instrText>
          </w:r>
          <w:r>
            <w:rPr>
              <w:b/>
              <w:bCs/>
              <w:lang w:val="zh-CN"/>
            </w:rPr>
            <w:fldChar w:fldCharType="separate"/>
          </w:r>
          <w:r>
            <w:rPr>
              <w:rFonts w:hint="eastAsia"/>
            </w:rPr>
            <w:t>1.1.2 意义</w:t>
          </w:r>
          <w:r>
            <w:tab/>
          </w:r>
          <w:r>
            <w:fldChar w:fldCharType="begin"/>
          </w:r>
          <w:r>
            <w:instrText xml:space="preserve"> PAGEREF _Toc17631 </w:instrText>
          </w:r>
          <w:r>
            <w:fldChar w:fldCharType="separate"/>
          </w:r>
          <w:r>
            <w:t>1</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_Toc18453 </w:instrText>
          </w:r>
          <w:r>
            <w:rPr>
              <w:b/>
              <w:bCs/>
              <w:lang w:val="zh-CN"/>
            </w:rPr>
            <w:fldChar w:fldCharType="separate"/>
          </w:r>
          <w:r>
            <w:rPr>
              <w:rFonts w:hint="eastAsia"/>
            </w:rPr>
            <w:t>1.2 国内外</w:t>
          </w:r>
          <w:r>
            <w:t>研究现状</w:t>
          </w:r>
          <w:r>
            <w:tab/>
          </w:r>
          <w:r>
            <w:fldChar w:fldCharType="begin"/>
          </w:r>
          <w:r>
            <w:instrText xml:space="preserve"> PAGEREF _Toc18453 </w:instrText>
          </w:r>
          <w:r>
            <w:fldChar w:fldCharType="separate"/>
          </w:r>
          <w:r>
            <w:t>2</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_Toc23056 </w:instrText>
          </w:r>
          <w:r>
            <w:rPr>
              <w:b/>
              <w:bCs/>
              <w:lang w:val="zh-CN"/>
            </w:rPr>
            <w:fldChar w:fldCharType="separate"/>
          </w:r>
          <w:r>
            <w:rPr>
              <w:rFonts w:hint="eastAsia"/>
            </w:rPr>
            <w:t xml:space="preserve">第2章 </w:t>
          </w:r>
          <w:r>
            <w:rPr>
              <w:rFonts w:hint="eastAsia"/>
              <w:lang w:val="en-US" w:eastAsia="zh-CN"/>
            </w:rPr>
            <w:t>农村生活污水处理远程监测采集器</w:t>
          </w:r>
          <w:r>
            <w:t>原理</w:t>
          </w:r>
          <w:r>
            <w:tab/>
          </w:r>
          <w:r>
            <w:fldChar w:fldCharType="begin"/>
          </w:r>
          <w:r>
            <w:instrText xml:space="preserve"> PAGEREF _Toc23056 </w:instrText>
          </w:r>
          <w:r>
            <w:fldChar w:fldCharType="separate"/>
          </w:r>
          <w:r>
            <w:t>3</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_Toc24061 </w:instrText>
          </w:r>
          <w:r>
            <w:rPr>
              <w:b/>
              <w:bCs/>
              <w:lang w:val="zh-CN"/>
            </w:rPr>
            <w:fldChar w:fldCharType="separate"/>
          </w:r>
          <w:r>
            <w:rPr>
              <w:rFonts w:hint="eastAsia"/>
              <w:lang w:val="en-US" w:eastAsia="zh-CN"/>
            </w:rPr>
            <w:t>2.1 农村生活污水处理远程监测采集器所在系统的系统框架</w:t>
          </w:r>
          <w:r>
            <w:tab/>
          </w:r>
          <w:r>
            <w:fldChar w:fldCharType="begin"/>
          </w:r>
          <w:r>
            <w:instrText xml:space="preserve"> PAGEREF _Toc24061 </w:instrText>
          </w:r>
          <w:r>
            <w:fldChar w:fldCharType="separate"/>
          </w:r>
          <w:r>
            <w:t>3</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_Toc16013 </w:instrText>
          </w:r>
          <w:r>
            <w:rPr>
              <w:b/>
              <w:bCs/>
              <w:lang w:val="zh-CN"/>
            </w:rPr>
            <w:fldChar w:fldCharType="separate"/>
          </w:r>
          <w:r>
            <w:rPr>
              <w:rFonts w:hint="eastAsia"/>
              <w:lang w:val="en-US" w:eastAsia="zh-CN"/>
            </w:rPr>
            <w:t>2.2 系统中所采用的水质传感设备</w:t>
          </w:r>
          <w:r>
            <w:tab/>
          </w:r>
          <w:r>
            <w:fldChar w:fldCharType="begin"/>
          </w:r>
          <w:r>
            <w:instrText xml:space="preserve"> PAGEREF _Toc16013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_Toc18951 </w:instrText>
          </w:r>
          <w:r>
            <w:rPr>
              <w:b/>
              <w:bCs/>
              <w:lang w:val="zh-CN"/>
            </w:rPr>
            <w:fldChar w:fldCharType="separate"/>
          </w:r>
          <w:r>
            <w:rPr>
              <w:rFonts w:hint="eastAsia"/>
              <w:lang w:val="en-US" w:eastAsia="zh-CN"/>
            </w:rPr>
            <w:t>2.2.1 PH190控制器</w:t>
          </w:r>
          <w:r>
            <w:tab/>
          </w:r>
          <w:r>
            <w:fldChar w:fldCharType="begin"/>
          </w:r>
          <w:r>
            <w:instrText xml:space="preserve"> PAGEREF _Toc18951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_Toc2440 </w:instrText>
          </w:r>
          <w:r>
            <w:rPr>
              <w:b/>
              <w:bCs/>
              <w:lang w:val="zh-CN"/>
            </w:rPr>
            <w:fldChar w:fldCharType="separate"/>
          </w:r>
          <w:r>
            <w:rPr>
              <w:rFonts w:hint="eastAsia"/>
              <w:lang w:val="en-US" w:eastAsia="zh-CN"/>
            </w:rPr>
            <w:t>2.2.2 在线溶氧仪</w:t>
          </w:r>
          <w:r>
            <w:tab/>
          </w:r>
          <w:r>
            <w:fldChar w:fldCharType="begin"/>
          </w:r>
          <w:r>
            <w:instrText xml:space="preserve"> PAGEREF _Toc2440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_Toc10477 </w:instrText>
          </w:r>
          <w:r>
            <w:rPr>
              <w:b/>
              <w:bCs/>
              <w:lang w:val="zh-CN"/>
            </w:rPr>
            <w:fldChar w:fldCharType="separate"/>
          </w:r>
          <w:r>
            <w:rPr>
              <w:rFonts w:hint="eastAsia"/>
              <w:lang w:val="en-US" w:eastAsia="zh-CN"/>
            </w:rPr>
            <w:t>2.2.3 浊度在线分析仪</w:t>
          </w:r>
          <w:r>
            <w:tab/>
          </w:r>
          <w:r>
            <w:fldChar w:fldCharType="begin"/>
          </w:r>
          <w:r>
            <w:instrText xml:space="preserve"> PAGEREF _Toc10477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_Toc26099 </w:instrText>
          </w:r>
          <w:r>
            <w:rPr>
              <w:b/>
              <w:bCs/>
              <w:lang w:val="zh-CN"/>
            </w:rPr>
            <w:fldChar w:fldCharType="separate"/>
          </w:r>
          <w:r>
            <w:rPr>
              <w:rFonts w:hint="eastAsia"/>
              <w:lang w:val="en-US" w:eastAsia="zh-CN"/>
            </w:rPr>
            <w:t>2.2.4 电导率仪</w:t>
          </w:r>
          <w:r>
            <w:tab/>
          </w:r>
          <w:r>
            <w:fldChar w:fldCharType="begin"/>
          </w:r>
          <w:r>
            <w:instrText xml:space="preserve"> PAGEREF _Toc26099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_Toc32365 </w:instrText>
          </w:r>
          <w:r>
            <w:rPr>
              <w:b/>
              <w:bCs/>
              <w:lang w:val="zh-CN"/>
            </w:rPr>
            <w:fldChar w:fldCharType="separate"/>
          </w:r>
          <w:r>
            <w:rPr>
              <w:rFonts w:hint="eastAsia"/>
              <w:lang w:val="en-US" w:eastAsia="zh-CN"/>
            </w:rPr>
            <w:t>2.2.5 奥新压力仪</w:t>
          </w:r>
          <w:r>
            <w:tab/>
          </w:r>
          <w:r>
            <w:fldChar w:fldCharType="begin"/>
          </w:r>
          <w:r>
            <w:instrText xml:space="preserve"> PAGEREF _Toc32365 </w:instrText>
          </w:r>
          <w:r>
            <w:fldChar w:fldCharType="separate"/>
          </w:r>
          <w:r>
            <w:t>4</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_Toc8908 </w:instrText>
          </w:r>
          <w:r>
            <w:rPr>
              <w:b/>
              <w:bCs/>
              <w:lang w:val="zh-CN"/>
            </w:rPr>
            <w:fldChar w:fldCharType="separate"/>
          </w:r>
          <w:r>
            <w:rPr>
              <w:rFonts w:hint="eastAsia"/>
              <w:lang w:val="en-US" w:eastAsia="zh-CN"/>
            </w:rPr>
            <w:t>2.3 水质传感设备与农村生活污水处理远程监测采集器的通讯方式及通讯协议</w:t>
          </w:r>
          <w:r>
            <w:tab/>
          </w:r>
          <w:r>
            <w:fldChar w:fldCharType="begin"/>
          </w:r>
          <w:r>
            <w:instrText xml:space="preserve"> PAGEREF _Toc8908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_Toc5886 </w:instrText>
          </w:r>
          <w:r>
            <w:rPr>
              <w:b/>
              <w:bCs/>
              <w:lang w:val="zh-CN"/>
            </w:rPr>
            <w:fldChar w:fldCharType="separate"/>
          </w:r>
          <w:r>
            <w:rPr>
              <w:rFonts w:hint="eastAsia"/>
              <w:lang w:val="en-US" w:eastAsia="zh-CN"/>
            </w:rPr>
            <w:t>2.3.1 RS485</w:t>
          </w:r>
          <w:r>
            <w:tab/>
          </w:r>
          <w:r>
            <w:fldChar w:fldCharType="begin"/>
          </w:r>
          <w:r>
            <w:instrText xml:space="preserve"> PAGEREF _Toc5886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_Toc22123 </w:instrText>
          </w:r>
          <w:r>
            <w:rPr>
              <w:b/>
              <w:bCs/>
              <w:lang w:val="zh-CN"/>
            </w:rPr>
            <w:fldChar w:fldCharType="separate"/>
          </w:r>
          <w:r>
            <w:rPr>
              <w:rFonts w:hint="eastAsia"/>
              <w:lang w:val="en-US" w:eastAsia="zh-CN"/>
            </w:rPr>
            <w:t>2.3.2 CRC16</w:t>
          </w:r>
          <w:r>
            <w:tab/>
          </w:r>
          <w:r>
            <w:fldChar w:fldCharType="begin"/>
          </w:r>
          <w:r>
            <w:instrText xml:space="preserve"> PAGEREF _Toc22123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_Toc17484 </w:instrText>
          </w:r>
          <w:r>
            <w:rPr>
              <w:b/>
              <w:bCs/>
              <w:lang w:val="zh-CN"/>
            </w:rPr>
            <w:fldChar w:fldCharType="separate"/>
          </w:r>
          <w:r>
            <w:rPr>
              <w:rFonts w:hint="eastAsia"/>
              <w:lang w:val="en-US" w:eastAsia="zh-CN"/>
            </w:rPr>
            <w:t>2.3.3 各传感设备协议</w:t>
          </w:r>
          <w:r>
            <w:tab/>
          </w:r>
          <w:r>
            <w:fldChar w:fldCharType="begin"/>
          </w:r>
          <w:r>
            <w:instrText xml:space="preserve"> PAGEREF _Toc17484 </w:instrText>
          </w:r>
          <w:r>
            <w:fldChar w:fldCharType="separate"/>
          </w:r>
          <w:r>
            <w:t>4</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_Toc13726 </w:instrText>
          </w:r>
          <w:r>
            <w:rPr>
              <w:b/>
              <w:bCs/>
              <w:lang w:val="zh-CN"/>
            </w:rPr>
            <w:fldChar w:fldCharType="separate"/>
          </w:r>
          <w:r>
            <w:rPr>
              <w:rFonts w:hint="eastAsia"/>
              <w:lang w:val="en-US" w:eastAsia="zh-CN"/>
            </w:rPr>
            <w:t>2.4 农村生活污水处理远程监测采集器硬件设计</w:t>
          </w:r>
          <w:r>
            <w:tab/>
          </w:r>
          <w:r>
            <w:fldChar w:fldCharType="begin"/>
          </w:r>
          <w:r>
            <w:instrText xml:space="preserve"> PAGEREF _Toc13726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_Toc12922 </w:instrText>
          </w:r>
          <w:r>
            <w:rPr>
              <w:b/>
              <w:bCs/>
              <w:lang w:val="zh-CN"/>
            </w:rPr>
            <w:fldChar w:fldCharType="separate"/>
          </w:r>
          <w:r>
            <w:rPr>
              <w:rFonts w:hint="eastAsia"/>
              <w:lang w:val="en-US" w:eastAsia="zh-CN"/>
            </w:rPr>
            <w:t>2.4.1 需求分析</w:t>
          </w:r>
          <w:r>
            <w:tab/>
          </w:r>
          <w:r>
            <w:fldChar w:fldCharType="begin"/>
          </w:r>
          <w:r>
            <w:instrText xml:space="preserve"> PAGEREF _Toc12922 </w:instrText>
          </w:r>
          <w:r>
            <w:fldChar w:fldCharType="separate"/>
          </w:r>
          <w:r>
            <w:t>4</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_Toc1118 </w:instrText>
          </w:r>
          <w:r>
            <w:rPr>
              <w:b/>
              <w:bCs/>
              <w:lang w:val="zh-CN"/>
            </w:rPr>
            <w:fldChar w:fldCharType="separate"/>
          </w:r>
          <w:r>
            <w:rPr>
              <w:rFonts w:hint="eastAsia"/>
              <w:lang w:val="en-US" w:eastAsia="zh-CN"/>
            </w:rPr>
            <w:t>2.4.2 主控芯片选型及核心电路设计</w:t>
          </w:r>
          <w:r>
            <w:tab/>
          </w:r>
          <w:r>
            <w:fldChar w:fldCharType="begin"/>
          </w:r>
          <w:r>
            <w:instrText xml:space="preserve"> PAGEREF _Toc1118 </w:instrText>
          </w:r>
          <w:r>
            <w:fldChar w:fldCharType="separate"/>
          </w:r>
          <w:r>
            <w:t>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_Toc17525 </w:instrText>
          </w:r>
          <w:r>
            <w:rPr>
              <w:b/>
              <w:bCs/>
              <w:lang w:val="zh-CN"/>
            </w:rPr>
            <w:fldChar w:fldCharType="separate"/>
          </w:r>
          <w:r>
            <w:rPr>
              <w:rFonts w:hint="eastAsia"/>
              <w:lang w:val="en-US" w:eastAsia="zh-CN"/>
            </w:rPr>
            <w:t>2.4.3 RS485通讯模块设计</w:t>
          </w:r>
          <w:r>
            <w:tab/>
          </w:r>
          <w:r>
            <w:fldChar w:fldCharType="begin"/>
          </w:r>
          <w:r>
            <w:instrText xml:space="preserve"> PAGEREF _Toc17525 </w:instrText>
          </w:r>
          <w:r>
            <w:fldChar w:fldCharType="separate"/>
          </w:r>
          <w:r>
            <w:t>10</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_Toc30041 </w:instrText>
          </w:r>
          <w:r>
            <w:rPr>
              <w:b/>
              <w:bCs/>
              <w:lang w:val="zh-CN"/>
            </w:rPr>
            <w:fldChar w:fldCharType="separate"/>
          </w:r>
          <w:r>
            <w:rPr>
              <w:rFonts w:hint="eastAsia"/>
              <w:lang w:val="en-US" w:eastAsia="zh-CN"/>
            </w:rPr>
            <w:t>2.4.4 OLED显示模块设计</w:t>
          </w:r>
          <w:r>
            <w:tab/>
          </w:r>
          <w:r>
            <w:fldChar w:fldCharType="begin"/>
          </w:r>
          <w:r>
            <w:instrText xml:space="preserve"> PAGEREF _Toc30041 </w:instrText>
          </w:r>
          <w:r>
            <w:fldChar w:fldCharType="separate"/>
          </w:r>
          <w:r>
            <w:t>11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_Toc6111 </w:instrText>
          </w:r>
          <w:r>
            <w:rPr>
              <w:b/>
              <w:bCs/>
              <w:lang w:val="zh-CN"/>
            </w:rPr>
            <w:fldChar w:fldCharType="separate"/>
          </w:r>
          <w:r>
            <w:rPr>
              <w:rFonts w:hint="eastAsia"/>
              <w:lang w:val="en-US" w:eastAsia="zh-CN"/>
            </w:rPr>
            <w:t>2.4.5 供电模块及电压监测电路设计</w:t>
          </w:r>
          <w:r>
            <w:tab/>
          </w:r>
          <w:r>
            <w:fldChar w:fldCharType="begin"/>
          </w:r>
          <w:r>
            <w:instrText xml:space="preserve"> PAGEREF _Toc6111 </w:instrText>
          </w:r>
          <w:r>
            <w:fldChar w:fldCharType="separate"/>
          </w:r>
          <w:r>
            <w:t>11</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_Toc13996 </w:instrText>
          </w:r>
          <w:r>
            <w:rPr>
              <w:b/>
              <w:bCs/>
              <w:lang w:val="zh-CN"/>
            </w:rPr>
            <w:fldChar w:fldCharType="separate"/>
          </w:r>
          <w:r>
            <w:rPr>
              <w:rFonts w:hint="eastAsia"/>
              <w:lang w:val="en-US" w:eastAsia="zh-CN"/>
            </w:rPr>
            <w:t>2.4.6 NRF24L01无线通讯模块设计</w:t>
          </w:r>
          <w:r>
            <w:tab/>
          </w:r>
          <w:r>
            <w:fldChar w:fldCharType="begin"/>
          </w:r>
          <w:r>
            <w:instrText xml:space="preserve"> PAGEREF _Toc13996 </w:instrText>
          </w:r>
          <w:r>
            <w:fldChar w:fldCharType="separate"/>
          </w:r>
          <w:r>
            <w:t>13</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_Toc5467 </w:instrText>
          </w:r>
          <w:r>
            <w:rPr>
              <w:b/>
              <w:bCs/>
              <w:lang w:val="zh-CN"/>
            </w:rPr>
            <w:fldChar w:fldCharType="separate"/>
          </w:r>
          <w:r>
            <w:rPr>
              <w:rFonts w:hint="eastAsia"/>
              <w:lang w:val="en-US" w:eastAsia="zh-CN"/>
            </w:rPr>
            <w:t>2.4.7 农村生活污水处理远程监测采集器PCB设计及焊接</w:t>
          </w:r>
          <w:r>
            <w:tab/>
          </w:r>
          <w:r>
            <w:fldChar w:fldCharType="begin"/>
          </w:r>
          <w:r>
            <w:instrText xml:space="preserve"> PAGEREF _Toc5467 </w:instrText>
          </w:r>
          <w:r>
            <w:fldChar w:fldCharType="separate"/>
          </w:r>
          <w:r>
            <w:t>13</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_Toc7546 </w:instrText>
          </w:r>
          <w:r>
            <w:rPr>
              <w:b/>
              <w:bCs/>
              <w:lang w:val="zh-CN"/>
            </w:rPr>
            <w:fldChar w:fldCharType="separate"/>
          </w:r>
          <w:r>
            <w:rPr>
              <w:rFonts w:hint="eastAsia"/>
              <w:lang w:val="en-US" w:eastAsia="zh-CN"/>
            </w:rPr>
            <w:t>2.5 农村生活污水处理远程监测采集器软件设计</w:t>
          </w:r>
          <w:r>
            <w:tab/>
          </w:r>
          <w:r>
            <w:fldChar w:fldCharType="begin"/>
          </w:r>
          <w:r>
            <w:instrText xml:space="preserve"> PAGEREF _Toc7546 </w:instrText>
          </w:r>
          <w:r>
            <w:fldChar w:fldCharType="separate"/>
          </w:r>
          <w:r>
            <w:t>15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_Toc22599 </w:instrText>
          </w:r>
          <w:r>
            <w:rPr>
              <w:b/>
              <w:bCs/>
              <w:lang w:val="zh-CN"/>
            </w:rPr>
            <w:fldChar w:fldCharType="separate"/>
          </w:r>
          <w:r>
            <w:rPr>
              <w:rFonts w:hint="eastAsia"/>
              <w:lang w:val="en-US" w:eastAsia="zh-CN"/>
            </w:rPr>
            <w:t>2.5.1 En.stm32cubef0 Firmware 介绍及移植</w:t>
          </w:r>
          <w:r>
            <w:tab/>
          </w:r>
          <w:r>
            <w:fldChar w:fldCharType="begin"/>
          </w:r>
          <w:r>
            <w:instrText xml:space="preserve"> PAGEREF _Toc22599 </w:instrText>
          </w:r>
          <w:r>
            <w:fldChar w:fldCharType="separate"/>
          </w:r>
          <w:r>
            <w:t>15</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_Toc12110 </w:instrText>
          </w:r>
          <w:r>
            <w:rPr>
              <w:b/>
              <w:bCs/>
              <w:lang w:val="zh-CN"/>
            </w:rPr>
            <w:fldChar w:fldCharType="separate"/>
          </w:r>
          <w:r>
            <w:rPr>
              <w:rFonts w:hint="eastAsia"/>
              <w:lang w:val="en-US" w:eastAsia="zh-CN"/>
            </w:rPr>
            <w:t>2.5.2 RS485通讯模块驱动程序设计</w:t>
          </w:r>
          <w:r>
            <w:tab/>
          </w:r>
          <w:r>
            <w:fldChar w:fldCharType="begin"/>
          </w:r>
          <w:r>
            <w:instrText xml:space="preserve"> PAGEREF _Toc12110 </w:instrText>
          </w:r>
          <w:r>
            <w:fldChar w:fldCharType="separate"/>
          </w:r>
          <w:r>
            <w:t>16</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_Toc20770 </w:instrText>
          </w:r>
          <w:r>
            <w:rPr>
              <w:b/>
              <w:bCs/>
              <w:lang w:val="zh-CN"/>
            </w:rPr>
            <w:fldChar w:fldCharType="separate"/>
          </w:r>
          <w:r>
            <w:rPr>
              <w:rFonts w:hint="eastAsia"/>
              <w:lang w:val="en-US" w:eastAsia="zh-CN"/>
            </w:rPr>
            <w:t>2.5.3 OLED显示模块驱动程序设计</w:t>
          </w:r>
          <w:r>
            <w:tab/>
          </w:r>
          <w:r>
            <w:fldChar w:fldCharType="begin"/>
          </w:r>
          <w:r>
            <w:instrText xml:space="preserve"> PAGEREF _Toc20770 </w:instrText>
          </w:r>
          <w:r>
            <w:fldChar w:fldCharType="separate"/>
          </w:r>
          <w:r>
            <w:t>17</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_Toc32608 </w:instrText>
          </w:r>
          <w:r>
            <w:rPr>
              <w:b/>
              <w:bCs/>
              <w:lang w:val="zh-CN"/>
            </w:rPr>
            <w:fldChar w:fldCharType="separate"/>
          </w:r>
          <w:r>
            <w:rPr>
              <w:rFonts w:hint="eastAsia"/>
              <w:lang w:val="en-US" w:eastAsia="zh-CN"/>
            </w:rPr>
            <w:t>2.5.4 NRF24L01无线通讯模块驱动程序设计</w:t>
          </w:r>
          <w:r>
            <w:tab/>
          </w:r>
          <w:r>
            <w:fldChar w:fldCharType="begin"/>
          </w:r>
          <w:r>
            <w:instrText xml:space="preserve"> PAGEREF _Toc32608 </w:instrText>
          </w:r>
          <w:r>
            <w:fldChar w:fldCharType="separate"/>
          </w:r>
          <w:r>
            <w:t>17</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_Toc24616 </w:instrText>
          </w:r>
          <w:r>
            <w:rPr>
              <w:b/>
              <w:bCs/>
              <w:lang w:val="zh-CN"/>
            </w:rPr>
            <w:fldChar w:fldCharType="separate"/>
          </w:r>
          <w:r>
            <w:rPr>
              <w:rFonts w:hint="eastAsia"/>
              <w:lang w:val="en-US" w:eastAsia="zh-CN"/>
            </w:rPr>
            <w:t>2.5.5 各水质传感设备驱动程序设计</w:t>
          </w:r>
          <w:r>
            <w:tab/>
          </w:r>
          <w:r>
            <w:fldChar w:fldCharType="begin"/>
          </w:r>
          <w:r>
            <w:instrText xml:space="preserve"> PAGEREF _Toc24616 </w:instrText>
          </w:r>
          <w:r>
            <w:fldChar w:fldCharType="separate"/>
          </w:r>
          <w:r>
            <w:t>17</w:t>
          </w:r>
          <w:r>
            <w:fldChar w:fldCharType="end"/>
          </w:r>
          <w:r>
            <w:rPr>
              <w:b/>
              <w:bCs/>
              <w:lang w:val="zh-CN"/>
            </w:rPr>
            <w:fldChar w:fldCharType="end"/>
          </w:r>
        </w:p>
        <w:p>
          <w:pPr>
            <w:pStyle w:val="7"/>
            <w:tabs>
              <w:tab w:val="right" w:leader="dot" w:pos="8306"/>
              <w:tab w:val="clear" w:pos="8296"/>
            </w:tabs>
          </w:pPr>
          <w:r>
            <w:rPr>
              <w:b/>
              <w:bCs/>
              <w:lang w:val="zh-CN"/>
            </w:rPr>
            <w:fldChar w:fldCharType="begin"/>
          </w:r>
          <w:r>
            <w:rPr>
              <w:b/>
              <w:bCs/>
              <w:lang w:val="zh-CN"/>
            </w:rPr>
            <w:instrText xml:space="preserve"> HYPERLINK \l _Toc18234 </w:instrText>
          </w:r>
          <w:r>
            <w:rPr>
              <w:b/>
              <w:bCs/>
              <w:lang w:val="zh-CN"/>
            </w:rPr>
            <w:fldChar w:fldCharType="separate"/>
          </w:r>
          <w:r>
            <w:rPr>
              <w:rFonts w:hint="eastAsia"/>
              <w:lang w:val="en-US" w:eastAsia="zh-CN"/>
            </w:rPr>
            <w:t>2.5.6 主函数框架设计</w:t>
          </w:r>
          <w:r>
            <w:tab/>
          </w:r>
          <w:r>
            <w:fldChar w:fldCharType="begin"/>
          </w:r>
          <w:r>
            <w:instrText xml:space="preserve"> PAGEREF _Toc18234 </w:instrText>
          </w:r>
          <w:r>
            <w:fldChar w:fldCharType="separate"/>
          </w:r>
          <w:r>
            <w:t>17</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_Toc20984 </w:instrText>
          </w:r>
          <w:r>
            <w:rPr>
              <w:b/>
              <w:bCs/>
              <w:lang w:val="zh-CN"/>
            </w:rPr>
            <w:fldChar w:fldCharType="separate"/>
          </w:r>
          <w:r>
            <w:rPr>
              <w:rFonts w:hint="eastAsia"/>
              <w:lang w:val="en-US" w:eastAsia="zh-CN"/>
            </w:rPr>
            <w:t>2.6 系统中所采用的服务器</w:t>
          </w:r>
          <w:r>
            <w:tab/>
          </w:r>
          <w:r>
            <w:fldChar w:fldCharType="begin"/>
          </w:r>
          <w:r>
            <w:instrText xml:space="preserve"> PAGEREF _Toc20984 </w:instrText>
          </w:r>
          <w:r>
            <w:fldChar w:fldCharType="separate"/>
          </w:r>
          <w:r>
            <w:t>17</w:t>
          </w:r>
          <w:r>
            <w:fldChar w:fldCharType="end"/>
          </w:r>
          <w:r>
            <w:rPr>
              <w:b/>
              <w:bCs/>
              <w:lang w:val="zh-CN"/>
            </w:rPr>
            <w:fldChar w:fldCharType="end"/>
          </w:r>
        </w:p>
        <w:p>
          <w:pPr>
            <w:pStyle w:val="11"/>
            <w:tabs>
              <w:tab w:val="right" w:leader="dot" w:pos="8306"/>
              <w:tab w:val="clear" w:pos="8296"/>
            </w:tabs>
          </w:pPr>
          <w:r>
            <w:rPr>
              <w:b/>
              <w:bCs/>
              <w:lang w:val="zh-CN"/>
            </w:rPr>
            <w:fldChar w:fldCharType="begin"/>
          </w:r>
          <w:r>
            <w:rPr>
              <w:b/>
              <w:bCs/>
              <w:lang w:val="zh-CN"/>
            </w:rPr>
            <w:instrText xml:space="preserve"> HYPERLINK \l _Toc7504 </w:instrText>
          </w:r>
          <w:r>
            <w:rPr>
              <w:b/>
              <w:bCs/>
              <w:lang w:val="zh-CN"/>
            </w:rPr>
            <w:fldChar w:fldCharType="separate"/>
          </w:r>
          <w:r>
            <w:rPr>
              <w:rFonts w:hint="eastAsia"/>
              <w:lang w:val="en-US" w:eastAsia="zh-CN"/>
            </w:rPr>
            <w:t>2.7 服务器与农村生活污水处理远程监测采集器的通讯方式及通讯协议</w:t>
          </w:r>
          <w:r>
            <w:tab/>
          </w:r>
          <w:r>
            <w:fldChar w:fldCharType="begin"/>
          </w:r>
          <w:r>
            <w:instrText xml:space="preserve"> PAGEREF _Toc7504 </w:instrText>
          </w:r>
          <w:r>
            <w:fldChar w:fldCharType="separate"/>
          </w:r>
          <w:r>
            <w:t>17</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_Toc13885 </w:instrText>
          </w:r>
          <w:r>
            <w:rPr>
              <w:b/>
              <w:bCs/>
              <w:lang w:val="zh-CN"/>
            </w:rPr>
            <w:fldChar w:fldCharType="separate"/>
          </w:r>
          <w:r>
            <w:rPr>
              <w:rFonts w:hint="eastAsia"/>
            </w:rPr>
            <w:t>参考</w:t>
          </w:r>
          <w:r>
            <w:t>文献</w:t>
          </w:r>
          <w:r>
            <w:tab/>
          </w:r>
          <w:r>
            <w:fldChar w:fldCharType="begin"/>
          </w:r>
          <w:r>
            <w:instrText xml:space="preserve"> PAGEREF _Toc13885 </w:instrText>
          </w:r>
          <w:r>
            <w:fldChar w:fldCharType="separate"/>
          </w:r>
          <w:r>
            <w:t>18</w:t>
          </w:r>
          <w:r>
            <w:fldChar w:fldCharType="end"/>
          </w:r>
          <w:r>
            <w:rPr>
              <w:b/>
              <w:bCs/>
              <w:lang w:val="zh-CN"/>
            </w:rPr>
            <w:fldChar w:fldCharType="end"/>
          </w:r>
        </w:p>
        <w:p>
          <w:pPr>
            <w:pStyle w:val="10"/>
            <w:tabs>
              <w:tab w:val="right" w:leader="dot" w:pos="8306"/>
              <w:tab w:val="clear" w:pos="8296"/>
            </w:tabs>
          </w:pPr>
          <w:r>
            <w:rPr>
              <w:b/>
              <w:bCs/>
              <w:lang w:val="zh-CN"/>
            </w:rPr>
            <w:fldChar w:fldCharType="begin"/>
          </w:r>
          <w:r>
            <w:rPr>
              <w:b/>
              <w:bCs/>
              <w:lang w:val="zh-CN"/>
            </w:rPr>
            <w:instrText xml:space="preserve"> HYPERLINK \l _Toc390 </w:instrText>
          </w:r>
          <w:r>
            <w:rPr>
              <w:b/>
              <w:bCs/>
              <w:lang w:val="zh-CN"/>
            </w:rPr>
            <w:fldChar w:fldCharType="separate"/>
          </w:r>
          <w:r>
            <w:rPr>
              <w:rFonts w:hint="eastAsia"/>
            </w:rPr>
            <w:t>致  谢</w:t>
          </w:r>
          <w:r>
            <w:tab/>
          </w:r>
          <w:r>
            <w:fldChar w:fldCharType="begin"/>
          </w:r>
          <w:r>
            <w:instrText xml:space="preserve"> PAGEREF _Toc390 </w:instrText>
          </w:r>
          <w:r>
            <w:fldChar w:fldCharType="separate"/>
          </w:r>
          <w:r>
            <w:t>21</w:t>
          </w:r>
          <w:r>
            <w:fldChar w:fldCharType="end"/>
          </w:r>
          <w:r>
            <w:rPr>
              <w:b/>
              <w:bCs/>
              <w:lang w:val="zh-CN"/>
            </w:rPr>
            <w:fldChar w:fldCharType="end"/>
          </w:r>
        </w:p>
        <w:p>
          <w:pPr>
            <w:rPr>
              <w:rFonts w:ascii="黑体" w:hAnsi="黑体" w:eastAsia="黑体"/>
              <w:sz w:val="28"/>
              <w:szCs w:val="28"/>
            </w:rPr>
          </w:pPr>
          <w:r>
            <w:rPr>
              <w:b/>
              <w:bCs/>
              <w:lang w:val="zh-CN"/>
            </w:rPr>
            <w:fldChar w:fldCharType="end"/>
          </w:r>
        </w:p>
      </w:sdtContent>
    </w:sdt>
    <w:p>
      <w:pPr>
        <w:rPr>
          <w:rFonts w:hAnsi="宋体"/>
          <w:spacing w:val="4"/>
        </w:rPr>
      </w:pPr>
    </w:p>
    <w:p>
      <w:pPr>
        <w:rPr>
          <w:rFonts w:hAnsi="宋体"/>
        </w:rPr>
      </w:pPr>
    </w:p>
    <w:p>
      <w:pPr>
        <w:rPr>
          <w:rFonts w:hAnsi="宋体"/>
        </w:rPr>
        <w:sectPr>
          <w:footerReference r:id="rId5"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titlePg/>
          <w:docGrid w:type="lines" w:linePitch="326" w:charSpace="0"/>
        </w:sectPr>
      </w:pPr>
    </w:p>
    <w:p>
      <w:pPr>
        <w:pStyle w:val="2"/>
      </w:pPr>
      <w:bookmarkStart w:id="5" w:name="_Toc477897546"/>
      <w:bookmarkStart w:id="6" w:name="_Toc15819"/>
      <w:r>
        <w:rPr>
          <w:rFonts w:hint="eastAsia"/>
        </w:rPr>
        <w:t>绪论</w:t>
      </w:r>
      <w:bookmarkEnd w:id="5"/>
      <w:bookmarkEnd w:id="6"/>
    </w:p>
    <w:p>
      <w:pPr>
        <w:pStyle w:val="3"/>
      </w:pPr>
      <w:bookmarkStart w:id="7" w:name="_Toc477897547"/>
      <w:bookmarkStart w:id="8" w:name="_Toc18682"/>
      <w:r>
        <w:rPr>
          <w:rFonts w:hint="eastAsia"/>
        </w:rPr>
        <w:t>背景</w:t>
      </w:r>
      <w:r>
        <w:t>和意义</w:t>
      </w:r>
      <w:bookmarkEnd w:id="7"/>
      <w:bookmarkEnd w:id="8"/>
    </w:p>
    <w:p>
      <w:pPr>
        <w:pStyle w:val="4"/>
      </w:pPr>
      <w:bookmarkStart w:id="9" w:name="_Toc477897548"/>
      <w:bookmarkStart w:id="10" w:name="_Toc19418"/>
      <w:r>
        <w:rPr>
          <w:rFonts w:hint="eastAsia"/>
        </w:rPr>
        <w:t>背景</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自从上个世纪80年代诞生于美国以来</w:t>
      </w:r>
      <w:r>
        <w:rPr>
          <w:rFonts w:hint="eastAsia" w:ascii="宋体" w:hAnsi="宋体" w:eastAsia="宋体" w:cs="宋体"/>
          <w:b/>
          <w:bCs/>
          <w:spacing w:val="0"/>
          <w:sz w:val="24"/>
          <w:vertAlign w:val="superscript"/>
          <w:lang w:val="en-US" w:eastAsia="zh-CN"/>
        </w:rPr>
        <w:t>[1]</w:t>
      </w:r>
      <w:r>
        <w:rPr>
          <w:rFonts w:hint="eastAsia" w:ascii="宋体" w:hAnsi="宋体" w:eastAsia="宋体" w:cs="宋体"/>
          <w:spacing w:val="0"/>
          <w:sz w:val="24"/>
          <w:lang w:val="en-US" w:eastAsia="zh-CN"/>
        </w:rPr>
        <w:t>，关于远程数据采集器的研究已经持续了30多个年头。从最早的8位处理器到后来的16位处理器再到现在的32位处理器甚至64位处理器，这些年来，远程数据采集器见证了嵌入式处理器的发展以及该领域的各种技术革新。到今天，远程数据采集器的开发技术已经相当成熟，但是仍然有许多新技术源源不断地加入进来，并且随着智能家居等概念的兴起，该领域的研究将再次成为热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96" w:firstLineChars="200"/>
        <w:jc w:val="both"/>
        <w:textAlignment w:val="auto"/>
        <w:outlineLvl w:val="9"/>
        <w:rPr>
          <w:rFonts w:hint="eastAsia" w:hAnsi="宋体"/>
          <w:spacing w:val="4"/>
          <w:highlight w:val="yellow"/>
        </w:rPr>
      </w:pPr>
      <w:r>
        <w:rPr>
          <w:rFonts w:hint="eastAsia" w:ascii="宋体" w:hAnsi="宋体" w:eastAsia="宋体" w:cs="宋体"/>
          <w:spacing w:val="0"/>
          <w:sz w:val="24"/>
          <w:lang w:val="en-US" w:eastAsia="zh-CN"/>
        </w:rPr>
        <w:t>当前，远程数据采集技术主要应用于远程无线抄表（包括水表、电表、燃气表等）、工厂生产监测、环境数据采集等。国内外也有将远程数据采集技术应用于水质监测以及水处理设备数据采集的先例。由于该技术目前处于成熟阶段，且有丰富的应有经验，在水处理领域应用并无问题。本课题是该技术在农村生活污水处理这个特定场景下的应用。</w:t>
      </w:r>
    </w:p>
    <w:p>
      <w:pPr>
        <w:pStyle w:val="4"/>
      </w:pPr>
      <w:bookmarkStart w:id="11" w:name="_Toc477897549"/>
      <w:bookmarkStart w:id="12" w:name="_Toc17631"/>
      <w:r>
        <w:rPr>
          <w:rFonts w:hint="eastAsia"/>
        </w:rPr>
        <w:t>意义</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水是生命之源，没有人能否认水对生命的重要性。我国淡水资源丰富，总量为28000亿立方米，占全球淡水资源总量的6%。仅此于巴西、俄罗斯、加拿大，处于世界第四的水平。然而我国水资源存在两个严重问题。一是人均水资源短缺，我国作为人口大国，人均淡水资源仅为世界人均水资源的四分之一，在世界上名列第110位；二是水污染严重，由于工业废水及生活污水等的大量排放，导致相关疾病频发。浙江省省委十三届四次全会，做出了“五水共治”决策：治污水，防洪水，排涝水，保供水，抓节水。其中治污水排在首位，可见对污水治理的重视程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jc w:val="both"/>
        <w:textAlignment w:val="auto"/>
        <w:outlineLvl w:val="9"/>
        <w:rPr>
          <w:rFonts w:hint="eastAsia" w:ascii="宋体" w:hAnsi="宋体" w:eastAsia="宋体" w:cs="宋体"/>
          <w:spacing w:val="0"/>
          <w:sz w:val="24"/>
          <w:lang w:val="en-US" w:eastAsia="zh-CN"/>
        </w:rPr>
      </w:pPr>
      <w:r>
        <w:rPr>
          <w:rFonts w:hint="eastAsia" w:ascii="宋体" w:hAnsi="宋体" w:eastAsia="宋体" w:cs="宋体"/>
          <w:spacing w:val="0"/>
          <w:sz w:val="24"/>
          <w:lang w:val="en-US" w:eastAsia="zh-CN"/>
        </w:rPr>
        <w:t>在污水处理的对象中，除了高度发展的城市，还有广大处于发展中的农村。相比城市污水处理厂的大规模集中处理方式，农村的污水处理站规模更小也更加分散，管理起来难度更大。本课题为了帮助解决农村生活污水处理站数据采集困难的问题设计了远程监测采集器，方便了处理站的数据采集工作，同时也降低了农村污水处理的成本，使得农村生活污水处理工作能够有序地顺利展开。</w:t>
      </w:r>
    </w:p>
    <w:p>
      <w:pPr>
        <w:pStyle w:val="3"/>
      </w:pPr>
      <w:bookmarkStart w:id="13" w:name="_Toc477897550"/>
      <w:bookmarkStart w:id="14" w:name="_Toc18453"/>
      <w:r>
        <w:rPr>
          <w:rFonts w:hint="eastAsia"/>
        </w:rPr>
        <w:t>国内外</w:t>
      </w:r>
      <w:r>
        <w:t>研究现状</w:t>
      </w:r>
      <w:bookmarkEnd w:id="13"/>
      <w:bookmarkEnd w:id="14"/>
    </w:p>
    <w:p/>
    <w:p>
      <w:pPr>
        <w:widowControl/>
        <w:spacing w:line="240" w:lineRule="auto"/>
        <w:jc w:val="left"/>
      </w:pPr>
      <w:r>
        <w:br w:type="page"/>
      </w:r>
    </w:p>
    <w:p>
      <w:pPr>
        <w:pStyle w:val="2"/>
      </w:pPr>
      <w:bookmarkStart w:id="15" w:name="_Toc477897551"/>
      <w:bookmarkStart w:id="16" w:name="_Toc23056"/>
      <w:r>
        <w:rPr>
          <w:rFonts w:hint="eastAsia"/>
          <w:lang w:val="en-US" w:eastAsia="zh-CN"/>
        </w:rPr>
        <w:t>农村生活污水处理远程监测采集器</w:t>
      </w:r>
      <w:r>
        <w:t>原理</w:t>
      </w:r>
      <w:bookmarkEnd w:id="15"/>
      <w:bookmarkEnd w:id="16"/>
    </w:p>
    <w:p>
      <w:pPr>
        <w:pStyle w:val="3"/>
        <w:rPr>
          <w:rFonts w:hint="eastAsia"/>
          <w:lang w:val="en-US" w:eastAsia="zh-CN"/>
        </w:rPr>
      </w:pPr>
      <w:bookmarkStart w:id="17" w:name="_Toc24061"/>
      <w:r>
        <w:rPr>
          <w:rFonts w:hint="eastAsia"/>
          <w:lang w:val="en-US" w:eastAsia="zh-CN"/>
        </w:rPr>
        <w:t>农村生活污水处理远程监测采集器所在系统的系统框架</w:t>
      </w:r>
      <w:bookmarkEnd w:id="17"/>
    </w:p>
    <w:p>
      <w:pPr>
        <w:ind w:firstLine="420" w:firstLineChars="0"/>
        <w:rPr>
          <w:rFonts w:hint="eastAsia"/>
          <w:lang w:val="en-US" w:eastAsia="zh-CN"/>
        </w:rPr>
      </w:pPr>
      <w:r>
        <w:rPr>
          <w:rFonts w:hint="eastAsia"/>
          <w:lang w:val="en-US" w:eastAsia="zh-CN"/>
        </w:rPr>
        <w:t>整套农村生活污水处理远程监测采集系统由3部分组成，分别是：水质传感设备、农村生活污水处理远程监测采集器、服务器。</w:t>
      </w:r>
    </w:p>
    <w:p>
      <w:pPr>
        <w:ind w:firstLine="420" w:firstLineChars="0"/>
        <w:rPr>
          <w:rFonts w:hint="eastAsia"/>
          <w:lang w:val="en-US" w:eastAsia="zh-CN"/>
        </w:rPr>
      </w:pPr>
      <w:r>
        <w:rPr>
          <w:rFonts w:hint="eastAsia"/>
          <w:lang w:val="en-US" w:eastAsia="zh-CN"/>
        </w:rPr>
        <w:t>各部分在系统中的作用：</w:t>
      </w:r>
    </w:p>
    <w:p>
      <w:pPr>
        <w:ind w:firstLine="420" w:firstLineChars="0"/>
        <w:rPr>
          <w:rFonts w:hint="eastAsia"/>
          <w:lang w:val="en-US" w:eastAsia="zh-CN"/>
        </w:rPr>
      </w:pPr>
      <w:r>
        <w:rPr>
          <w:rFonts w:hint="eastAsia"/>
          <w:lang w:val="en-US" w:eastAsia="zh-CN"/>
        </w:rPr>
        <w:t>水质传感设备：负责水质信号的采集、处理、模数转换、采样以及数据上传。通过水质传感设备搭载的传感器将水质信息转化为电信号，并完成信号的前期处理，如：滤波、放大等。然后水质传感设备对完成前期处理的信号进行模数转换，使模拟信号转变为适合输入计算机系统的数字信号。再对转换好的数字信号进行采样，计算采样数据得出实际的水质信息，并将当前水质信息显示在水质传感设备的屏幕上。当主机，即远程监测采集器，请求水质数据时，水质传感设备将数据按照特定的协议进行打包并上传。</w:t>
      </w:r>
    </w:p>
    <w:p>
      <w:pPr>
        <w:ind w:firstLine="420" w:firstLineChars="0"/>
        <w:rPr>
          <w:rFonts w:hint="eastAsia"/>
          <w:lang w:val="en-US" w:eastAsia="zh-CN"/>
        </w:rPr>
      </w:pPr>
      <w:r>
        <w:rPr>
          <w:rFonts w:hint="eastAsia"/>
          <w:lang w:val="en-US" w:eastAsia="zh-CN"/>
        </w:rPr>
        <w:t>信号&gt;预处理&gt;A/D转换&gt;数字信号处理器或计算机&gt;结果显示</w:t>
      </w:r>
    </w:p>
    <w:p>
      <w:pPr>
        <w:ind w:firstLine="420" w:firstLineChars="0"/>
        <w:rPr>
          <w:rFonts w:hint="eastAsia"/>
          <w:lang w:val="en-US" w:eastAsia="zh-CN"/>
        </w:rPr>
      </w:pPr>
      <w:r>
        <w:rPr>
          <w:rFonts w:hint="eastAsia"/>
          <w:lang w:val="en-US" w:eastAsia="zh-CN"/>
        </w:rPr>
        <w:t>农村生活污水处理远程监测采集器：负责从水质传感设备获取水质信息，并将水质信息上传服务器。远程监测采集器定期向各个从机，即水质传感设备，发送命令以请求各种水质数据。然后对接受到的数据包进行解析，并记录、显示各种水质数据。再定期将记录的各种数据上传服务器。</w:t>
      </w:r>
    </w:p>
    <w:p>
      <w:pPr>
        <w:ind w:firstLine="420" w:firstLineChars="0"/>
        <w:rPr>
          <w:rFonts w:hint="eastAsia"/>
          <w:lang w:val="en-US" w:eastAsia="zh-CN"/>
        </w:rPr>
      </w:pPr>
      <w:r>
        <w:rPr>
          <w:rFonts w:hint="eastAsia"/>
          <w:lang w:val="en-US" w:eastAsia="zh-CN"/>
        </w:rPr>
        <w:t>服务器：负责接收远程监测采集器上传的数据，并为用户通过网络获取这些数据提供平台。</w:t>
      </w:r>
    </w:p>
    <w:p>
      <w:pPr>
        <w:pStyle w:val="3"/>
        <w:rPr>
          <w:rFonts w:hint="eastAsia"/>
          <w:lang w:val="en-US" w:eastAsia="zh-CN"/>
        </w:rPr>
      </w:pPr>
      <w:bookmarkStart w:id="18" w:name="_Toc16013"/>
      <w:r>
        <w:rPr>
          <w:rFonts w:hint="eastAsia"/>
          <w:lang w:val="en-US" w:eastAsia="zh-CN"/>
        </w:rPr>
        <w:t>系统中所采用的水质传感设备</w:t>
      </w:r>
      <w:bookmarkEnd w:id="18"/>
    </w:p>
    <w:p>
      <w:pPr>
        <w:pStyle w:val="4"/>
        <w:rPr>
          <w:rFonts w:hint="eastAsia"/>
          <w:lang w:val="en-US" w:eastAsia="zh-CN"/>
        </w:rPr>
      </w:pPr>
      <w:bookmarkStart w:id="19" w:name="_Toc18951"/>
      <w:r>
        <w:rPr>
          <w:rFonts w:hint="eastAsia"/>
          <w:lang w:val="en-US" w:eastAsia="zh-CN"/>
        </w:rPr>
        <w:t>PH190控制器</w:t>
      </w:r>
      <w:bookmarkEnd w:id="19"/>
    </w:p>
    <w:p>
      <w:pPr>
        <w:pStyle w:val="4"/>
        <w:rPr>
          <w:rFonts w:hint="eastAsia"/>
          <w:lang w:val="en-US" w:eastAsia="zh-CN"/>
        </w:rPr>
      </w:pPr>
      <w:bookmarkStart w:id="20" w:name="_Toc2440"/>
      <w:r>
        <w:rPr>
          <w:rFonts w:hint="eastAsia"/>
          <w:lang w:val="en-US" w:eastAsia="zh-CN"/>
        </w:rPr>
        <w:t>在线溶氧仪</w:t>
      </w:r>
      <w:bookmarkEnd w:id="20"/>
    </w:p>
    <w:p>
      <w:pPr>
        <w:pStyle w:val="4"/>
        <w:rPr>
          <w:rFonts w:hint="eastAsia"/>
          <w:lang w:val="en-US" w:eastAsia="zh-CN"/>
        </w:rPr>
      </w:pPr>
      <w:bookmarkStart w:id="21" w:name="_Toc10477"/>
      <w:r>
        <w:rPr>
          <w:rFonts w:hint="eastAsia"/>
          <w:lang w:val="en-US" w:eastAsia="zh-CN"/>
        </w:rPr>
        <w:t>浊度在线分析仪</w:t>
      </w:r>
      <w:bookmarkEnd w:id="21"/>
    </w:p>
    <w:p>
      <w:pPr>
        <w:pStyle w:val="4"/>
        <w:rPr>
          <w:rFonts w:hint="eastAsia"/>
          <w:lang w:val="en-US" w:eastAsia="zh-CN"/>
        </w:rPr>
      </w:pPr>
      <w:bookmarkStart w:id="22" w:name="_Toc26099"/>
      <w:r>
        <w:rPr>
          <w:rFonts w:hint="eastAsia"/>
          <w:lang w:val="en-US" w:eastAsia="zh-CN"/>
        </w:rPr>
        <w:t>电导率仪</w:t>
      </w:r>
      <w:bookmarkEnd w:id="22"/>
    </w:p>
    <w:p>
      <w:pPr>
        <w:pStyle w:val="4"/>
        <w:rPr>
          <w:rFonts w:hint="eastAsia"/>
          <w:lang w:val="en-US" w:eastAsia="zh-CN"/>
        </w:rPr>
      </w:pPr>
      <w:bookmarkStart w:id="23" w:name="_Toc32365"/>
      <w:r>
        <w:rPr>
          <w:rFonts w:hint="eastAsia"/>
          <w:lang w:val="en-US" w:eastAsia="zh-CN"/>
        </w:rPr>
        <w:t>奥新压力仪</w:t>
      </w:r>
      <w:bookmarkEnd w:id="23"/>
    </w:p>
    <w:p>
      <w:pPr>
        <w:pStyle w:val="3"/>
        <w:rPr>
          <w:rFonts w:hint="eastAsia"/>
          <w:lang w:val="en-US" w:eastAsia="zh-CN"/>
        </w:rPr>
      </w:pPr>
      <w:bookmarkStart w:id="24" w:name="_Toc8908"/>
      <w:r>
        <w:rPr>
          <w:rFonts w:hint="eastAsia"/>
          <w:lang w:val="en-US" w:eastAsia="zh-CN"/>
        </w:rPr>
        <w:t>水质传感设备与农村生活污水处理远程监测采集器的通讯方式及通讯协议</w:t>
      </w:r>
      <w:bookmarkEnd w:id="24"/>
    </w:p>
    <w:p>
      <w:pPr>
        <w:pStyle w:val="4"/>
        <w:rPr>
          <w:rFonts w:hint="eastAsia"/>
          <w:lang w:val="en-US" w:eastAsia="zh-CN"/>
        </w:rPr>
      </w:pPr>
      <w:bookmarkStart w:id="25" w:name="_Toc5886"/>
      <w:r>
        <w:rPr>
          <w:rFonts w:hint="eastAsia"/>
          <w:lang w:val="en-US" w:eastAsia="zh-CN"/>
        </w:rPr>
        <w:t>RS485</w:t>
      </w:r>
      <w:bookmarkEnd w:id="25"/>
    </w:p>
    <w:p>
      <w:pPr>
        <w:pStyle w:val="4"/>
        <w:rPr>
          <w:rFonts w:hint="eastAsia"/>
          <w:lang w:val="en-US" w:eastAsia="zh-CN"/>
        </w:rPr>
      </w:pPr>
      <w:bookmarkStart w:id="26" w:name="_Toc22123"/>
      <w:r>
        <w:rPr>
          <w:rFonts w:hint="eastAsia"/>
          <w:lang w:val="en-US" w:eastAsia="zh-CN"/>
        </w:rPr>
        <w:t>CRC16</w:t>
      </w:r>
      <w:bookmarkEnd w:id="26"/>
    </w:p>
    <w:p>
      <w:pPr>
        <w:pStyle w:val="4"/>
        <w:rPr>
          <w:rFonts w:hint="eastAsia"/>
          <w:lang w:val="en-US" w:eastAsia="zh-CN"/>
        </w:rPr>
      </w:pPr>
      <w:bookmarkStart w:id="27" w:name="_Toc17484"/>
      <w:r>
        <w:rPr>
          <w:rFonts w:hint="eastAsia"/>
          <w:lang w:val="en-US" w:eastAsia="zh-CN"/>
        </w:rPr>
        <w:t>各传感设备协议</w:t>
      </w:r>
      <w:bookmarkEnd w:id="27"/>
    </w:p>
    <w:p>
      <w:pPr>
        <w:pStyle w:val="3"/>
        <w:rPr>
          <w:rFonts w:hint="eastAsia"/>
          <w:lang w:val="en-US" w:eastAsia="zh-CN"/>
        </w:rPr>
      </w:pPr>
      <w:bookmarkStart w:id="28" w:name="_Toc13726"/>
      <w:r>
        <w:rPr>
          <w:rFonts w:hint="eastAsia"/>
          <w:lang w:val="en-US" w:eastAsia="zh-CN"/>
        </w:rPr>
        <w:t>农村生活污水处理远程监测采集器硬件设计</w:t>
      </w:r>
      <w:bookmarkEnd w:id="28"/>
    </w:p>
    <w:p>
      <w:pPr>
        <w:pStyle w:val="4"/>
        <w:rPr>
          <w:rFonts w:hint="eastAsia"/>
          <w:lang w:val="en-US" w:eastAsia="zh-CN"/>
        </w:rPr>
      </w:pPr>
      <w:bookmarkStart w:id="29" w:name="_Toc12922"/>
      <w:r>
        <w:rPr>
          <w:rFonts w:hint="eastAsia"/>
          <w:lang w:val="en-US" w:eastAsia="zh-CN"/>
        </w:rPr>
        <w:t>需求分析</w:t>
      </w:r>
      <w:bookmarkEnd w:id="29"/>
    </w:p>
    <w:p>
      <w:pPr>
        <w:rPr>
          <w:rFonts w:hint="eastAsia"/>
          <w:lang w:val="en-US" w:eastAsia="zh-CN"/>
        </w:rPr>
      </w:pPr>
      <w:r>
        <w:rPr>
          <w:rFonts w:hint="eastAsia"/>
          <w:lang w:val="en-US" w:eastAsia="zh-CN"/>
        </w:rPr>
        <w:t>远程监测采集器需要实现：</w:t>
      </w:r>
    </w:p>
    <w:p>
      <w:pPr>
        <w:numPr>
          <w:ilvl w:val="0"/>
          <w:numId w:val="2"/>
        </w:numPr>
        <w:rPr>
          <w:rFonts w:hint="eastAsia"/>
          <w:lang w:val="en-US" w:eastAsia="zh-CN"/>
        </w:rPr>
      </w:pPr>
      <w:r>
        <w:rPr>
          <w:rFonts w:hint="eastAsia"/>
          <w:lang w:val="en-US" w:eastAsia="zh-CN"/>
        </w:rPr>
        <w:t>通过RS485总线与多个水质传感设备进行数据传输</w:t>
      </w:r>
    </w:p>
    <w:p>
      <w:pPr>
        <w:numPr>
          <w:ilvl w:val="0"/>
          <w:numId w:val="0"/>
        </w:numPr>
        <w:ind w:firstLine="420" w:firstLineChars="0"/>
        <w:rPr>
          <w:rFonts w:hint="eastAsia"/>
          <w:lang w:val="en-US" w:eastAsia="zh-CN"/>
        </w:rPr>
      </w:pPr>
      <w:r>
        <w:rPr>
          <w:rFonts w:hint="eastAsia"/>
          <w:lang w:val="en-US" w:eastAsia="zh-CN"/>
        </w:rPr>
        <w:t>使用RS485总线进行通信，需要占用主控芯片的UART资源。但是一个RS485驱动器的驱动能力至少可以驱动32个接收器，所以所选用的主控芯片只需拥有1个以上UART资源。但是为了使可能用到的串口通讯不和RS485总线通讯发生冲突，当然可以进行分时复用解决这个问题，选用拥有2个及以上UART资源的主控芯片，而且目前市面上主流的主控芯片普遍拥有2个以上UART口。</w:t>
      </w:r>
    </w:p>
    <w:p>
      <w:pPr>
        <w:numPr>
          <w:ilvl w:val="0"/>
          <w:numId w:val="2"/>
        </w:numPr>
        <w:rPr>
          <w:rFonts w:hint="eastAsia"/>
          <w:lang w:val="en-US" w:eastAsia="zh-CN"/>
        </w:rPr>
      </w:pPr>
      <w:r>
        <w:rPr>
          <w:rFonts w:hint="eastAsia"/>
          <w:lang w:val="en-US" w:eastAsia="zh-CN"/>
        </w:rPr>
        <w:t>显示最新水质数据</w:t>
      </w:r>
    </w:p>
    <w:p>
      <w:pPr>
        <w:numPr>
          <w:ilvl w:val="0"/>
          <w:numId w:val="0"/>
        </w:numPr>
        <w:ind w:firstLine="420" w:firstLineChars="0"/>
        <w:rPr>
          <w:rFonts w:hint="eastAsia"/>
          <w:lang w:val="en-US" w:eastAsia="zh-CN"/>
        </w:rPr>
      </w:pPr>
      <w:r>
        <w:rPr>
          <w:rFonts w:hint="eastAsia"/>
          <w:lang w:val="en-US" w:eastAsia="zh-CN"/>
        </w:rPr>
        <w:t>为了显示最新的水质数据，需要为远程监测采集器配备一块显示屏。目前市面上主流的显示屏分为LCD和OLED两种。从操作方便和性价比两方面综合考虑，决定为远程监测采集器配备一块支持I2C总线通讯的0.96英寸OLED显示屏模块，分辨率为128*64 。相较于相同分辨率的LCD显示屏模块，该OLED显示屏模块价格更低，尺寸更小，功耗更低，而且技术更加先进。考虑到显示的数据内容比较简单，这个分辨率的OLED屏幕模块是相当合适的选择。</w:t>
      </w:r>
    </w:p>
    <w:p>
      <w:pPr>
        <w:numPr>
          <w:ilvl w:val="0"/>
          <w:numId w:val="0"/>
        </w:numPr>
        <w:ind w:firstLine="420" w:firstLineChars="0"/>
        <w:rPr>
          <w:rFonts w:hint="eastAsia"/>
          <w:lang w:val="en-US" w:eastAsia="zh-CN"/>
        </w:rPr>
      </w:pPr>
      <w:r>
        <w:rPr>
          <w:rFonts w:hint="eastAsia"/>
          <w:lang w:val="en-US" w:eastAsia="zh-CN"/>
        </w:rPr>
        <w:t>为了操作该OLED模块，主控芯片需要拥有I2C总线资源。</w:t>
      </w:r>
    </w:p>
    <w:p>
      <w:pPr>
        <w:numPr>
          <w:ilvl w:val="0"/>
          <w:numId w:val="2"/>
        </w:numPr>
        <w:rPr>
          <w:rFonts w:hint="eastAsia"/>
          <w:lang w:val="en-US" w:eastAsia="zh-CN"/>
        </w:rPr>
      </w:pPr>
      <w:r>
        <w:rPr>
          <w:rFonts w:hint="eastAsia"/>
          <w:lang w:val="en-US" w:eastAsia="zh-CN"/>
        </w:rPr>
        <w:t>将水质数据上传服务器</w:t>
      </w:r>
    </w:p>
    <w:p>
      <w:pPr>
        <w:numPr>
          <w:ilvl w:val="0"/>
          <w:numId w:val="0"/>
        </w:numPr>
        <w:ind w:firstLine="420" w:firstLineChars="0"/>
        <w:rPr>
          <w:rFonts w:hint="eastAsia"/>
          <w:lang w:val="en-US" w:eastAsia="zh-CN"/>
        </w:rPr>
      </w:pPr>
      <w:r>
        <w:rPr>
          <w:rFonts w:hint="eastAsia"/>
          <w:lang w:val="en-US" w:eastAsia="zh-CN"/>
        </w:rPr>
        <w:t>无线远传设备大多采用GPRS或者4G将数据上传服务器，这种设计适合无线远传设备与服务器在空间上存在较大距离的场景。考虑到农村生活污水处理厂一般不会位于荒郊野外，一般都能实现通电通网的条件，本系统采用raspberry pi 3B+搭建一个服务器，并使用raspberry pi 3B+自带的引脚连接NRF24L01模块，与远程监测采集器上搭载的NRF24L01模块通过2.4Ghz无线通讯。采用这种设计，除了充分使用农村生活污水处理厂的宽带资源外，每个远程监测采集器每年可以节省可观的移动数据流量费用。</w:t>
      </w:r>
    </w:p>
    <w:p>
      <w:pPr>
        <w:numPr>
          <w:ilvl w:val="0"/>
          <w:numId w:val="0"/>
        </w:numPr>
        <w:ind w:firstLine="420" w:firstLineChars="0"/>
        <w:rPr>
          <w:rFonts w:hint="eastAsia"/>
          <w:lang w:val="en-US" w:eastAsia="zh-CN"/>
        </w:rPr>
      </w:pPr>
      <w:r>
        <w:rPr>
          <w:rFonts w:hint="eastAsia"/>
          <w:lang w:val="en-US" w:eastAsia="zh-CN"/>
        </w:rPr>
        <w:t>为了使用NRF24L01模块，主控芯片需要拥有SPI总线资源。</w:t>
      </w:r>
    </w:p>
    <w:p>
      <w:pPr>
        <w:numPr>
          <w:ilvl w:val="0"/>
          <w:numId w:val="2"/>
        </w:numPr>
        <w:rPr>
          <w:rFonts w:hint="eastAsia"/>
          <w:lang w:val="en-US" w:eastAsia="zh-CN"/>
        </w:rPr>
      </w:pPr>
      <w:r>
        <w:rPr>
          <w:rFonts w:hint="eastAsia"/>
          <w:lang w:val="en-US" w:eastAsia="zh-CN"/>
        </w:rPr>
        <w:t>临时保存水质数据</w:t>
      </w:r>
    </w:p>
    <w:p>
      <w:pPr>
        <w:numPr>
          <w:ilvl w:val="0"/>
          <w:numId w:val="0"/>
        </w:numPr>
        <w:ind w:firstLine="420" w:firstLineChars="0"/>
        <w:rPr>
          <w:rFonts w:hint="eastAsia"/>
          <w:lang w:val="en-US" w:eastAsia="zh-CN"/>
        </w:rPr>
      </w:pPr>
      <w:r>
        <w:rPr>
          <w:rFonts w:hint="eastAsia"/>
          <w:lang w:val="en-US" w:eastAsia="zh-CN"/>
        </w:rPr>
        <w:t>为了实现数据批量上传服务器，需要在两次数据上传之间零时保存水质数据。由于每个水质传感设备每次上传的数据量较小，仅为几个BYTES或者十几个BYTES，所以只需选择一块FLASH稍微大一点的主控芯片，就可以剩下一块FLASH芯片及其外围电路。</w:t>
      </w:r>
    </w:p>
    <w:p>
      <w:pPr>
        <w:pStyle w:val="4"/>
        <w:rPr>
          <w:rFonts w:hint="eastAsia"/>
          <w:lang w:val="en-US" w:eastAsia="zh-CN"/>
        </w:rPr>
      </w:pPr>
      <w:bookmarkStart w:id="30" w:name="_Toc1118"/>
      <w:r>
        <w:rPr>
          <w:rFonts w:hint="eastAsia"/>
          <w:lang w:val="en-US" w:eastAsia="zh-CN"/>
        </w:rPr>
        <w:t>主控芯片选型及核心电路设计</w:t>
      </w:r>
      <w:bookmarkEnd w:id="30"/>
    </w:p>
    <w:p>
      <w:pPr>
        <w:ind w:firstLine="420" w:firstLineChars="0"/>
        <w:rPr>
          <w:rFonts w:hint="eastAsia"/>
          <w:lang w:val="en-US" w:eastAsia="zh-CN"/>
        </w:rPr>
      </w:pPr>
      <w:r>
        <w:rPr>
          <w:rFonts w:hint="eastAsia"/>
          <w:lang w:val="en-US" w:eastAsia="zh-CN"/>
        </w:rPr>
        <w:t>目前市场上主流的主控芯片按照位宽大致可分为3类，分别是：8位MCU（如51系列、STM8系列等）、16位MCU（如MSP430系列）、32位MCU（如STM32系列）。由于远程监测采集器对于性能基本没有太高要求，即使是性能相对来说最弱的51系列主控芯片也完全能够实现功能。但是考虑到51为代表的8位处理器年代久远，性价比较低，虽然还在市面上流通，但更大的作用是用于单片机入门的教学，在价格相同甚至更低，性能数倍于8位处理器的32位处理器面前毫无优势可言，因为现在是一个花8位处理器的钱能买32位处理器的时代。</w:t>
      </w:r>
    </w:p>
    <w:p>
      <w:pPr>
        <w:ind w:firstLine="420" w:firstLineChars="0"/>
        <w:rPr>
          <w:rFonts w:hint="eastAsia"/>
          <w:lang w:val="en-US" w:eastAsia="zh-CN"/>
        </w:rPr>
      </w:pPr>
      <w:r>
        <w:rPr>
          <w:rFonts w:hint="eastAsia"/>
          <w:lang w:val="en-US" w:eastAsia="zh-CN"/>
        </w:rPr>
        <w:t>当下最流行的32位处理器应该非ST公司推出的STM32系列莫属了。该系列MCU使用者众多，资料丰富，所以开发难度较低，是用于远程监测采集器设计开发的理想MCU。</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0500" cy="2522220"/>
            <wp:effectExtent l="0" t="0" r="2540" b="7620"/>
            <wp:docPr id="2" name="图片 2" descr="32位MCU-ARM Cortex-M内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位MCU-ARM Cortex-M内核"/>
                    <pic:cNvPicPr>
                      <a:picLocks noChangeAspect="1"/>
                    </pic:cNvPicPr>
                  </pic:nvPicPr>
                  <pic:blipFill>
                    <a:blip r:embed="rId16"/>
                    <a:stretch>
                      <a:fillRect/>
                    </a:stretch>
                  </pic:blipFill>
                  <pic:spPr>
                    <a:xfrm>
                      <a:off x="0" y="0"/>
                      <a:ext cx="5270500" cy="2522220"/>
                    </a:xfrm>
                    <a:prstGeom prst="rect">
                      <a:avLst/>
                    </a:prstGeom>
                  </pic:spPr>
                </pic:pic>
              </a:graphicData>
            </a:graphic>
          </wp:inline>
        </w:drawing>
      </w:r>
    </w:p>
    <w:p>
      <w:pPr>
        <w:pStyle w:val="6"/>
        <w:ind w:firstLine="420" w:firstLineChars="0"/>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w:t>
      </w:r>
      <w:r>
        <w:rPr>
          <w:b/>
          <w:bCs/>
        </w:rPr>
        <w:fldChar w:fldCharType="end"/>
      </w:r>
      <w:r>
        <w:rPr>
          <w:rFonts w:hint="eastAsia"/>
          <w:b/>
          <w:bCs/>
          <w:lang w:eastAsia="zh-CN"/>
        </w:rPr>
        <w:t xml:space="preserve"> ST公司32位MCU ARM Cortex-M内核产品</w:t>
      </w:r>
    </w:p>
    <w:p>
      <w:pPr>
        <w:ind w:firstLine="420" w:firstLineChars="0"/>
        <w:rPr>
          <w:rFonts w:hint="eastAsia"/>
          <w:lang w:val="en-US" w:eastAsia="zh-CN"/>
        </w:rPr>
      </w:pPr>
      <w:r>
        <w:rPr>
          <w:rFonts w:hint="eastAsia"/>
          <w:lang w:val="en-US" w:eastAsia="zh-CN"/>
        </w:rPr>
        <w:t>如图2-1所示，ST公司的32位ARM Cortex-M 内核MCU一共有9个系列。目前市面上最流行的开发板主要为基于Cortex-M3内核的主流级MCU STM32F1系列和基于Cortex-M4内核的高性能MCU STM32F4系列 。但是由于没有过高的性能要求以及超低功耗要求，基于Cortex-M0内核的主流级MCU STM32F0系列足以满足远程监测采集器设计的需求。</w:t>
      </w:r>
    </w:p>
    <w:p>
      <w:pPr>
        <w:ind w:firstLine="420" w:firstLineChars="0"/>
        <w:rPr>
          <w:rFonts w:hint="eastAsia"/>
          <w:lang w:val="en-US" w:eastAsia="zh-CN"/>
        </w:rPr>
      </w:pPr>
      <w:r>
        <w:rPr>
          <w:rFonts w:hint="eastAsia"/>
          <w:lang w:val="en-US" w:eastAsia="zh-CN"/>
        </w:rPr>
        <w:t>STM32F0系列又可以细分为4个小类，分别为STM32F0x0超值型、STM32F0x1基本型、STM32F0x2 USB产品线、STM32F0x8超低电压。由于没有特殊需求，所以排除STM32F0x2 USB产品线和STM32F0x8超低电压。在剩下的STM32F0x0超值型、STM32F0x1基本型当中，处于成本考虑决定从STM32F0x0超值型系列芯片中选取一款芯片用于远程监测采集器的设计。</w:t>
      </w:r>
    </w:p>
    <w:p>
      <w:pPr>
        <w:ind w:firstLine="420" w:firstLineChars="0"/>
        <w:rPr>
          <w:rFonts w:hint="eastAsia"/>
          <w:lang w:val="en-US" w:eastAsia="zh-CN"/>
        </w:rPr>
      </w:pPr>
      <w:r>
        <w:rPr>
          <w:rFonts w:hint="eastAsia"/>
          <w:lang w:val="en-US" w:eastAsia="zh-CN"/>
        </w:rPr>
        <w:t>STM32F0x0超值型系列各MCU资源如图2-2所示。</w:t>
      </w:r>
    </w:p>
    <w:p>
      <w:pPr>
        <w:rPr>
          <w:rFonts w:hint="eastAsia"/>
          <w:lang w:val="en-US" w:eastAsia="zh-CN"/>
        </w:rPr>
      </w:pPr>
      <w:r>
        <w:rPr>
          <w:rFonts w:hint="eastAsia"/>
          <w:lang w:val="en-US" w:eastAsia="zh-CN"/>
        </w:rPr>
        <w:drawing>
          <wp:inline distT="0" distB="0" distL="114300" distR="114300">
            <wp:extent cx="5266690" cy="1955165"/>
            <wp:effectExtent l="0" t="0" r="6350" b="10795"/>
            <wp:docPr id="3" name="图片 3" descr="STM32F0X0超值系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M32F0X0超值系列"/>
                    <pic:cNvPicPr>
                      <a:picLocks noChangeAspect="1"/>
                    </pic:cNvPicPr>
                  </pic:nvPicPr>
                  <pic:blipFill>
                    <a:blip r:embed="rId17"/>
                    <a:stretch>
                      <a:fillRect/>
                    </a:stretch>
                  </pic:blipFill>
                  <pic:spPr>
                    <a:xfrm>
                      <a:off x="0" y="0"/>
                      <a:ext cx="5266690" cy="1955165"/>
                    </a:xfrm>
                    <a:prstGeom prst="rect">
                      <a:avLst/>
                    </a:prstGeom>
                  </pic:spPr>
                </pic:pic>
              </a:graphicData>
            </a:graphic>
          </wp:inline>
        </w:drawing>
      </w:r>
    </w:p>
    <w:p>
      <w:pPr>
        <w:pStyle w:val="6"/>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2</w:t>
      </w:r>
      <w:r>
        <w:rPr>
          <w:b/>
          <w:bCs/>
        </w:rPr>
        <w:fldChar w:fldCharType="end"/>
      </w:r>
      <w:r>
        <w:rPr>
          <w:rFonts w:hint="eastAsia"/>
          <w:b/>
          <w:bCs/>
          <w:lang w:eastAsia="zh-CN"/>
        </w:rPr>
        <w:t xml:space="preserve"> STM32F0x0超值型系列MCU</w:t>
      </w:r>
    </w:p>
    <w:p>
      <w:pPr>
        <w:ind w:firstLine="420" w:firstLineChars="0"/>
        <w:rPr>
          <w:rFonts w:hint="eastAsia"/>
          <w:lang w:val="en-US" w:eastAsia="zh-CN"/>
        </w:rPr>
      </w:pPr>
      <w:r>
        <w:rPr>
          <w:rFonts w:hint="eastAsia"/>
          <w:lang w:val="en-US" w:eastAsia="zh-CN"/>
        </w:rPr>
        <w:t>由于需要临时保存水质数据，所以不考虑FLASH容量为32KB及以下的MCU。在FLASH容量为64KB及以上的MCU中选择了STM32F030C8T6 这款MCU用于远程监测采集器的设计开发。当然要使用一块芯片开发产品之前，除了要考虑芯片的资源以及性能之外，还需要考虑芯片的使用条件限制。由于远程监测采集器并不需要在极端环境下工作，STM32F030C8T6可以满足条件，表2-1为芯片所在系列的数据手册对工作条件的描述。</w:t>
      </w:r>
    </w:p>
    <w:tbl>
      <w:tblPr>
        <w:tblStyle w:val="25"/>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8"/>
        <w:gridCol w:w="2520"/>
        <w:gridCol w:w="2480"/>
        <w:gridCol w:w="893"/>
        <w:gridCol w:w="987"/>
        <w:gridCol w:w="7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Symbol</w:t>
            </w:r>
          </w:p>
        </w:tc>
        <w:tc>
          <w:tcPr>
            <w:tcW w:w="2520"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Parameter</w:t>
            </w:r>
          </w:p>
        </w:tc>
        <w:tc>
          <w:tcPr>
            <w:tcW w:w="2480"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Condition</w:t>
            </w:r>
          </w:p>
        </w:tc>
        <w:tc>
          <w:tcPr>
            <w:tcW w:w="893"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Min</w:t>
            </w:r>
          </w:p>
        </w:tc>
        <w:tc>
          <w:tcPr>
            <w:tcW w:w="987"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Max</w:t>
            </w:r>
          </w:p>
        </w:tc>
        <w:tc>
          <w:tcPr>
            <w:tcW w:w="724" w:type="dxa"/>
            <w:tcBorders>
              <w:bottom w:val="single" w:color="auto" w:sz="4" w:space="0"/>
            </w:tcBorders>
          </w:tcPr>
          <w:p>
            <w:pPr>
              <w:jc w:val="center"/>
              <w:rPr>
                <w:rFonts w:hint="eastAsia"/>
                <w:vertAlign w:val="baseline"/>
                <w:lang w:val="en-US" w:eastAsia="zh-CN"/>
              </w:rPr>
            </w:pPr>
            <w:r>
              <w:rPr>
                <w:rFonts w:hint="eastAsia"/>
                <w:vertAlign w:val="baseline"/>
                <w:lang w:val="en-US" w:eastAsia="zh-CN"/>
              </w:rPr>
              <w:t>Unit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f</w:t>
            </w:r>
            <w:r>
              <w:rPr>
                <w:rFonts w:hint="eastAsia"/>
                <w:vertAlign w:val="subscript"/>
                <w:lang w:val="en-US" w:eastAsia="zh-CN"/>
              </w:rPr>
              <w:t>HCLK</w:t>
            </w:r>
          </w:p>
        </w:tc>
        <w:tc>
          <w:tcPr>
            <w:tcW w:w="2520"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Internal AHB clock frequency</w:t>
            </w:r>
          </w:p>
        </w:tc>
        <w:tc>
          <w:tcPr>
            <w:tcW w:w="2480" w:type="dxa"/>
            <w:tcBorders>
              <w:top w:val="single" w:color="auto" w:sz="4" w:space="0"/>
              <w:tl2br w:val="nil"/>
              <w:tr2bl w:val="nil"/>
            </w:tcBorders>
          </w:tcPr>
          <w:p>
            <w:pPr>
              <w:jc w:val="center"/>
              <w:rPr>
                <w:rFonts w:hint="eastAsia"/>
                <w:vertAlign w:val="baseline"/>
                <w:lang w:val="en-US" w:eastAsia="zh-CN"/>
              </w:rPr>
            </w:pPr>
          </w:p>
        </w:tc>
        <w:tc>
          <w:tcPr>
            <w:tcW w:w="893"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0</w:t>
            </w:r>
          </w:p>
        </w:tc>
        <w:tc>
          <w:tcPr>
            <w:tcW w:w="987" w:type="dxa"/>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48</w:t>
            </w:r>
          </w:p>
        </w:tc>
        <w:tc>
          <w:tcPr>
            <w:tcW w:w="724" w:type="dxa"/>
            <w:vMerge w:val="restart"/>
            <w:tcBorders>
              <w:top w:val="single" w:color="auto" w:sz="4" w:space="0"/>
              <w:tl2br w:val="nil"/>
              <w:tr2bl w:val="nil"/>
            </w:tcBorders>
          </w:tcPr>
          <w:p>
            <w:pPr>
              <w:jc w:val="center"/>
              <w:rPr>
                <w:rFonts w:hint="eastAsia"/>
                <w:vertAlign w:val="baseline"/>
                <w:lang w:val="en-US" w:eastAsia="zh-CN"/>
              </w:rPr>
            </w:pPr>
            <w:r>
              <w:rPr>
                <w:rFonts w:hint="eastAsia"/>
                <w:vertAlign w:val="baseline"/>
                <w:lang w:val="en-US" w:eastAsia="zh-CN"/>
              </w:rPr>
              <w:t>MH</w:t>
            </w:r>
            <w:r>
              <w:rPr>
                <w:rFonts w:hint="eastAsia"/>
                <w:vertAlign w:val="subscript"/>
                <w:lang w:val="en-US" w:eastAsia="zh-CN"/>
              </w:rPr>
              <w:t>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f</w:t>
            </w:r>
            <w:r>
              <w:rPr>
                <w:rFonts w:hint="eastAsia"/>
                <w:vertAlign w:val="subscript"/>
                <w:lang w:val="en-US" w:eastAsia="zh-CN"/>
              </w:rPr>
              <w:t>PCLK</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Internal APB clock frequency</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48</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Standard operating voltage</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2.4</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DDA</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Analog operating voltage</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Must have a potential equal to or higher than V</w:t>
            </w:r>
            <w:r>
              <w:rPr>
                <w:rFonts w:hint="eastAsia"/>
                <w:vertAlign w:val="subscript"/>
                <w:lang w:val="en-US" w:eastAsia="zh-CN"/>
              </w:rPr>
              <w:t>DD</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2.4</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IN</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FT and FTf pins</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DD</w:t>
            </w: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TTa pins</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Input voltage on any other pin</w:t>
            </w:r>
          </w:p>
        </w:tc>
        <w:tc>
          <w:tcPr>
            <w:tcW w:w="2480" w:type="dxa"/>
            <w:tcBorders>
              <w:tl2br w:val="nil"/>
              <w:tr2bl w:val="nil"/>
            </w:tcBorders>
          </w:tcPr>
          <w:p>
            <w:pPr>
              <w:jc w:val="center"/>
              <w:rPr>
                <w:rFonts w:hint="eastAsia"/>
                <w:vertAlign w:val="baseline"/>
                <w:lang w:val="en-US" w:eastAsia="zh-CN"/>
              </w:rPr>
            </w:pP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V</w:t>
            </w:r>
            <w:r>
              <w:rPr>
                <w:rFonts w:hint="eastAsia"/>
                <w:vertAlign w:val="subscript"/>
                <w:lang w:val="en-US" w:eastAsia="zh-CN"/>
              </w:rPr>
              <w:t>SS</w:t>
            </w:r>
            <w:r>
              <w:rPr>
                <w:rFonts w:hint="eastAsia"/>
                <w:vertAlign w:val="baseline"/>
                <w:lang w:val="en-US" w:eastAsia="zh-CN"/>
              </w:rPr>
              <w:t>-0.3</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724" w:type="dxa"/>
            <w:tcBorders>
              <w:tl2br w:val="nil"/>
              <w:tr2bl w:val="nil"/>
            </w:tcBorders>
          </w:tcPr>
          <w:p>
            <w:pPr>
              <w:jc w:val="center"/>
              <w:rPr>
                <w:rFonts w:hint="eastAsia"/>
                <w:vertAlign w:val="baseline"/>
                <w:lang w:val="en-US" w:eastAsia="zh-CN"/>
              </w:rPr>
            </w:pPr>
            <w:r>
              <w:rPr>
                <w:rFonts w:hint="eastAsia"/>
                <w:vertAlign w:val="baseline"/>
                <w:lang w:val="en-US" w:eastAsia="zh-CN"/>
              </w:rPr>
              <w:t>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P</w:t>
            </w:r>
            <w:r>
              <w:rPr>
                <w:rFonts w:hint="eastAsia"/>
                <w:vertAlign w:val="subscript"/>
                <w:lang w:val="en-US" w:eastAsia="zh-CN"/>
              </w:rPr>
              <w:t>D</w:t>
            </w:r>
          </w:p>
        </w:tc>
        <w:tc>
          <w:tcPr>
            <w:tcW w:w="2520"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Power dissipation at T</w:t>
            </w:r>
            <w:r>
              <w:rPr>
                <w:rFonts w:hint="eastAsia"/>
                <w:vertAlign w:val="subscript"/>
                <w:lang w:val="en-US" w:eastAsia="zh-CN"/>
              </w:rPr>
              <w:t>A</w:t>
            </w:r>
            <w:r>
              <w:rPr>
                <w:rFonts w:hint="eastAsia"/>
                <w:vertAlign w:val="baseline"/>
                <w:lang w:val="en-US" w:eastAsia="zh-CN"/>
              </w:rPr>
              <w:t>=85</w:t>
            </w:r>
            <w:r>
              <w:rPr>
                <w:rFonts w:hint="eastAsia" w:ascii="宋体" w:hAnsi="宋体" w:eastAsia="宋体" w:cs="宋体"/>
                <w:vertAlign w:val="baseline"/>
                <w:lang w:val="en-US" w:eastAsia="zh-CN"/>
              </w:rPr>
              <w:t>℃</w:t>
            </w:r>
            <w:r>
              <w:rPr>
                <w:rFonts w:hint="eastAsia" w:ascii="宋体" w:hAnsi="宋体" w:cs="宋体"/>
                <w:vertAlign w:val="baseline"/>
                <w:lang w:val="en-US" w:eastAsia="zh-CN"/>
              </w:rPr>
              <w:t xml:space="preserve"> </w:t>
            </w:r>
            <w:r>
              <w:rPr>
                <w:rFonts w:hint="eastAsia"/>
                <w:vertAlign w:val="baseline"/>
                <w:lang w:val="en-US" w:eastAsia="zh-CN"/>
              </w:rPr>
              <w:t>for suffix 6</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LQFP64</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444</w:t>
            </w:r>
          </w:p>
        </w:tc>
        <w:tc>
          <w:tcPr>
            <w:tcW w:w="724"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mW</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LQFP48</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364</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LQFP32</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357</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TSSOP20</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182</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T</w:t>
            </w:r>
            <w:r>
              <w:rPr>
                <w:rFonts w:hint="eastAsia"/>
                <w:vertAlign w:val="subscript"/>
                <w:lang w:val="en-US" w:eastAsia="zh-CN"/>
              </w:rPr>
              <w:t>A</w:t>
            </w:r>
          </w:p>
        </w:tc>
        <w:tc>
          <w:tcPr>
            <w:tcW w:w="2520" w:type="dxa"/>
            <w:vMerge w:val="restart"/>
            <w:tcBorders>
              <w:tl2br w:val="nil"/>
              <w:tr2bl w:val="nil"/>
            </w:tcBorders>
          </w:tcPr>
          <w:p>
            <w:pPr>
              <w:jc w:val="center"/>
              <w:rPr>
                <w:rFonts w:hint="eastAsia"/>
                <w:vertAlign w:val="baseline"/>
                <w:lang w:val="en-US" w:eastAsia="zh-CN"/>
              </w:rPr>
            </w:pPr>
            <w:r>
              <w:rPr>
                <w:rFonts w:hint="eastAsia"/>
                <w:vertAlign w:val="baseline"/>
                <w:lang w:val="en-US" w:eastAsia="zh-CN"/>
              </w:rPr>
              <w:t>Ambient temperature for 6suffix version</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Maximum power dissipation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85</w:t>
            </w:r>
          </w:p>
        </w:tc>
        <w:tc>
          <w:tcPr>
            <w:tcW w:w="724" w:type="dxa"/>
            <w:vMerge w:val="restart"/>
            <w:tcBorders>
              <w:tl2br w:val="nil"/>
              <w:tr2bl w:val="nil"/>
            </w:tcBorders>
          </w:tcPr>
          <w:p>
            <w:pPr>
              <w:jc w:val="center"/>
              <w:rPr>
                <w:rFonts w:hint="eastAsia"/>
                <w:vertAlign w:val="baseline"/>
                <w:lang w:val="en-US" w:eastAsia="zh-CN"/>
              </w:rPr>
            </w:pPr>
            <w:r>
              <w:rPr>
                <w:rFonts w:hint="eastAsia" w:ascii="宋体" w:hAnsi="宋体" w:eastAsia="宋体" w:cs="宋体"/>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vMerge w:val="continue"/>
            <w:tcBorders>
              <w:tl2br w:val="nil"/>
              <w:tr2bl w:val="nil"/>
            </w:tcBorders>
          </w:tcPr>
          <w:p>
            <w:pPr>
              <w:jc w:val="center"/>
              <w:rPr>
                <w:rFonts w:hint="eastAsia"/>
                <w:vertAlign w:val="baseline"/>
                <w:lang w:val="en-US" w:eastAsia="zh-CN"/>
              </w:rPr>
            </w:pPr>
          </w:p>
        </w:tc>
        <w:tc>
          <w:tcPr>
            <w:tcW w:w="2520" w:type="dxa"/>
            <w:vMerge w:val="continue"/>
            <w:tcBorders>
              <w:tl2br w:val="nil"/>
              <w:tr2bl w:val="nil"/>
            </w:tcBorders>
          </w:tcPr>
          <w:p>
            <w:pPr>
              <w:jc w:val="center"/>
              <w:rPr>
                <w:rFonts w:hint="eastAsia"/>
                <w:vertAlign w:val="baseline"/>
                <w:lang w:val="en-US" w:eastAsia="zh-CN"/>
              </w:rPr>
            </w:pP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Low power dissipation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105</w:t>
            </w:r>
          </w:p>
        </w:tc>
        <w:tc>
          <w:tcPr>
            <w:tcW w:w="724" w:type="dxa"/>
            <w:vMerge w:val="continue"/>
            <w:tcBorders>
              <w:tl2br w:val="nil"/>
              <w:tr2bl w:val="nil"/>
            </w:tcBorders>
          </w:tcPr>
          <w:p>
            <w:pPr>
              <w:jc w:val="center"/>
              <w:rPr>
                <w:rFonts w:hint="eastAsia"/>
                <w:vertAlign w:val="baseline"/>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18" w:type="dxa"/>
            <w:tcBorders>
              <w:tl2br w:val="nil"/>
              <w:tr2bl w:val="nil"/>
            </w:tcBorders>
          </w:tcPr>
          <w:p>
            <w:pPr>
              <w:jc w:val="center"/>
              <w:rPr>
                <w:rFonts w:hint="eastAsia"/>
                <w:vertAlign w:val="baseline"/>
                <w:lang w:val="en-US" w:eastAsia="zh-CN"/>
              </w:rPr>
            </w:pPr>
            <w:r>
              <w:rPr>
                <w:rFonts w:hint="eastAsia"/>
                <w:vertAlign w:val="baseline"/>
                <w:lang w:val="en-US" w:eastAsia="zh-CN"/>
              </w:rPr>
              <w:t>T</w:t>
            </w:r>
            <w:r>
              <w:rPr>
                <w:rFonts w:hint="eastAsia"/>
                <w:vertAlign w:val="subscript"/>
                <w:lang w:val="en-US" w:eastAsia="zh-CN"/>
              </w:rPr>
              <w:t>J</w:t>
            </w:r>
          </w:p>
        </w:tc>
        <w:tc>
          <w:tcPr>
            <w:tcW w:w="2520" w:type="dxa"/>
            <w:tcBorders>
              <w:tl2br w:val="nil"/>
              <w:tr2bl w:val="nil"/>
            </w:tcBorders>
          </w:tcPr>
          <w:p>
            <w:pPr>
              <w:jc w:val="center"/>
              <w:rPr>
                <w:rFonts w:hint="eastAsia"/>
                <w:vertAlign w:val="baseline"/>
                <w:lang w:val="en-US" w:eastAsia="zh-CN"/>
              </w:rPr>
            </w:pPr>
            <w:r>
              <w:rPr>
                <w:rFonts w:hint="eastAsia"/>
                <w:vertAlign w:val="baseline"/>
                <w:lang w:val="en-US" w:eastAsia="zh-CN"/>
              </w:rPr>
              <w:t>Junction temperature range</w:t>
            </w:r>
          </w:p>
        </w:tc>
        <w:tc>
          <w:tcPr>
            <w:tcW w:w="2480" w:type="dxa"/>
            <w:tcBorders>
              <w:tl2br w:val="nil"/>
              <w:tr2bl w:val="nil"/>
            </w:tcBorders>
          </w:tcPr>
          <w:p>
            <w:pPr>
              <w:jc w:val="center"/>
              <w:rPr>
                <w:rFonts w:hint="eastAsia"/>
                <w:vertAlign w:val="baseline"/>
                <w:lang w:val="en-US" w:eastAsia="zh-CN"/>
              </w:rPr>
            </w:pPr>
            <w:r>
              <w:rPr>
                <w:rFonts w:hint="eastAsia"/>
                <w:vertAlign w:val="baseline"/>
                <w:lang w:val="en-US" w:eastAsia="zh-CN"/>
              </w:rPr>
              <w:t>6suffix version</w:t>
            </w:r>
          </w:p>
        </w:tc>
        <w:tc>
          <w:tcPr>
            <w:tcW w:w="893" w:type="dxa"/>
            <w:tcBorders>
              <w:tl2br w:val="nil"/>
              <w:tr2bl w:val="nil"/>
            </w:tcBorders>
          </w:tcPr>
          <w:p>
            <w:pPr>
              <w:jc w:val="center"/>
              <w:rPr>
                <w:rFonts w:hint="eastAsia"/>
                <w:vertAlign w:val="baseline"/>
                <w:lang w:val="en-US" w:eastAsia="zh-CN"/>
              </w:rPr>
            </w:pPr>
            <w:r>
              <w:rPr>
                <w:rFonts w:hint="eastAsia"/>
                <w:vertAlign w:val="baseline"/>
                <w:lang w:val="en-US" w:eastAsia="zh-CN"/>
              </w:rPr>
              <w:t>-40</w:t>
            </w:r>
          </w:p>
        </w:tc>
        <w:tc>
          <w:tcPr>
            <w:tcW w:w="987" w:type="dxa"/>
            <w:tcBorders>
              <w:tl2br w:val="nil"/>
              <w:tr2bl w:val="nil"/>
            </w:tcBorders>
          </w:tcPr>
          <w:p>
            <w:pPr>
              <w:jc w:val="center"/>
              <w:rPr>
                <w:rFonts w:hint="eastAsia"/>
                <w:vertAlign w:val="baseline"/>
                <w:lang w:val="en-US" w:eastAsia="zh-CN"/>
              </w:rPr>
            </w:pPr>
            <w:r>
              <w:rPr>
                <w:rFonts w:hint="eastAsia"/>
                <w:vertAlign w:val="baseline"/>
                <w:lang w:val="en-US" w:eastAsia="zh-CN"/>
              </w:rPr>
              <w:t>105</w:t>
            </w:r>
          </w:p>
        </w:tc>
        <w:tc>
          <w:tcPr>
            <w:tcW w:w="724" w:type="dxa"/>
            <w:tcBorders>
              <w:tl2br w:val="nil"/>
              <w:tr2bl w:val="nil"/>
            </w:tcBorders>
          </w:tcPr>
          <w:p>
            <w:pPr>
              <w:jc w:val="center"/>
              <w:rPr>
                <w:rFonts w:hint="eastAsia"/>
                <w:vertAlign w:val="baseline"/>
                <w:lang w:val="en-US" w:eastAsia="zh-CN"/>
              </w:rPr>
            </w:pPr>
            <w:r>
              <w:rPr>
                <w:rFonts w:hint="eastAsia" w:ascii="宋体" w:hAnsi="宋体" w:eastAsia="宋体" w:cs="宋体"/>
                <w:vertAlign w:val="baseline"/>
                <w:lang w:val="en-US" w:eastAsia="zh-CN"/>
              </w:rPr>
              <w:t>℃</w:t>
            </w:r>
          </w:p>
        </w:tc>
      </w:tr>
    </w:tbl>
    <w:p>
      <w:pPr>
        <w:pStyle w:val="6"/>
        <w:rPr>
          <w:b/>
          <w:bCs/>
        </w:rPr>
      </w:pPr>
      <w:r>
        <w:rPr>
          <w:b/>
          <w:bCs/>
        </w:rPr>
        <w:t xml:space="preserve">表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r>
        <w:rPr>
          <w:rFonts w:hint="eastAsia"/>
          <w:b/>
          <w:bCs/>
          <w:lang w:eastAsia="zh-CN"/>
        </w:rPr>
        <w:t xml:space="preserve"> General op</w:t>
      </w:r>
      <w:r>
        <w:rPr>
          <w:rFonts w:hint="eastAsia"/>
          <w:b/>
          <w:bCs/>
          <w:lang w:val="en-US" w:eastAsia="zh-CN"/>
        </w:rPr>
        <w:t>e</w:t>
      </w:r>
      <w:r>
        <w:rPr>
          <w:rFonts w:hint="eastAsia"/>
          <w:b/>
          <w:bCs/>
          <w:lang w:eastAsia="zh-CN"/>
        </w:rPr>
        <w:t>rating conditions for STM32F030</w:t>
      </w:r>
    </w:p>
    <w:p>
      <w:pPr>
        <w:ind w:firstLine="420" w:firstLineChars="0"/>
        <w:rPr>
          <w:rFonts w:hint="eastAsia"/>
          <w:lang w:val="en-US" w:eastAsia="zh-CN"/>
        </w:rPr>
      </w:pPr>
      <w:r>
        <w:rPr>
          <w:rFonts w:hint="eastAsia"/>
          <w:lang w:val="en-US" w:eastAsia="zh-CN"/>
        </w:rPr>
        <w:t>STM32F030C8T6的零售价为4元人民币左右每片甚至低于一些51内核的8位MCU，但是Cortex-M0内核的32位MCU性能远高于51内核的8位MCU，其性价比可见一斑，使用高性价比的MCU开发产品将会给产品带来更加强大的竞争力。</w:t>
      </w:r>
    </w:p>
    <w:p>
      <w:pPr>
        <w:rPr>
          <w:rFonts w:hint="eastAsia"/>
          <w:lang w:val="en-US" w:eastAsia="zh-CN"/>
        </w:rPr>
      </w:pPr>
      <w:r>
        <w:rPr>
          <w:rFonts w:hint="eastAsia"/>
          <w:lang w:val="en-US" w:eastAsia="zh-CN"/>
        </w:rPr>
        <w:t>STM32F030C8T6核心电路设计</w:t>
      </w:r>
    </w:p>
    <w:p>
      <w:pPr>
        <w:ind w:firstLine="420" w:firstLineChars="0"/>
        <w:rPr>
          <w:rFonts w:hint="eastAsia"/>
          <w:lang w:val="en-US" w:eastAsia="zh-CN"/>
        </w:rPr>
      </w:pPr>
      <w:r>
        <w:rPr>
          <w:rFonts w:hint="eastAsia"/>
          <w:lang w:val="en-US" w:eastAsia="zh-CN"/>
        </w:rPr>
        <w:t>再强大的MCU也不可能离开最基本的外围电路工作，STM32F030C8T6也不例外，合适的核心电路设计是芯片正常工作的基础。</w:t>
      </w:r>
    </w:p>
    <w:p>
      <w:pPr>
        <w:ind w:firstLine="420" w:firstLineChars="0"/>
        <w:rPr>
          <w:rFonts w:hint="eastAsia"/>
          <w:lang w:val="en-US" w:eastAsia="zh-CN"/>
        </w:rPr>
      </w:pPr>
      <w:r>
        <w:rPr>
          <w:rFonts w:hint="eastAsia"/>
          <w:lang w:val="en-US" w:eastAsia="zh-CN"/>
        </w:rPr>
        <w:t>核心电路需要解决芯片的供电、Boot选择、时钟、复位电路等基本需求。</w:t>
      </w:r>
    </w:p>
    <w:p>
      <w:pPr>
        <w:ind w:firstLine="420" w:firstLineChars="0"/>
        <w:rPr>
          <w:rFonts w:hint="eastAsia"/>
          <w:lang w:val="en-US" w:eastAsia="zh-CN"/>
        </w:rPr>
      </w:pPr>
      <w:r>
        <w:rPr>
          <w:rFonts w:hint="eastAsia"/>
          <w:lang w:val="en-US" w:eastAsia="zh-CN"/>
        </w:rPr>
        <w:t>对于供电电压，在数据手册 STM32F030x4 STM32F030x6 STM32F030x8中的3.5章Power management中的3.5.1节Power supply schemes中有如下定义：</w:t>
      </w:r>
    </w:p>
    <w:p>
      <w:pPr>
        <w:ind w:firstLine="420" w:firstLineChars="0"/>
        <w:rPr>
          <w:rFonts w:hint="eastAsia"/>
          <w:lang w:val="en-US" w:eastAsia="zh-CN"/>
        </w:rPr>
      </w:pPr>
      <w:r>
        <w:rPr>
          <w:rFonts w:hint="eastAsia"/>
          <w:lang w:val="en-US" w:eastAsia="zh-CN"/>
        </w:rPr>
        <w:t xml:space="preserve">VDD = 2.4 to 3.6 V: external power supply for I/Os and the internal regulator. Provided externally through VDD pins. </w:t>
      </w:r>
    </w:p>
    <w:p>
      <w:pPr>
        <w:ind w:firstLine="420" w:firstLineChars="0"/>
        <w:rPr>
          <w:rFonts w:hint="eastAsia"/>
          <w:lang w:val="en-US" w:eastAsia="zh-CN"/>
        </w:rPr>
      </w:pPr>
      <w:r>
        <w:rPr>
          <w:rFonts w:hint="eastAsia"/>
          <w:lang w:val="en-US" w:eastAsia="zh-CN"/>
        </w:rPr>
        <w:t xml:space="preserve">VDDA = 2.4 to 3.6 V: external analog power supply for ADC, Reset blocks, RCs and PLL. The VDDA voltage level must be always greater or equal to the VDD voltage level and must be provided first. </w:t>
      </w:r>
    </w:p>
    <w:p>
      <w:pPr>
        <w:ind w:firstLine="420" w:firstLineChars="0"/>
        <w:rPr>
          <w:rFonts w:hint="eastAsia"/>
          <w:lang w:val="en-US" w:eastAsia="zh-CN"/>
        </w:rPr>
      </w:pPr>
      <w:r>
        <w:rPr>
          <w:rFonts w:hint="eastAsia"/>
          <w:lang w:val="en-US" w:eastAsia="zh-CN"/>
        </w:rPr>
        <w:t>即该手册定义的芯片需要提供两类电源，分别为模拟电源VDDA和供电电源VDD，且模拟电源必须首先供应同时不得低于供电电源。鉴于两者电压都处于2.4到3.6伏之间，处于简化电路的考虑，将两者统一供给3.3伏电压，并将两者通过0欧姆电阻连接。</w:t>
      </w:r>
    </w:p>
    <w:p>
      <w:pPr>
        <w:ind w:firstLine="420" w:firstLineChars="0"/>
        <w:rPr>
          <w:rFonts w:hint="eastAsia"/>
          <w:lang w:val="en-US" w:eastAsia="zh-CN"/>
        </w:rPr>
      </w:pPr>
      <w:r>
        <w:rPr>
          <w:rFonts w:hint="eastAsia"/>
          <w:lang w:val="en-US" w:eastAsia="zh-CN"/>
        </w:rPr>
        <w:t>对于Boot选择，在数据手册中的第3.3章Boot modes中有如下定义：</w:t>
      </w:r>
    </w:p>
    <w:p>
      <w:pPr>
        <w:ind w:firstLine="420" w:firstLineChars="0"/>
        <w:rPr>
          <w:rFonts w:hint="eastAsia"/>
          <w:lang w:val="en-US" w:eastAsia="zh-CN"/>
        </w:rPr>
      </w:pPr>
      <w:r>
        <w:rPr>
          <w:rFonts w:hint="eastAsia"/>
          <w:lang w:val="en-US" w:eastAsia="zh-CN"/>
        </w:rPr>
        <w:t>At startup, the boot pin and boot selector option bit are used to select one of three boot options:</w:t>
      </w:r>
      <w:r>
        <w:rPr>
          <w:rFonts w:hint="eastAsia"/>
          <w:lang w:val="en-US" w:eastAsia="zh-CN"/>
        </w:rPr>
        <w:br w:type="textWrapping"/>
      </w:r>
      <w:r>
        <w:rPr>
          <w:rFonts w:hint="eastAsia"/>
          <w:lang w:val="en-US" w:eastAsia="zh-CN"/>
        </w:rPr>
        <w:t> Boot from User Flash</w:t>
      </w:r>
      <w:r>
        <w:rPr>
          <w:rFonts w:hint="eastAsia"/>
          <w:lang w:val="en-US" w:eastAsia="zh-CN"/>
        </w:rPr>
        <w:br w:type="textWrapping"/>
      </w:r>
      <w:r>
        <w:rPr>
          <w:rFonts w:hint="eastAsia"/>
          <w:lang w:val="en-US" w:eastAsia="zh-CN"/>
        </w:rPr>
        <w:t> Boot from System Memory</w:t>
      </w:r>
      <w:r>
        <w:rPr>
          <w:rFonts w:hint="eastAsia"/>
          <w:lang w:val="en-US" w:eastAsia="zh-CN"/>
        </w:rPr>
        <w:br w:type="textWrapping"/>
      </w:r>
      <w:r>
        <w:rPr>
          <w:rFonts w:hint="eastAsia"/>
          <w:lang w:val="en-US" w:eastAsia="zh-CN"/>
        </w:rPr>
        <w:t> Boot from embedded SRAM</w:t>
      </w:r>
      <w:r>
        <w:rPr>
          <w:rFonts w:hint="eastAsia"/>
          <w:lang w:val="en-US" w:eastAsia="zh-CN"/>
        </w:rPr>
        <w:br w:type="textWrapping"/>
      </w:r>
      <w:r>
        <w:rPr>
          <w:rFonts w:hint="eastAsia"/>
          <w:lang w:val="en-US" w:eastAsia="zh-CN"/>
        </w:rPr>
        <w:t xml:space="preserve">The boot loader is located in System Memory. It is used to reprogram the Flash memory by using USART on pins PA14/PA15 or PA9/PA10. </w:t>
      </w:r>
    </w:p>
    <w:p>
      <w:pPr>
        <w:ind w:firstLine="420" w:firstLineChars="0"/>
        <w:rPr>
          <w:rFonts w:hint="eastAsia"/>
          <w:lang w:val="en-US" w:eastAsia="zh-CN"/>
        </w:rPr>
      </w:pPr>
      <w:r>
        <w:rPr>
          <w:rFonts w:hint="eastAsia"/>
          <w:lang w:val="en-US" w:eastAsia="zh-CN"/>
        </w:rPr>
        <w:t>不同于一般芯片拥有BOOT0、BOOT1两个引脚控制BOOT选项，数据手册定义的这些芯片只留出一个BOOT0，另外一个通过串口访问System Memory中的boot loader进行操作，以软件的方式实现。所以，BOOT电路只需能够配置BOOT0脚即可。</w:t>
      </w:r>
    </w:p>
    <w:p>
      <w:pPr>
        <w:ind w:firstLine="420" w:firstLineChars="0"/>
        <w:rPr>
          <w:rFonts w:hint="eastAsia"/>
          <w:lang w:val="en-US" w:eastAsia="zh-CN"/>
        </w:rPr>
      </w:pPr>
      <w:r>
        <w:rPr>
          <w:rFonts w:hint="eastAsia"/>
          <w:lang w:val="en-US" w:eastAsia="zh-CN"/>
        </w:rPr>
        <w:t>对于时钟，在数据手册中的第3.6章Clocks and startup中有如下定义：</w:t>
      </w:r>
    </w:p>
    <w:p>
      <w:pPr>
        <w:ind w:firstLine="420" w:firstLineChars="0"/>
        <w:rPr>
          <w:rFonts w:hint="eastAsia"/>
          <w:lang w:val="en-US" w:eastAsia="zh-CN"/>
        </w:rPr>
      </w:pPr>
      <w:r>
        <w:rPr>
          <w:rFonts w:hint="eastAsia"/>
          <w:lang w:val="en-US" w:eastAsia="zh-CN"/>
        </w:rPr>
        <w:t>System clock selection is performed on startup, however the internal RC 8 MHz oscillator is</w:t>
      </w:r>
      <w:r>
        <w:rPr>
          <w:rFonts w:hint="eastAsia"/>
          <w:lang w:val="en-US" w:eastAsia="zh-CN"/>
        </w:rPr>
        <w:br w:type="textWrapping"/>
      </w:r>
      <w:r>
        <w:rPr>
          <w:rFonts w:hint="eastAsia"/>
          <w:lang w:val="en-US" w:eastAsia="zh-CN"/>
        </w:rPr>
        <w:t xml:space="preserve">selected as default CPU clock on reset. An external 4-32 MHz clock can be selected, in which case it is monitored for failure. If failure is detected, the system automatically switches back to the internal RC oscillator. </w:t>
      </w:r>
    </w:p>
    <w:p>
      <w:pPr>
        <w:ind w:firstLine="420" w:firstLineChars="0"/>
        <w:rPr>
          <w:rFonts w:hint="eastAsia"/>
          <w:lang w:val="en-US" w:eastAsia="zh-CN"/>
        </w:rPr>
      </w:pPr>
      <w:r>
        <w:rPr>
          <w:rFonts w:hint="eastAsia"/>
          <w:lang w:val="en-US" w:eastAsia="zh-CN"/>
        </w:rPr>
        <w:t>即复位后选择以内部8M晶振为默认CPU时钟，但也可以选择外部4-32M晶振。使用外部晶振时会监测是否起振失败，若失败则自动切换回内部晶振。</w:t>
      </w:r>
    </w:p>
    <w:p>
      <w:pPr>
        <w:ind w:firstLine="420" w:firstLineChars="0"/>
        <w:rPr>
          <w:rFonts w:hint="eastAsia"/>
          <w:lang w:val="en-US" w:eastAsia="zh-CN"/>
        </w:rPr>
      </w:pPr>
      <w:r>
        <w:rPr>
          <w:rFonts w:hint="eastAsia"/>
          <w:lang w:val="en-US" w:eastAsia="zh-CN"/>
        </w:rPr>
        <w:t>所以理论上完全可以省略外部晶振，但考虑到外部晶振的最高频率可达内部晶振的4倍，决定留出外部晶振电路，以备后期可能的高频应用之需。</w:t>
      </w:r>
    </w:p>
    <w:p>
      <w:pPr>
        <w:jc w:val="center"/>
        <w:rPr>
          <w:rFonts w:hint="eastAsia"/>
          <w:lang w:val="en-US" w:eastAsia="zh-CN"/>
        </w:rPr>
      </w:pPr>
      <w:r>
        <w:rPr>
          <w:rFonts w:hint="eastAsia"/>
          <w:lang w:val="en-US" w:eastAsia="zh-CN"/>
        </w:rPr>
        <w:drawing>
          <wp:inline distT="0" distB="0" distL="114300" distR="114300">
            <wp:extent cx="3932555" cy="3564890"/>
            <wp:effectExtent l="0" t="0" r="14605" b="1270"/>
            <wp:docPr id="5" name="图片 5" descr="核心电路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核心电路原理图"/>
                    <pic:cNvPicPr>
                      <a:picLocks noChangeAspect="1"/>
                    </pic:cNvPicPr>
                  </pic:nvPicPr>
                  <pic:blipFill>
                    <a:blip r:embed="rId18"/>
                    <a:stretch>
                      <a:fillRect/>
                    </a:stretch>
                  </pic:blipFill>
                  <pic:spPr>
                    <a:xfrm>
                      <a:off x="0" y="0"/>
                      <a:ext cx="3932555" cy="3564890"/>
                    </a:xfrm>
                    <a:prstGeom prst="rect">
                      <a:avLst/>
                    </a:prstGeom>
                  </pic:spPr>
                </pic:pic>
              </a:graphicData>
            </a:graphic>
          </wp:inline>
        </w:drawing>
      </w:r>
    </w:p>
    <w:p>
      <w:pPr>
        <w:pStyle w:val="6"/>
        <w:jc w:val="center"/>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3</w:t>
      </w:r>
      <w:r>
        <w:rPr>
          <w:b/>
          <w:bCs/>
        </w:rPr>
        <w:fldChar w:fldCharType="end"/>
      </w:r>
      <w:r>
        <w:rPr>
          <w:rFonts w:hint="eastAsia"/>
          <w:b/>
          <w:bCs/>
          <w:lang w:eastAsia="zh-CN"/>
        </w:rPr>
        <w:t xml:space="preserve"> STM32F030C8T6核心电路</w:t>
      </w:r>
      <w:r>
        <w:rPr>
          <w:rFonts w:hint="eastAsia"/>
          <w:b/>
          <w:bCs/>
          <w:lang w:val="en-US" w:eastAsia="zh-CN"/>
        </w:rPr>
        <w:t>原理图</w:t>
      </w:r>
    </w:p>
    <w:p>
      <w:pPr>
        <w:ind w:firstLine="420" w:firstLineChars="0"/>
        <w:jc w:val="left"/>
        <w:rPr>
          <w:rFonts w:hint="eastAsia"/>
          <w:lang w:val="en-US" w:eastAsia="zh-CN"/>
        </w:rPr>
      </w:pPr>
      <w:r>
        <w:rPr>
          <w:rFonts w:hint="eastAsia"/>
          <w:lang w:val="en-US" w:eastAsia="zh-CN"/>
        </w:rPr>
        <w:t>最终，基于STM32F030C8T6设计的远程监测采集器核心电路如图2-3所示。</w:t>
      </w:r>
      <w:r>
        <w:rPr>
          <w:rFonts w:hint="eastAsia"/>
          <w:lang w:val="en-US" w:eastAsia="zh-CN"/>
        </w:rPr>
        <w:br w:type="page"/>
      </w:r>
    </w:p>
    <w:p>
      <w:pPr>
        <w:pStyle w:val="4"/>
        <w:rPr>
          <w:rFonts w:hint="eastAsia"/>
          <w:lang w:val="en-US" w:eastAsia="zh-CN"/>
        </w:rPr>
      </w:pPr>
      <w:bookmarkStart w:id="31" w:name="_Toc17525"/>
      <w:r>
        <w:rPr>
          <w:rFonts w:hint="eastAsia"/>
          <w:lang w:val="en-US" w:eastAsia="zh-CN"/>
        </w:rPr>
        <w:t>RS485通讯模块设计</w:t>
      </w:r>
      <w:bookmarkEnd w:id="31"/>
    </w:p>
    <w:p>
      <w:pPr>
        <w:ind w:firstLine="420" w:firstLineChars="0"/>
        <w:rPr>
          <w:rFonts w:hint="eastAsia"/>
          <w:lang w:val="en-US" w:eastAsia="zh-CN"/>
        </w:rPr>
      </w:pPr>
      <w:r>
        <w:rPr>
          <w:rFonts w:hint="eastAsia"/>
          <w:lang w:val="en-US" w:eastAsia="zh-CN"/>
        </w:rPr>
        <w:t>与远程监测采集器连接的各个水质传感设备来自不同的厂家，但是他们都有一个功能，就是支持RS485通讯。为了实现与这些水质传感设备之间的数据交互，远程监测采集器必须支持RS485通讯并且兼容各水质传感设备厂家定义的通讯协议。</w:t>
      </w:r>
    </w:p>
    <w:p>
      <w:pPr>
        <w:ind w:firstLine="420" w:firstLineChars="0"/>
        <w:rPr>
          <w:rFonts w:hint="eastAsia"/>
          <w:lang w:val="en-US" w:eastAsia="zh-CN"/>
        </w:rPr>
      </w:pPr>
      <w:r>
        <w:rPr>
          <w:rFonts w:hint="eastAsia"/>
          <w:lang w:val="en-US" w:eastAsia="zh-CN"/>
        </w:rPr>
        <w:t>RS485电平无法直接与STM32F030C8T6相连接，需要使用电平转换芯片。这里选用的电平转换芯片为RS485电路中常用的SP3485芯片。根据SP3485芯片的DATASHEET中的描述：The SP3481 and the SP3485 are a family of +3.3V low power half-duplex transceivers that</w:t>
      </w:r>
      <w:r>
        <w:rPr>
          <w:rFonts w:hint="eastAsia"/>
          <w:lang w:val="en-US" w:eastAsia="zh-CN"/>
        </w:rPr>
        <w:br w:type="textWrapping"/>
      </w:r>
      <w:r>
        <w:rPr>
          <w:rFonts w:hint="eastAsia"/>
          <w:lang w:val="en-US" w:eastAsia="zh-CN"/>
        </w:rPr>
        <w:t>meet the specifications of the RS-485 and RS-422 serial protocols. 该芯片可以使用3.3伏电源供电且支持RS485协议。</w:t>
      </w:r>
    </w:p>
    <w:p>
      <w:pPr>
        <w:jc w:val="center"/>
        <w:rPr>
          <w:rFonts w:hint="eastAsia"/>
          <w:lang w:val="en-US" w:eastAsia="zh-CN"/>
        </w:rPr>
      </w:pPr>
      <w:r>
        <w:rPr>
          <w:rFonts w:hint="eastAsia"/>
          <w:lang w:val="en-US" w:eastAsia="zh-CN"/>
        </w:rPr>
        <w:drawing>
          <wp:inline distT="0" distB="0" distL="114300" distR="114300">
            <wp:extent cx="3968115" cy="3317240"/>
            <wp:effectExtent l="0" t="0" r="9525" b="5080"/>
            <wp:docPr id="6" name="图片 6" descr="RS485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S485原理图"/>
                    <pic:cNvPicPr>
                      <a:picLocks noChangeAspect="1"/>
                    </pic:cNvPicPr>
                  </pic:nvPicPr>
                  <pic:blipFill>
                    <a:blip r:embed="rId19"/>
                    <a:stretch>
                      <a:fillRect/>
                    </a:stretch>
                  </pic:blipFill>
                  <pic:spPr>
                    <a:xfrm>
                      <a:off x="0" y="0"/>
                      <a:ext cx="3968115" cy="3317240"/>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4</w:t>
      </w:r>
      <w:r>
        <w:rPr>
          <w:b/>
          <w:bCs/>
        </w:rPr>
        <w:fldChar w:fldCharType="end"/>
      </w:r>
      <w:r>
        <w:rPr>
          <w:rFonts w:hint="eastAsia"/>
          <w:b/>
          <w:bCs/>
          <w:lang w:eastAsia="zh-CN"/>
        </w:rPr>
        <w:t xml:space="preserve"> RS485模块原理图</w:t>
      </w:r>
    </w:p>
    <w:p>
      <w:pPr>
        <w:ind w:firstLine="420" w:firstLineChars="0"/>
        <w:rPr>
          <w:rFonts w:hint="eastAsia"/>
          <w:b w:val="0"/>
          <w:bCs w:val="0"/>
          <w:lang w:val="en-US" w:eastAsia="zh-CN"/>
        </w:rPr>
      </w:pPr>
      <w:r>
        <w:rPr>
          <w:rFonts w:hint="eastAsia"/>
          <w:b w:val="0"/>
          <w:bCs w:val="0"/>
          <w:lang w:val="en-US" w:eastAsia="zh-CN"/>
        </w:rPr>
        <w:t>如图2-4所示，</w:t>
      </w:r>
      <w:r>
        <w:rPr>
          <w:rFonts w:hint="eastAsia"/>
          <w:lang w:val="en-US" w:eastAsia="zh-CN"/>
        </w:rPr>
        <w:t>远程监测采集器上设计了两个RS485模块，其中RS485_1由串口1控制，其中RS485_2由串口2控制。每个RS485分别有一个120欧姆的终端匹配电阻和两个360欧姆的偏置电阻，偏置电阻保证了空闲时信号不会波动。</w:t>
      </w:r>
    </w:p>
    <w:p>
      <w:pPr>
        <w:ind w:firstLine="420" w:firstLineChars="0"/>
        <w:rPr>
          <w:rFonts w:hint="eastAsia"/>
          <w:b w:val="0"/>
          <w:bCs w:val="0"/>
          <w:lang w:val="en-US" w:eastAsia="zh-CN"/>
        </w:rPr>
      </w:pPr>
      <w:r>
        <w:rPr>
          <w:rFonts w:hint="eastAsia"/>
          <w:b w:val="0"/>
          <w:bCs w:val="0"/>
          <w:lang w:val="en-US" w:eastAsia="zh-CN"/>
        </w:rPr>
        <w:br w:type="page"/>
      </w:r>
    </w:p>
    <w:p>
      <w:pPr>
        <w:pStyle w:val="4"/>
        <w:rPr>
          <w:rFonts w:hint="eastAsia"/>
          <w:lang w:val="en-US" w:eastAsia="zh-CN"/>
        </w:rPr>
      </w:pPr>
      <w:bookmarkStart w:id="32" w:name="_Toc30041"/>
      <w:r>
        <w:rPr>
          <w:rFonts w:hint="eastAsia"/>
          <w:lang w:val="en-US" w:eastAsia="zh-CN"/>
        </w:rPr>
        <w:t>OLED显示模块设计</w:t>
      </w:r>
      <w:bookmarkEnd w:id="32"/>
    </w:p>
    <w:p>
      <w:pPr>
        <w:ind w:firstLine="420" w:firstLineChars="0"/>
        <w:rPr>
          <w:rFonts w:hint="eastAsia"/>
          <w:lang w:val="en-US" w:eastAsia="zh-CN"/>
        </w:rPr>
      </w:pPr>
      <w:r>
        <w:rPr>
          <w:rFonts w:hint="eastAsia"/>
          <w:lang w:val="en-US" w:eastAsia="zh-CN"/>
        </w:rPr>
        <w:t>在需求分析中已经确定要为远程监测采集器配备一块支持I2C通讯的0.96寸OLED屏幕。出于简化设计以及降低成本的考虑，没有为远程监测采集器采用裸屏而是采用成熟的，广泛应用的OLED显示屏模块。这样可以在PCB上省略OLED屏的外围电路，而只需要提供I2C总线接口以及电源和地。</w:t>
      </w:r>
    </w:p>
    <w:p>
      <w:pPr>
        <w:jc w:val="center"/>
        <w:rPr>
          <w:rFonts w:hint="eastAsia"/>
          <w:lang w:val="en-US" w:eastAsia="zh-CN"/>
        </w:rPr>
      </w:pPr>
      <w:r>
        <w:rPr>
          <w:rFonts w:hint="eastAsia"/>
          <w:lang w:val="en-US" w:eastAsia="zh-CN"/>
        </w:rPr>
        <w:drawing>
          <wp:inline distT="0" distB="0" distL="114300" distR="114300">
            <wp:extent cx="1653540" cy="868680"/>
            <wp:effectExtent l="0" t="0" r="7620" b="0"/>
            <wp:docPr id="7" name="图片 7" descr="OLED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LED原理图"/>
                    <pic:cNvPicPr>
                      <a:picLocks noChangeAspect="1"/>
                    </pic:cNvPicPr>
                  </pic:nvPicPr>
                  <pic:blipFill>
                    <a:blip r:embed="rId20"/>
                    <a:stretch>
                      <a:fillRect/>
                    </a:stretch>
                  </pic:blipFill>
                  <pic:spPr>
                    <a:xfrm>
                      <a:off x="0" y="0"/>
                      <a:ext cx="1653540" cy="868680"/>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5</w:t>
      </w:r>
      <w:r>
        <w:rPr>
          <w:b/>
          <w:bCs/>
        </w:rPr>
        <w:fldChar w:fldCharType="end"/>
      </w:r>
      <w:r>
        <w:rPr>
          <w:rFonts w:hint="eastAsia"/>
          <w:b/>
          <w:bCs/>
          <w:lang w:eastAsia="zh-CN"/>
        </w:rPr>
        <w:t xml:space="preserve"> OLED模块原理图</w:t>
      </w:r>
    </w:p>
    <w:p>
      <w:pPr>
        <w:ind w:firstLine="420" w:firstLineChars="0"/>
        <w:rPr>
          <w:rFonts w:hint="eastAsia"/>
          <w:b w:val="0"/>
          <w:bCs w:val="0"/>
          <w:lang w:val="en-US" w:eastAsia="zh-CN"/>
        </w:rPr>
      </w:pPr>
      <w:r>
        <w:rPr>
          <w:rFonts w:hint="eastAsia"/>
          <w:b w:val="0"/>
          <w:bCs w:val="0"/>
          <w:lang w:val="en-US" w:eastAsia="zh-CN"/>
        </w:rPr>
        <w:t>如图2-5所示，只需要为OLED模块留出1个4针接口，简化电路图也就提高了电路的可靠性。</w:t>
      </w:r>
    </w:p>
    <w:p>
      <w:pPr>
        <w:pStyle w:val="4"/>
        <w:rPr>
          <w:rFonts w:hint="eastAsia"/>
          <w:lang w:val="en-US" w:eastAsia="zh-CN"/>
        </w:rPr>
      </w:pPr>
      <w:bookmarkStart w:id="33" w:name="_Toc6111"/>
      <w:r>
        <w:rPr>
          <w:rFonts w:hint="eastAsia"/>
          <w:lang w:val="en-US" w:eastAsia="zh-CN"/>
        </w:rPr>
        <w:t>供电模块及电压监测电路设计</w:t>
      </w:r>
      <w:bookmarkEnd w:id="33"/>
    </w:p>
    <w:p>
      <w:pPr>
        <w:ind w:firstLine="420" w:firstLineChars="0"/>
        <w:rPr>
          <w:rFonts w:hint="eastAsia"/>
          <w:lang w:val="en-US" w:eastAsia="zh-CN"/>
        </w:rPr>
      </w:pPr>
      <w:r>
        <w:rPr>
          <w:rFonts w:hint="eastAsia"/>
          <w:lang w:val="en-US" w:eastAsia="zh-CN"/>
        </w:rPr>
        <w:t>目前，嵌入式设备中最常用的电源电压是5V和3.3V。截至目前，在整个远程监测采集器设计中，无论是核心电路还是RS485电路还是OLED模块电路使用到的供电电压都是3.3V，之后需要用到的NRF24L01模块也可以使用3.3V供电。并且在远程监测采集器中没有使用到其它电压值的供电的器件。所以，理论上整个远程监测采集器只需要设计3.3V的电源即可。但是考虑到5V电源供电器件广泛应用，若只提供3.3V电源将会对后续的功能升级造成很大的限制，所以决定加上5V电源的设计。最终，远程监测采集器将提供5V和3.3V两种电压值的供电模块。</w:t>
      </w:r>
    </w:p>
    <w:p>
      <w:pPr>
        <w:rPr>
          <w:rFonts w:hint="eastAsia"/>
          <w:lang w:val="en-US" w:eastAsia="zh-CN"/>
        </w:rPr>
      </w:pPr>
      <w:r>
        <w:rPr>
          <w:rFonts w:hint="eastAsia"/>
          <w:lang w:val="en-US" w:eastAsia="zh-CN"/>
        </w:rPr>
        <w:drawing>
          <wp:inline distT="0" distB="0" distL="114300" distR="114300">
            <wp:extent cx="5271770" cy="2007870"/>
            <wp:effectExtent l="0" t="0" r="1270" b="3810"/>
            <wp:docPr id="8" name="图片 8" descr="AMS1117电气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MS1117电气特性"/>
                    <pic:cNvPicPr>
                      <a:picLocks noChangeAspect="1"/>
                    </pic:cNvPicPr>
                  </pic:nvPicPr>
                  <pic:blipFill>
                    <a:blip r:embed="rId21"/>
                    <a:stretch>
                      <a:fillRect/>
                    </a:stretch>
                  </pic:blipFill>
                  <pic:spPr>
                    <a:xfrm>
                      <a:off x="0" y="0"/>
                      <a:ext cx="5271770" cy="2007870"/>
                    </a:xfrm>
                    <a:prstGeom prst="rect">
                      <a:avLst/>
                    </a:prstGeom>
                  </pic:spPr>
                </pic:pic>
              </a:graphicData>
            </a:graphic>
          </wp:inline>
        </w:drawing>
      </w:r>
    </w:p>
    <w:p>
      <w:pPr>
        <w:pStyle w:val="6"/>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6</w:t>
      </w:r>
      <w:r>
        <w:rPr>
          <w:b/>
          <w:bCs/>
        </w:rPr>
        <w:fldChar w:fldCharType="end"/>
      </w:r>
      <w:r>
        <w:rPr>
          <w:rFonts w:hint="eastAsia"/>
          <w:b/>
          <w:bCs/>
          <w:lang w:eastAsia="zh-CN"/>
        </w:rPr>
        <w:t xml:space="preserve"> Electrical characteristics for AMS1117</w:t>
      </w:r>
    </w:p>
    <w:p>
      <w:pPr>
        <w:ind w:firstLine="420" w:firstLineChars="0"/>
        <w:rPr>
          <w:rFonts w:hint="eastAsia"/>
          <w:lang w:val="en-US" w:eastAsia="zh-CN"/>
        </w:rPr>
      </w:pPr>
      <w:r>
        <w:rPr>
          <w:rFonts w:hint="eastAsia"/>
          <w:lang w:val="en-US" w:eastAsia="zh-CN"/>
        </w:rPr>
        <w:t>经过筛选，决定采用广泛使用的AMS1117系列稳压芯片，具体型号分别为AMS1117_3.3和AMS1117_5.0 。如图2-6中AMS1117系列芯片的电气特性所示，这两块电源稳压芯片的最大输入电压均为12V，所以远程监测采集器采用12V直流电源适配器供电。另外远程监测采集器还配备了移动端常用的Micro USB 接口,可以通过电压值为5V的手机电源适配器为之供电，在电流需求不高的情况下可以通过电脑的USB口对远程监测采集器进行供电，这种供电方式在使用电脑通过USB与远程监测采集器进行数据交互的应用场景下显得十分便利。</w:t>
      </w:r>
    </w:p>
    <w:p>
      <w:pPr>
        <w:ind w:firstLine="420" w:firstLineChars="0"/>
        <w:rPr>
          <w:rFonts w:hint="eastAsia"/>
          <w:lang w:val="en-US" w:eastAsia="zh-CN"/>
        </w:rPr>
      </w:pPr>
      <w:r>
        <w:rPr>
          <w:rFonts w:hint="eastAsia"/>
          <w:lang w:val="en-US" w:eastAsia="zh-CN"/>
        </w:rPr>
        <w:t>当然，为了防止在使用USB时将5V电压直接接到12V供电电压而导致损坏5V电压设备的情况，在电路中加入二极管保证电流只能从5V流向供电电压而不可逆向流动。</w:t>
      </w:r>
    </w:p>
    <w:p>
      <w:pPr>
        <w:jc w:val="center"/>
        <w:rPr>
          <w:rFonts w:hint="eastAsia"/>
          <w:lang w:val="en-US" w:eastAsia="zh-CN"/>
        </w:rPr>
      </w:pPr>
      <w:r>
        <w:rPr>
          <w:rFonts w:hint="eastAsia"/>
          <w:lang w:val="en-US" w:eastAsia="zh-CN"/>
        </w:rPr>
        <w:drawing>
          <wp:inline distT="0" distB="0" distL="114300" distR="114300">
            <wp:extent cx="3780790" cy="2466975"/>
            <wp:effectExtent l="0" t="0" r="13970" b="1905"/>
            <wp:docPr id="9" name="图片 9" descr="电源模块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电源模块原理图"/>
                    <pic:cNvPicPr>
                      <a:picLocks noChangeAspect="1"/>
                    </pic:cNvPicPr>
                  </pic:nvPicPr>
                  <pic:blipFill>
                    <a:blip r:embed="rId22"/>
                    <a:stretch>
                      <a:fillRect/>
                    </a:stretch>
                  </pic:blipFill>
                  <pic:spPr>
                    <a:xfrm>
                      <a:off x="0" y="0"/>
                      <a:ext cx="3780790" cy="2466975"/>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7</w:t>
      </w:r>
      <w:r>
        <w:rPr>
          <w:b/>
          <w:bCs/>
        </w:rPr>
        <w:fldChar w:fldCharType="end"/>
      </w:r>
      <w:r>
        <w:rPr>
          <w:rFonts w:hint="eastAsia"/>
          <w:b/>
          <w:bCs/>
          <w:lang w:eastAsia="zh-CN"/>
        </w:rPr>
        <w:t xml:space="preserve"> 电源模块原理图</w:t>
      </w:r>
    </w:p>
    <w:p>
      <w:pPr>
        <w:ind w:firstLine="420" w:firstLineChars="0"/>
        <w:rPr>
          <w:rFonts w:hint="eastAsia"/>
          <w:lang w:val="en-US" w:eastAsia="zh-CN"/>
        </w:rPr>
      </w:pPr>
      <w:r>
        <w:rPr>
          <w:rFonts w:hint="eastAsia"/>
          <w:lang w:val="en-US" w:eastAsia="zh-CN"/>
        </w:rPr>
        <w:t>为了使远程监测采集器拥有监测自身电压情况的能力，以便在电压异常时即使报警，所以使用STM32F030C8T6自带的ADC资源监测电源模块电压状况。图2-8为电压监测模块的原理图。</w:t>
      </w:r>
    </w:p>
    <w:p>
      <w:pPr>
        <w:jc w:val="center"/>
        <w:rPr>
          <w:rFonts w:hint="eastAsia"/>
          <w:lang w:val="en-US" w:eastAsia="zh-CN"/>
        </w:rPr>
      </w:pPr>
      <w:r>
        <w:rPr>
          <w:rFonts w:hint="eastAsia"/>
          <w:lang w:val="en-US" w:eastAsia="zh-CN"/>
        </w:rPr>
        <w:drawing>
          <wp:inline distT="0" distB="0" distL="114300" distR="114300">
            <wp:extent cx="3180080" cy="1491615"/>
            <wp:effectExtent l="0" t="0" r="5080" b="1905"/>
            <wp:docPr id="10" name="图片 10" descr="电压监测电路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压监测电路原理图"/>
                    <pic:cNvPicPr>
                      <a:picLocks noChangeAspect="1"/>
                    </pic:cNvPicPr>
                  </pic:nvPicPr>
                  <pic:blipFill>
                    <a:blip r:embed="rId23"/>
                    <a:stretch>
                      <a:fillRect/>
                    </a:stretch>
                  </pic:blipFill>
                  <pic:spPr>
                    <a:xfrm>
                      <a:off x="0" y="0"/>
                      <a:ext cx="3180080" cy="1491615"/>
                    </a:xfrm>
                    <a:prstGeom prst="rect">
                      <a:avLst/>
                    </a:prstGeom>
                  </pic:spPr>
                </pic:pic>
              </a:graphicData>
            </a:graphic>
          </wp:inline>
        </w:drawing>
      </w:r>
    </w:p>
    <w:p>
      <w:pPr>
        <w:pStyle w:val="6"/>
        <w:jc w:val="center"/>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8</w:t>
      </w:r>
      <w:r>
        <w:rPr>
          <w:b/>
          <w:bCs/>
        </w:rPr>
        <w:fldChar w:fldCharType="end"/>
      </w:r>
      <w:r>
        <w:rPr>
          <w:rFonts w:hint="eastAsia"/>
          <w:b/>
          <w:bCs/>
          <w:lang w:eastAsia="zh-CN"/>
        </w:rPr>
        <w:t xml:space="preserve"> 电压监测模块原理图</w:t>
      </w:r>
    </w:p>
    <w:p>
      <w:pPr>
        <w:pStyle w:val="4"/>
        <w:rPr>
          <w:rFonts w:hint="eastAsia"/>
          <w:lang w:val="en-US" w:eastAsia="zh-CN"/>
        </w:rPr>
      </w:pPr>
      <w:bookmarkStart w:id="34" w:name="_Toc13996"/>
      <w:r>
        <w:rPr>
          <w:rFonts w:hint="eastAsia"/>
          <w:lang w:val="en-US" w:eastAsia="zh-CN"/>
        </w:rPr>
        <w:t>NRF24L01无线通讯模块设计</w:t>
      </w:r>
      <w:bookmarkEnd w:id="34"/>
    </w:p>
    <w:p>
      <w:pPr>
        <w:ind w:firstLine="420" w:firstLineChars="0"/>
        <w:rPr>
          <w:rFonts w:hint="eastAsia"/>
          <w:lang w:val="en-US" w:eastAsia="zh-CN"/>
        </w:rPr>
      </w:pPr>
      <w:r>
        <w:rPr>
          <w:rFonts w:hint="eastAsia"/>
          <w:lang w:val="en-US" w:eastAsia="zh-CN"/>
        </w:rPr>
        <w:t>远程监测采集器采用NRF24L01模块通过2.4Ghz无线与服务器进行数据交互。出于简化设计以及降低成本的考虑，没有为远程监测采集器重新设计NRF24L01芯片外围电路及天线电路而是采用现成的NRF24L01模块。这样设计的好处是可以省略外围电路，而只需要提供SPI总线接口、片选、使能以及电源和地。</w:t>
      </w:r>
    </w:p>
    <w:p>
      <w:pPr>
        <w:jc w:val="center"/>
        <w:rPr>
          <w:rFonts w:hint="eastAsia"/>
          <w:lang w:val="en-US" w:eastAsia="zh-CN"/>
        </w:rPr>
      </w:pPr>
      <w:r>
        <w:rPr>
          <w:rFonts w:hint="eastAsia"/>
          <w:lang w:val="en-US" w:eastAsia="zh-CN"/>
        </w:rPr>
        <w:drawing>
          <wp:inline distT="0" distB="0" distL="114300" distR="114300">
            <wp:extent cx="4374515" cy="1424940"/>
            <wp:effectExtent l="0" t="0" r="14605" b="7620"/>
            <wp:docPr id="11" name="图片 11" descr="无线模块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无线模块原理图"/>
                    <pic:cNvPicPr>
                      <a:picLocks noChangeAspect="1"/>
                    </pic:cNvPicPr>
                  </pic:nvPicPr>
                  <pic:blipFill>
                    <a:blip r:embed="rId24"/>
                    <a:stretch>
                      <a:fillRect/>
                    </a:stretch>
                  </pic:blipFill>
                  <pic:spPr>
                    <a:xfrm>
                      <a:off x="0" y="0"/>
                      <a:ext cx="4374515" cy="1424940"/>
                    </a:xfrm>
                    <a:prstGeom prst="rect">
                      <a:avLst/>
                    </a:prstGeom>
                  </pic:spPr>
                </pic:pic>
              </a:graphicData>
            </a:graphic>
          </wp:inline>
        </w:drawing>
      </w:r>
    </w:p>
    <w:p>
      <w:pPr>
        <w:pStyle w:val="6"/>
        <w:jc w:val="center"/>
        <w:rPr>
          <w:rFonts w:hint="eastAsia"/>
          <w:b/>
          <w:bCs/>
          <w:lang w:val="en-US"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9</w:t>
      </w:r>
      <w:r>
        <w:rPr>
          <w:b/>
          <w:bCs/>
        </w:rPr>
        <w:fldChar w:fldCharType="end"/>
      </w:r>
      <w:r>
        <w:rPr>
          <w:rFonts w:hint="eastAsia"/>
          <w:b/>
          <w:bCs/>
          <w:lang w:eastAsia="zh-CN"/>
        </w:rPr>
        <w:t xml:space="preserve"> NRF24L01模块原理图</w:t>
      </w:r>
    </w:p>
    <w:p>
      <w:pPr>
        <w:pStyle w:val="4"/>
        <w:rPr>
          <w:rFonts w:hint="eastAsia"/>
          <w:lang w:val="en-US" w:eastAsia="zh-CN"/>
        </w:rPr>
      </w:pPr>
      <w:bookmarkStart w:id="35" w:name="_Toc5467"/>
      <w:r>
        <w:rPr>
          <w:rFonts w:hint="eastAsia"/>
          <w:lang w:val="en-US" w:eastAsia="zh-CN"/>
        </w:rPr>
        <w:t>农村生活污水处理远程监测采集器PCB设计及焊接</w:t>
      </w:r>
      <w:bookmarkEnd w:id="35"/>
    </w:p>
    <w:p>
      <w:pPr>
        <w:ind w:firstLine="420" w:firstLineChars="0"/>
        <w:rPr>
          <w:rFonts w:hint="eastAsia"/>
          <w:lang w:val="en-US" w:eastAsia="zh-CN"/>
        </w:rPr>
      </w:pPr>
      <w:r>
        <w:rPr>
          <w:rFonts w:hint="eastAsia"/>
          <w:lang w:val="en-US" w:eastAsia="zh-CN"/>
        </w:rPr>
        <w:t>在完成远程采集监测采集器的原理图设计之后，进行了远程监测采集器的PCB设计。PCB采用双层设计，双面敷铜，成品尺寸为50mm*50mm 。</w:t>
      </w:r>
    </w:p>
    <w:p>
      <w:pPr>
        <w:jc w:val="center"/>
        <w:rPr>
          <w:rFonts w:hint="eastAsia"/>
          <w:lang w:val="en-US" w:eastAsia="zh-CN"/>
        </w:rPr>
      </w:pPr>
      <w:r>
        <w:rPr>
          <w:rFonts w:hint="eastAsia"/>
          <w:lang w:val="en-US" w:eastAsia="zh-CN"/>
        </w:rPr>
        <w:drawing>
          <wp:inline distT="0" distB="0" distL="114300" distR="114300">
            <wp:extent cx="2825115" cy="2846705"/>
            <wp:effectExtent l="0" t="0" r="9525" b="3175"/>
            <wp:docPr id="12" name="图片 12" descr="远程监测采集器PCB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远程监测采集器PCB图"/>
                    <pic:cNvPicPr>
                      <a:picLocks noChangeAspect="1"/>
                    </pic:cNvPicPr>
                  </pic:nvPicPr>
                  <pic:blipFill>
                    <a:blip r:embed="rId25"/>
                    <a:stretch>
                      <a:fillRect/>
                    </a:stretch>
                  </pic:blipFill>
                  <pic:spPr>
                    <a:xfrm>
                      <a:off x="0" y="0"/>
                      <a:ext cx="2825115" cy="2846705"/>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10</w:t>
      </w:r>
      <w:r>
        <w:rPr>
          <w:b/>
          <w:bCs/>
        </w:rPr>
        <w:fldChar w:fldCharType="end"/>
      </w:r>
      <w:r>
        <w:rPr>
          <w:rFonts w:hint="eastAsia"/>
          <w:b/>
          <w:bCs/>
          <w:lang w:eastAsia="zh-CN"/>
        </w:rPr>
        <w:t xml:space="preserve"> 远程检测采集器PCB图</w:t>
      </w:r>
    </w:p>
    <w:p>
      <w:pPr>
        <w:jc w:val="center"/>
        <w:rPr>
          <w:rFonts w:hint="eastAsia"/>
          <w:lang w:val="en-US" w:eastAsia="zh-CN"/>
        </w:rPr>
      </w:pPr>
      <w:r>
        <w:rPr>
          <w:rFonts w:hint="eastAsia"/>
          <w:lang w:val="en-US" w:eastAsia="zh-CN"/>
        </w:rPr>
        <w:drawing>
          <wp:inline distT="0" distB="0" distL="114300" distR="114300">
            <wp:extent cx="4088765" cy="3067685"/>
            <wp:effectExtent l="0" t="0" r="10795" b="10795"/>
            <wp:docPr id="13" name="图片 13" descr="远程监测采集器PCB实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远程监测采集器PCB实物图"/>
                    <pic:cNvPicPr>
                      <a:picLocks noChangeAspect="1"/>
                    </pic:cNvPicPr>
                  </pic:nvPicPr>
                  <pic:blipFill>
                    <a:blip r:embed="rId26"/>
                    <a:stretch>
                      <a:fillRect/>
                    </a:stretch>
                  </pic:blipFill>
                  <pic:spPr>
                    <a:xfrm>
                      <a:off x="0" y="0"/>
                      <a:ext cx="4088765" cy="3067685"/>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11</w:t>
      </w:r>
      <w:r>
        <w:rPr>
          <w:b/>
          <w:bCs/>
        </w:rPr>
        <w:fldChar w:fldCharType="end"/>
      </w:r>
      <w:r>
        <w:rPr>
          <w:rFonts w:hint="eastAsia"/>
          <w:b/>
          <w:bCs/>
          <w:lang w:eastAsia="zh-CN"/>
        </w:rPr>
        <w:t xml:space="preserve"> 远程监测采集器PCB实物图</w:t>
      </w:r>
    </w:p>
    <w:p>
      <w:pPr>
        <w:jc w:val="center"/>
        <w:rPr>
          <w:rFonts w:hint="eastAsia"/>
          <w:lang w:val="en-US" w:eastAsia="zh-CN"/>
        </w:rPr>
      </w:pPr>
      <w:r>
        <w:rPr>
          <w:rFonts w:hint="eastAsia"/>
          <w:lang w:val="en-US" w:eastAsia="zh-CN"/>
        </w:rPr>
        <w:drawing>
          <wp:inline distT="0" distB="0" distL="114300" distR="114300">
            <wp:extent cx="4023360" cy="3016250"/>
            <wp:effectExtent l="0" t="0" r="0" b="1270"/>
            <wp:docPr id="14" name="图片 14" descr="远程监测采集器焊接实物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远程监测采集器焊接实物图"/>
                    <pic:cNvPicPr>
                      <a:picLocks noChangeAspect="1"/>
                    </pic:cNvPicPr>
                  </pic:nvPicPr>
                  <pic:blipFill>
                    <a:blip r:embed="rId27"/>
                    <a:stretch>
                      <a:fillRect/>
                    </a:stretch>
                  </pic:blipFill>
                  <pic:spPr>
                    <a:xfrm>
                      <a:off x="0" y="0"/>
                      <a:ext cx="4023360" cy="3016250"/>
                    </a:xfrm>
                    <a:prstGeom prst="rect">
                      <a:avLst/>
                    </a:prstGeom>
                  </pic:spPr>
                </pic:pic>
              </a:graphicData>
            </a:graphic>
          </wp:inline>
        </w:drawing>
      </w:r>
    </w:p>
    <w:p>
      <w:pPr>
        <w:pStyle w:val="6"/>
        <w:jc w:val="center"/>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12</w:t>
      </w:r>
      <w:r>
        <w:rPr>
          <w:b/>
          <w:bCs/>
        </w:rPr>
        <w:fldChar w:fldCharType="end"/>
      </w:r>
      <w:r>
        <w:rPr>
          <w:rFonts w:hint="eastAsia"/>
          <w:b/>
          <w:bCs/>
          <w:lang w:eastAsia="zh-CN"/>
        </w:rPr>
        <w:t xml:space="preserve"> 远程监测采集器焊接实物图</w:t>
      </w:r>
    </w:p>
    <w:p>
      <w:pPr>
        <w:ind w:firstLine="420" w:firstLineChars="0"/>
        <w:rPr>
          <w:rFonts w:hint="eastAsia"/>
          <w:b w:val="0"/>
          <w:bCs w:val="0"/>
          <w:lang w:val="en-US" w:eastAsia="zh-CN"/>
        </w:rPr>
      </w:pPr>
      <w:r>
        <w:rPr>
          <w:rFonts w:hint="eastAsia"/>
          <w:b w:val="0"/>
          <w:bCs w:val="0"/>
          <w:lang w:val="en-US" w:eastAsia="zh-CN"/>
        </w:rPr>
        <w:t>图2-11为使用远程监测采集器PCB图制作出来的PCB实物图，而图2-12则是使用远程监测采集器PCB实物焊接完成的成品。</w:t>
      </w:r>
    </w:p>
    <w:p>
      <w:pPr>
        <w:ind w:firstLine="420" w:firstLineChars="0"/>
        <w:rPr>
          <w:rFonts w:hint="eastAsia"/>
          <w:b w:val="0"/>
          <w:bCs w:val="0"/>
          <w:lang w:val="en-US" w:eastAsia="zh-CN"/>
        </w:rPr>
      </w:pPr>
      <w:r>
        <w:rPr>
          <w:rFonts w:hint="eastAsia"/>
          <w:b w:val="0"/>
          <w:bCs w:val="0"/>
          <w:lang w:val="en-US" w:eastAsia="zh-CN"/>
        </w:rPr>
        <w:br w:type="page"/>
      </w:r>
    </w:p>
    <w:p>
      <w:pPr>
        <w:pStyle w:val="3"/>
        <w:rPr>
          <w:rFonts w:hint="eastAsia"/>
          <w:lang w:val="en-US" w:eastAsia="zh-CN"/>
        </w:rPr>
      </w:pPr>
      <w:bookmarkStart w:id="36" w:name="_Toc7546"/>
      <w:r>
        <w:rPr>
          <w:rFonts w:hint="eastAsia"/>
          <w:lang w:val="en-US" w:eastAsia="zh-CN"/>
        </w:rPr>
        <w:t>农村生活污水处理远程监测采集器软件设计</w:t>
      </w:r>
      <w:bookmarkEnd w:id="36"/>
    </w:p>
    <w:p>
      <w:pPr>
        <w:pStyle w:val="4"/>
        <w:rPr>
          <w:rFonts w:hint="eastAsia"/>
          <w:lang w:val="en-US" w:eastAsia="zh-CN"/>
        </w:rPr>
      </w:pPr>
      <w:bookmarkStart w:id="37" w:name="_Toc22599"/>
      <w:r>
        <w:rPr>
          <w:rFonts w:hint="eastAsia"/>
          <w:lang w:val="en-US" w:eastAsia="zh-CN"/>
        </w:rPr>
        <w:t>En.stm32cubef0 Firmware 介绍及移植</w:t>
      </w:r>
      <w:bookmarkEnd w:id="37"/>
    </w:p>
    <w:p>
      <w:pPr>
        <w:ind w:firstLine="420" w:firstLineChars="0"/>
        <w:rPr>
          <w:rFonts w:hint="eastAsia"/>
          <w:lang w:val="en-US" w:eastAsia="zh-CN"/>
        </w:rPr>
      </w:pPr>
      <w:r>
        <w:rPr>
          <w:rFonts w:hint="eastAsia"/>
          <w:lang w:val="en-US" w:eastAsia="zh-CN"/>
        </w:rPr>
        <w:t>En.stm32cubef0是ST公司为STM32F0系列MCU提供的官方固件库。下载路径为：</w:t>
      </w:r>
      <w:r>
        <w:rPr>
          <w:rFonts w:hint="eastAsia"/>
          <w:lang w:val="en-US" w:eastAsia="zh-CN"/>
        </w:rPr>
        <w:fldChar w:fldCharType="begin"/>
      </w:r>
      <w:r>
        <w:rPr>
          <w:rFonts w:hint="eastAsia"/>
          <w:lang w:val="en-US" w:eastAsia="zh-CN"/>
        </w:rPr>
        <w:instrText xml:space="preserve"> HYPERLINK "http://www.st.com/en/embedded-software/stm32cubef0.html。在该页面点击GET" </w:instrText>
      </w:r>
      <w:r>
        <w:rPr>
          <w:rFonts w:hint="eastAsia"/>
          <w:lang w:val="en-US" w:eastAsia="zh-CN"/>
        </w:rPr>
        <w:fldChar w:fldCharType="separate"/>
      </w:r>
      <w:r>
        <w:rPr>
          <w:rStyle w:val="20"/>
          <w:rFonts w:hint="eastAsia"/>
          <w:lang w:val="en-US" w:eastAsia="zh-CN"/>
        </w:rPr>
        <w:t>http://www.st.com/en/embedded-software/stm32cubef0.html</w:t>
      </w:r>
      <w:r>
        <w:rPr>
          <w:rFonts w:hint="eastAsia"/>
          <w:lang w:val="en-US" w:eastAsia="zh-CN"/>
        </w:rPr>
        <w:fldChar w:fldCharType="end"/>
      </w:r>
      <w:r>
        <w:rPr>
          <w:rFonts w:hint="eastAsia"/>
          <w:lang w:val="en-US" w:eastAsia="zh-CN"/>
        </w:rPr>
        <w:t>在该页面点击GET SOFTWARE 将会跳到该页底部，再点击STM32CubeF0后面的GET SOFTWARE将会开始下载，但是要在官网下载文件需要实现注册账号。</w:t>
      </w:r>
    </w:p>
    <w:p>
      <w:pPr>
        <w:jc w:val="center"/>
        <w:rPr>
          <w:rFonts w:hint="eastAsia"/>
          <w:lang w:val="en-US" w:eastAsia="zh-CN"/>
        </w:rPr>
      </w:pPr>
      <w:r>
        <w:rPr>
          <w:rFonts w:hint="eastAsia"/>
          <w:lang w:val="en-US" w:eastAsia="zh-CN"/>
        </w:rPr>
        <w:drawing>
          <wp:inline distT="0" distB="0" distL="114300" distR="114300">
            <wp:extent cx="3723640" cy="2913380"/>
            <wp:effectExtent l="0" t="0" r="10160" b="12700"/>
            <wp:docPr id="15" name="图片 15" descr="STM32F0Firmwar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TM32F0FirmwareArchitecture"/>
                    <pic:cNvPicPr>
                      <a:picLocks noChangeAspect="1"/>
                    </pic:cNvPicPr>
                  </pic:nvPicPr>
                  <pic:blipFill>
                    <a:blip r:embed="rId28"/>
                    <a:stretch>
                      <a:fillRect/>
                    </a:stretch>
                  </pic:blipFill>
                  <pic:spPr>
                    <a:xfrm>
                      <a:off x="0" y="0"/>
                      <a:ext cx="3723640" cy="2913380"/>
                    </a:xfrm>
                    <a:prstGeom prst="rect">
                      <a:avLst/>
                    </a:prstGeom>
                  </pic:spPr>
                </pic:pic>
              </a:graphicData>
            </a:graphic>
          </wp:inline>
        </w:drawing>
      </w:r>
    </w:p>
    <w:p>
      <w:pPr>
        <w:pStyle w:val="6"/>
        <w:rPr>
          <w:rFonts w:hint="eastAsia"/>
          <w:b/>
          <w:bCs/>
          <w:lang w:eastAsia="zh-CN"/>
        </w:rPr>
      </w:pPr>
      <w:r>
        <w:rPr>
          <w:b/>
          <w:bCs/>
        </w:rPr>
        <w:t xml:space="preserve">图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图 \* ARABIC \s 1 </w:instrText>
      </w:r>
      <w:r>
        <w:rPr>
          <w:b/>
          <w:bCs/>
        </w:rPr>
        <w:fldChar w:fldCharType="separate"/>
      </w:r>
      <w:r>
        <w:rPr>
          <w:b/>
          <w:bCs/>
        </w:rPr>
        <w:t>13</w:t>
      </w:r>
      <w:r>
        <w:rPr>
          <w:b/>
          <w:bCs/>
        </w:rPr>
        <w:fldChar w:fldCharType="end"/>
      </w:r>
      <w:r>
        <w:rPr>
          <w:rFonts w:hint="eastAsia"/>
          <w:b/>
          <w:bCs/>
          <w:lang w:eastAsia="zh-CN"/>
        </w:rPr>
        <w:t xml:space="preserve"> STM32CubeF0 firmware architecture</w:t>
      </w:r>
    </w:p>
    <w:p>
      <w:pPr>
        <w:ind w:firstLine="420" w:firstLineChars="0"/>
        <w:rPr>
          <w:rFonts w:hint="eastAsia"/>
          <w:lang w:val="en-US" w:eastAsia="zh-CN"/>
        </w:rPr>
      </w:pPr>
      <w:r>
        <w:rPr>
          <w:rFonts w:hint="eastAsia"/>
          <w:lang w:val="en-US" w:eastAsia="zh-CN"/>
        </w:rPr>
        <w:t>stm32cubef0固件的结构如图2-13所示，提供了从底层到应用层丰富的API。若使用官方的评估板进行开发，则可以直接调用官方提供的所有API。但是由于远程检测采集器的PCB为自行绘制的，与官方评估板的管脚定义及板载资源都不同，无法直接使用API。当然差异主要集中在BSP这一层，通过修改BSP将代码移植到远程监测采集器上，但是由于PCB差异较大，而且远程需要实现的功能比较简单，移植代码并不划算。所以决定只使用官方的HAL层驱动而自己编写BSP层驱动以及其上代码。</w:t>
      </w:r>
    </w:p>
    <w:p>
      <w:pPr>
        <w:ind w:firstLine="420" w:firstLineChars="0"/>
        <w:rPr>
          <w:rFonts w:hint="eastAsia"/>
          <w:lang w:val="en-US" w:eastAsia="zh-CN"/>
        </w:rPr>
      </w:pPr>
      <w:r>
        <w:rPr>
          <w:rFonts w:hint="eastAsia"/>
          <w:lang w:val="en-US" w:eastAsia="zh-CN"/>
        </w:rPr>
        <w:t>HAL层驱动的源码和头文件都在en.stm32cubef0\STM32Cube_FW_F0_V1.7.0\Drivers \STM32F0xx_HAL_Driver文件夹中的Src和Inc文件夹中，根据项目的需求添加到工程中。</w:t>
      </w:r>
    </w:p>
    <w:p>
      <w:pPr>
        <w:ind w:firstLine="420" w:firstLineChars="0"/>
        <w:rPr>
          <w:rFonts w:hint="eastAsia"/>
          <w:lang w:val="en-US" w:eastAsia="zh-CN"/>
        </w:rPr>
      </w:pPr>
      <w:r>
        <w:rPr>
          <w:rFonts w:hint="eastAsia"/>
          <w:lang w:val="en-US" w:eastAsia="zh-CN"/>
        </w:rPr>
        <w:t>启动文件startup_stm32f030x8.s 的路径为：en.stm32cubef0\STM32Cube_FW_F0_V1.7.0\ Drivers\CMSIS\Device\ST\STM32F0xx\Source\Templates\arm。</w:t>
      </w:r>
    </w:p>
    <w:p>
      <w:pPr>
        <w:ind w:firstLine="420" w:firstLineChars="0"/>
        <w:rPr>
          <w:rFonts w:hint="eastAsia"/>
          <w:lang w:val="en-US" w:eastAsia="zh-CN"/>
        </w:rPr>
      </w:pPr>
      <w:r>
        <w:rPr>
          <w:rFonts w:hint="eastAsia"/>
          <w:lang w:val="en-US" w:eastAsia="zh-CN"/>
        </w:rPr>
        <w:t>C文件system_stm32f0xx.c的路径为：en.stm32cubef0\STM32Cube_FW_F0_V1.7.0\ Drivers\CMSIS\Device\ST\STM32F0xx\Source\Templates。</w:t>
      </w:r>
    </w:p>
    <w:p>
      <w:pPr>
        <w:ind w:firstLine="420" w:firstLineChars="0"/>
        <w:rPr>
          <w:rFonts w:hint="eastAsia"/>
          <w:lang w:val="en-US" w:eastAsia="zh-CN"/>
        </w:rPr>
      </w:pPr>
      <w:r>
        <w:rPr>
          <w:rFonts w:hint="eastAsia"/>
          <w:lang w:val="en-US" w:eastAsia="zh-CN"/>
        </w:rPr>
        <w:t>接口文件stm32f0xx.h的路径为：en.stm32cubef0\STM32Cube_FW_F0_V1.7.0\Drivers\ CMSIS\Device\ST\STM32F0xx\Include。在接口文件中需要取消其中对启动文件的注释才能调用启动文件工作。</w:t>
      </w:r>
    </w:p>
    <w:p>
      <w:pPr>
        <w:ind w:firstLine="420" w:firstLineChars="0"/>
        <w:rPr>
          <w:rFonts w:hint="eastAsia"/>
          <w:lang w:val="en-US" w:eastAsia="zh-CN"/>
        </w:rPr>
      </w:pPr>
      <w:r>
        <w:rPr>
          <w:rFonts w:hint="eastAsia"/>
          <w:lang w:val="en-US" w:eastAsia="zh-CN"/>
        </w:rPr>
        <w:t>在自己新建的工程中移植完上述文件后就可以使用官方固件库进行开发了。</w:t>
      </w:r>
    </w:p>
    <w:p>
      <w:pPr>
        <w:pStyle w:val="4"/>
        <w:rPr>
          <w:rFonts w:hint="eastAsia"/>
          <w:lang w:val="en-US" w:eastAsia="zh-CN"/>
        </w:rPr>
      </w:pPr>
      <w:bookmarkStart w:id="38" w:name="_Toc12110"/>
      <w:r>
        <w:rPr>
          <w:rFonts w:hint="eastAsia"/>
          <w:lang w:val="en-US" w:eastAsia="zh-CN"/>
        </w:rPr>
        <w:t>RS485通讯模块驱动程序设计</w:t>
      </w:r>
      <w:bookmarkEnd w:id="38"/>
    </w:p>
    <w:p>
      <w:pPr>
        <w:ind w:firstLine="420" w:firstLineChars="0"/>
        <w:jc w:val="left"/>
        <w:rPr>
          <w:rFonts w:hint="eastAsia"/>
          <w:lang w:val="en-US" w:eastAsia="zh-CN"/>
        </w:rPr>
      </w:pPr>
      <w:r>
        <w:rPr>
          <w:rFonts w:hint="eastAsia"/>
          <w:lang w:val="en-US" w:eastAsia="zh-CN"/>
        </w:rPr>
        <w:t>RS485通讯模块驱动主要编写了RS485_Init、RS485_Send_Data、RS485_Receive_Data、RS485_Check、Error_Handler这5个函数，此外还重写了固件库中自带的，使用_weak声明的HAL_UART_TxCpltCallback、HAL_UART_RxCpltCallback、HAL_UART_ErrorCallback这3个函数。</w:t>
      </w:r>
    </w:p>
    <w:p>
      <w:pPr>
        <w:ind w:firstLine="420" w:firstLineChars="0"/>
        <w:rPr>
          <w:rFonts w:hint="eastAsia"/>
          <w:lang w:val="en-US" w:eastAsia="zh-CN"/>
        </w:rPr>
      </w:pPr>
      <w:r>
        <w:rPr>
          <w:rFonts w:hint="eastAsia"/>
          <w:lang w:val="en-US" w:eastAsia="zh-CN"/>
        </w:rPr>
        <w:t>函数RS485_Init用于初始化RS485。由于RS485使用串口资源进行工作，所以在配置好结构体后调用固件库中提供的HAL_UART_Init函数进行初始化。</w:t>
      </w:r>
    </w:p>
    <w:p>
      <w:pPr>
        <w:ind w:firstLine="420" w:firstLineChars="0"/>
        <w:rPr>
          <w:rFonts w:hint="eastAsia"/>
          <w:lang w:val="en-US" w:eastAsia="zh-CN"/>
        </w:rPr>
      </w:pPr>
      <w:r>
        <w:rPr>
          <w:rFonts w:hint="eastAsia"/>
          <w:lang w:val="en-US" w:eastAsia="zh-CN"/>
        </w:rPr>
        <w:t>函数RS485_Send_Data用于发送数据。由于RS485有专门引脚控制发送和接收模式，所以在函数的开始先将控制发送状态的引脚拉高，然后使用固件库中提供的HAL_UART_Transmit_IT函数进行数据传输。等到数据发送结束后拉低控制发送状态的引脚，切换到接收模式。</w:t>
      </w:r>
    </w:p>
    <w:p>
      <w:pPr>
        <w:ind w:firstLine="420" w:firstLineChars="0"/>
        <w:rPr>
          <w:rFonts w:hint="eastAsia"/>
          <w:lang w:val="en-US" w:eastAsia="zh-CN"/>
        </w:rPr>
      </w:pPr>
      <w:r>
        <w:rPr>
          <w:rFonts w:hint="eastAsia"/>
          <w:lang w:val="en-US" w:eastAsia="zh-CN"/>
        </w:rPr>
        <w:t>函数RS485_Receive_Data用于设置RS485接收到的数据存放的位置，通过调用固件库提供的HAL_UART_Receive_IT函数实现。实际的数据接收任务由中断服务函数完成。</w:t>
      </w:r>
    </w:p>
    <w:p>
      <w:pPr>
        <w:ind w:firstLine="420" w:firstLineChars="0"/>
        <w:rPr>
          <w:rFonts w:hint="eastAsia"/>
          <w:lang w:val="en-US" w:eastAsia="zh-CN"/>
        </w:rPr>
      </w:pPr>
      <w:r>
        <w:rPr>
          <w:rFonts w:hint="eastAsia"/>
          <w:lang w:val="en-US" w:eastAsia="zh-CN"/>
        </w:rPr>
        <w:t>函数RS485_Check用于在最外层while循环中检测是否有新的RS485接收事件发生。由于数据接收使用中断服务函数进行，而在中断服务函数中应尽量简化操作以免影响别的中断，或者被别的中断所中断，所以在中断服务函数中接收数据后不会对数据进行进一步处理，而是将标志位置位表示时间发生后退出中断。所以需要使用类似RS485_Check这样的函数在while循环中check是否发生相应事件，若发生则进行细节处理，若未发生则跳过。</w:t>
      </w:r>
    </w:p>
    <w:p>
      <w:pPr>
        <w:ind w:firstLine="420" w:firstLineChars="0"/>
        <w:rPr>
          <w:rFonts w:hint="eastAsia"/>
          <w:lang w:val="en-US" w:eastAsia="zh-CN"/>
        </w:rPr>
      </w:pPr>
      <w:r>
        <w:rPr>
          <w:rFonts w:hint="eastAsia"/>
          <w:lang w:val="en-US" w:eastAsia="zh-CN"/>
        </w:rPr>
        <w:t>在函数RS485_Check中主要是根据接收到的数据中的地址信息判断数据的来源。在确定来源之后，将接收到的数据拷贝到特意为该来源设备分配的缓存中，并置位相应标识位以便相应的Check函数检查和处理。此时RS485接收缓存中的数据已经没有意义了，为了防止影响到下一次的数据接收，需要将接收缓存中的数据清除。然后再调用函数RS485_Receive_Data 设置下次接收到数据的存放位置。</w:t>
      </w:r>
    </w:p>
    <w:p>
      <w:pPr>
        <w:ind w:firstLine="420" w:firstLineChars="0"/>
        <w:jc w:val="left"/>
        <w:rPr>
          <w:rFonts w:hint="eastAsia"/>
          <w:lang w:val="en-US" w:eastAsia="zh-CN"/>
        </w:rPr>
      </w:pPr>
      <w:r>
        <w:rPr>
          <w:rFonts w:hint="eastAsia"/>
          <w:lang w:val="en-US" w:eastAsia="zh-CN"/>
        </w:rPr>
        <w:t>函数Error_Handler如其字面意思所示，用于处理错误。目前并没有对错误类型进行细分，所有在RS485操作过程中出现的错误都会进入这里。</w:t>
      </w:r>
    </w:p>
    <w:p>
      <w:pPr>
        <w:ind w:firstLine="420" w:firstLineChars="0"/>
        <w:jc w:val="left"/>
        <w:rPr>
          <w:rFonts w:hint="eastAsia"/>
          <w:lang w:val="en-US" w:eastAsia="zh-CN"/>
        </w:rPr>
      </w:pPr>
      <w:r>
        <w:rPr>
          <w:rFonts w:hint="eastAsia"/>
          <w:lang w:val="en-US" w:eastAsia="zh-CN"/>
        </w:rPr>
        <w:t>HAL_UART_TxCpltCallback、HAL_UART_RxCpltCallback、HAL_UART_ErrorCallback这3个函数是分别由固件库在发送数据结束、接收数据结束、发生错误时调用的。在其内对相应标志位进行操作就可以判断发送是否完成、接收是否完成、是否发生错误等情况。</w:t>
      </w:r>
    </w:p>
    <w:p>
      <w:pPr>
        <w:pStyle w:val="4"/>
        <w:rPr>
          <w:rFonts w:hint="eastAsia"/>
          <w:lang w:val="en-US" w:eastAsia="zh-CN"/>
        </w:rPr>
      </w:pPr>
      <w:bookmarkStart w:id="39" w:name="_Toc20770"/>
      <w:r>
        <w:rPr>
          <w:rFonts w:hint="eastAsia"/>
          <w:lang w:val="en-US" w:eastAsia="zh-CN"/>
        </w:rPr>
        <w:t>OLED显示模块驱动程序设计</w:t>
      </w:r>
      <w:bookmarkEnd w:id="39"/>
    </w:p>
    <w:p>
      <w:pPr>
        <w:ind w:firstLine="420" w:firstLineChars="0"/>
        <w:rPr>
          <w:rFonts w:hint="eastAsia"/>
          <w:lang w:val="en-US" w:eastAsia="zh-CN"/>
        </w:rPr>
      </w:pPr>
      <w:r>
        <w:rPr>
          <w:rFonts w:hint="eastAsia"/>
          <w:lang w:val="en-US" w:eastAsia="zh-CN"/>
        </w:rPr>
        <w:t>OLED显示模块驱动源码由淘宝卖家提供，在修改管脚预定义并用固件库提供的，相同功能的函数替换源码中出现的，固件库中没有的函数后移植到本工程中。移植后可以完成如字符显示、数字显示、图片显示、汉字显示的基本功能，足够满足远程监测采集器的需求。</w:t>
      </w:r>
    </w:p>
    <w:p>
      <w:pPr>
        <w:pStyle w:val="4"/>
        <w:rPr>
          <w:rFonts w:hint="eastAsia"/>
          <w:lang w:val="en-US" w:eastAsia="zh-CN"/>
        </w:rPr>
      </w:pPr>
      <w:bookmarkStart w:id="40" w:name="_Toc32608"/>
      <w:r>
        <w:rPr>
          <w:rFonts w:hint="eastAsia"/>
          <w:lang w:val="en-US" w:eastAsia="zh-CN"/>
        </w:rPr>
        <w:t>NRF24L01无线通讯模块驱动程序设计</w:t>
      </w:r>
      <w:bookmarkEnd w:id="40"/>
    </w:p>
    <w:p>
      <w:pPr>
        <w:ind w:firstLine="420" w:firstLineChars="0"/>
        <w:rPr>
          <w:rFonts w:hint="eastAsia"/>
          <w:lang w:val="en-US" w:eastAsia="zh-CN"/>
        </w:rPr>
      </w:pPr>
      <w:r>
        <w:rPr>
          <w:rFonts w:hint="eastAsia"/>
          <w:lang w:val="en-US" w:eastAsia="zh-CN"/>
        </w:rPr>
        <w:t>NRF24L01无线通讯模块驱动源码同样由淘宝卖家提供，移植过程同OLED显示模块驱动源码的移植大同小异。但是无线通讯模块驱动在移植时无法进行有效地调试，因为要调试接收或者发送的前提是另一部分的代码能够正常工作，而要想调试另一部分代码到能够正常工作的前提则是要保证本部分代码能够正常工作，如果本部分代码能够正常工作我还调试啥。所以在没有移植成功的时候，无法判断问题出在发送还是接收或者两者都有问题。</w:t>
      </w:r>
    </w:p>
    <w:p>
      <w:pPr>
        <w:pStyle w:val="4"/>
        <w:rPr>
          <w:rFonts w:hint="eastAsia"/>
          <w:lang w:val="en-US" w:eastAsia="zh-CN"/>
        </w:rPr>
      </w:pPr>
      <w:bookmarkStart w:id="41" w:name="_Toc24616"/>
      <w:r>
        <w:rPr>
          <w:rFonts w:hint="eastAsia"/>
          <w:lang w:val="en-US" w:eastAsia="zh-CN"/>
        </w:rPr>
        <w:t>各水质传感设备驱动程序设计</w:t>
      </w:r>
      <w:bookmarkEnd w:id="41"/>
    </w:p>
    <w:p>
      <w:pPr>
        <w:ind w:firstLine="420" w:firstLineChars="0"/>
        <w:rPr>
          <w:rFonts w:hint="eastAsia"/>
          <w:lang w:val="en-US" w:eastAsia="zh-CN"/>
        </w:rPr>
      </w:pPr>
      <w:r>
        <w:rPr>
          <w:rFonts w:hint="eastAsia"/>
          <w:lang w:val="en-US" w:eastAsia="zh-CN"/>
        </w:rPr>
        <w:t>远程监测采集器支持与多款水质监测传感设备进行数据交互，虽然都是通过RS485这个渠道进行，然而各款水质传感设备的命令结构以及数据结构都不相同。由于各款水质传感设备的结构差异较大，开发一个兼容各协议的驱动难度过大，所以针对每款水质传感设备的协议对立开发驱动。</w:t>
      </w:r>
    </w:p>
    <w:p>
      <w:pPr>
        <w:ind w:firstLine="420" w:firstLineChars="0"/>
        <w:rPr>
          <w:rFonts w:hint="eastAsia"/>
          <w:lang w:val="en-US" w:eastAsia="zh-CN"/>
        </w:rPr>
      </w:pPr>
      <w:r>
        <w:rPr>
          <w:rFonts w:hint="eastAsia"/>
          <w:lang w:val="en-US" w:eastAsia="zh-CN"/>
        </w:rPr>
        <w:t>虽然数据的结构不同，但是总体的流程是相似的，接下来以PH190控制器的驱动为例介绍水质传感设备驱动的工作流程。</w:t>
      </w:r>
    </w:p>
    <w:p>
      <w:pPr>
        <w:ind w:firstLine="420" w:firstLineChars="0"/>
        <w:jc w:val="left"/>
        <w:rPr>
          <w:rFonts w:hint="eastAsia"/>
          <w:lang w:val="en-US" w:eastAsia="zh-CN"/>
        </w:rPr>
      </w:pPr>
      <w:r>
        <w:rPr>
          <w:rFonts w:hint="eastAsia"/>
          <w:lang w:val="en-US" w:eastAsia="zh-CN"/>
        </w:rPr>
        <w:t>在PH190控制器的驱动PHMeter.c文件中有14个函数。其中ERRHandle类函数有3个，如：PHMeterErrorHandle、PHMeterTOHandle、PHMeterCRCHandle；发送命令类函数有6个，如：PHMeterRequestData、PHMeterRequestPH、PHMeterRequestT、PHMeterRequestPHT、PHMeterRequestORP、PHMeterRequestORPT；接收数据类函数有3个，如：PHMeterErrReceiveHandle、PHMeterDataReceiveHandle、PHMeterReceiveHandle；通用类函数有两个，如：PHMeterDisplay、PHMeterCheck。</w:t>
      </w:r>
    </w:p>
    <w:p>
      <w:pPr>
        <w:ind w:firstLine="420" w:firstLineChars="0"/>
        <w:jc w:val="left"/>
        <w:rPr>
          <w:rFonts w:hint="eastAsia"/>
          <w:lang w:val="en-US" w:eastAsia="zh-CN"/>
        </w:rPr>
      </w:pPr>
      <w:r>
        <w:rPr>
          <w:rFonts w:hint="eastAsia"/>
          <w:lang w:val="en-US" w:eastAsia="zh-CN"/>
        </w:rPr>
        <w:t>ERRHandle类函数用于处理发生错误的场景，PHMeterErrorHandle用于处理通用错误，PHMeterTOHandle用于处理命令超时的错误，PHMeterCRCHandle用于处理CRC校验错误的错误。</w:t>
      </w:r>
    </w:p>
    <w:p>
      <w:pPr>
        <w:ind w:firstLine="420" w:firstLineChars="0"/>
        <w:jc w:val="left"/>
        <w:rPr>
          <w:rFonts w:hint="eastAsia"/>
          <w:lang w:val="en-US" w:eastAsia="zh-CN"/>
        </w:rPr>
      </w:pPr>
      <w:r>
        <w:rPr>
          <w:rFonts w:hint="eastAsia"/>
          <w:lang w:val="en-US" w:eastAsia="zh-CN"/>
        </w:rPr>
        <w:t>发送命令类函数用于生成命令并发送。PHMeterRequestPH、PHMeterRequestT、PHMeterRequestPHT、PHMeterRequestORP、PHMeterRequestORPT这5个函数会根据协议处理各条命令中存在差异的部分，最后这5个函数都会调用函数PHMeterRequestData来处理各命令中共同的部分并将生成号的命令通过调用函数RS485_Send_Data发出去。</w:t>
      </w:r>
    </w:p>
    <w:p>
      <w:pPr>
        <w:ind w:firstLine="420" w:firstLineChars="0"/>
        <w:jc w:val="left"/>
        <w:rPr>
          <w:rFonts w:hint="eastAsia"/>
          <w:lang w:val="en-US" w:eastAsia="zh-CN"/>
        </w:rPr>
      </w:pPr>
      <w:r>
        <w:rPr>
          <w:rFonts w:hint="eastAsia"/>
          <w:lang w:val="en-US" w:eastAsia="zh-CN"/>
        </w:rPr>
        <w:t>接收数据类函数用于接收数据并进行处理。其中PHMeterReceiveHandle为接收类函数总入口，接收到的数据都会在这个函数中通过判断标志位区分是数据还是错误反馈。</w:t>
      </w:r>
    </w:p>
    <w:p>
      <w:pPr>
        <w:ind w:firstLine="420" w:firstLineChars="0"/>
        <w:jc w:val="left"/>
        <w:rPr>
          <w:rFonts w:hint="eastAsia"/>
          <w:lang w:val="en-US" w:eastAsia="zh-CN"/>
        </w:rPr>
      </w:pPr>
      <w:r>
        <w:rPr>
          <w:rFonts w:hint="eastAsia"/>
          <w:lang w:val="en-US" w:eastAsia="zh-CN"/>
        </w:rPr>
        <w:t>若接收到的是数据，则交由函数PHMeterDataReceiveHandle处理。在PHMeterDataReceiveHandle中会先进行CRC校验。若校验失败则直接丢入PHMeterCRCHandle中处理，若校验通过则会根据之前发送的命令来确定本条数据所响应的命令，并将数据取出存放到相应寄存器中。</w:t>
      </w:r>
    </w:p>
    <w:p>
      <w:pPr>
        <w:ind w:firstLine="420" w:firstLineChars="0"/>
        <w:jc w:val="left"/>
        <w:rPr>
          <w:rFonts w:hint="eastAsia"/>
          <w:lang w:val="en-US" w:eastAsia="zh-CN"/>
        </w:rPr>
      </w:pPr>
      <w:r>
        <w:rPr>
          <w:rFonts w:hint="eastAsia"/>
          <w:lang w:val="en-US" w:eastAsia="zh-CN"/>
        </w:rPr>
        <w:t>若接收到的是错误反馈，则交由函数PHMeterErrReceiveHandle处理。在PHMeterErrReceiveHandle中会先进行CRC校验。若校验失败则直接丢入函数PHMeterCRCHandle中处理，若校验通过则会根据之前发送的命令来确定本条错误所响应的命令，然后重新发送该命令。</w:t>
      </w:r>
    </w:p>
    <w:p>
      <w:pPr>
        <w:ind w:firstLine="420" w:firstLineChars="0"/>
        <w:jc w:val="left"/>
        <w:rPr>
          <w:rFonts w:hint="eastAsia"/>
          <w:lang w:val="en-US" w:eastAsia="zh-CN"/>
        </w:rPr>
      </w:pPr>
      <w:r>
        <w:rPr>
          <w:rFonts w:hint="eastAsia"/>
          <w:lang w:val="en-US" w:eastAsia="zh-CN"/>
        </w:rPr>
        <w:t>通用类函数用于处理通用任务。PHMeterCheck用于监测是否接收到新的PH数据。上文中的函数RS485_Check判断数据源地址后，若数据源地址为PH190控制器，则会将接收到的数据拷贝到PHMeter专用的缓存中，并将寄存器PHMeterReg中的新数据接收位置1。而PHMeterCheck则是通过判断寄存器PHMeterReg中的新数据接收位来判断是否接收到PH数据。若接收到新的PH数据，则调用函数PHMeterReceiveHandle对数据进行处理。</w:t>
      </w:r>
    </w:p>
    <w:p>
      <w:pPr>
        <w:ind w:firstLine="420" w:firstLineChars="0"/>
        <w:jc w:val="left"/>
        <w:rPr>
          <w:rFonts w:hint="eastAsia"/>
          <w:lang w:val="en-US" w:eastAsia="zh-CN"/>
        </w:rPr>
      </w:pPr>
      <w:r>
        <w:rPr>
          <w:rFonts w:hint="eastAsia"/>
          <w:lang w:val="en-US" w:eastAsia="zh-CN"/>
        </w:rPr>
        <w:t>PHMeterDisplay通过调用OLED驱动在OLED屏幕上显示PHMeter界面。在界面上会表明当前显示的是PHMeter数据，当前状态是否正常以及各项读取到的最新数据。</w:t>
      </w:r>
    </w:p>
    <w:p>
      <w:pPr>
        <w:pStyle w:val="4"/>
        <w:rPr>
          <w:rFonts w:hint="eastAsia"/>
          <w:lang w:val="en-US" w:eastAsia="zh-CN"/>
        </w:rPr>
      </w:pPr>
      <w:bookmarkStart w:id="42" w:name="_Toc18234"/>
      <w:r>
        <w:rPr>
          <w:rFonts w:hint="eastAsia"/>
          <w:lang w:val="en-US" w:eastAsia="zh-CN"/>
        </w:rPr>
        <w:t>主函数框架设计</w:t>
      </w:r>
      <w:bookmarkEnd w:id="42"/>
    </w:p>
    <w:p>
      <w:pPr>
        <w:pStyle w:val="3"/>
        <w:rPr>
          <w:rFonts w:hint="eastAsia"/>
          <w:lang w:val="en-US" w:eastAsia="zh-CN"/>
        </w:rPr>
      </w:pPr>
      <w:bookmarkStart w:id="43" w:name="_Toc20984"/>
      <w:r>
        <w:rPr>
          <w:rFonts w:hint="eastAsia"/>
          <w:lang w:val="en-US" w:eastAsia="zh-CN"/>
        </w:rPr>
        <w:t>系统中所采用的服务器</w:t>
      </w:r>
      <w:bookmarkEnd w:id="43"/>
    </w:p>
    <w:p>
      <w:pPr>
        <w:pStyle w:val="3"/>
        <w:rPr>
          <w:rFonts w:hint="eastAsia"/>
          <w:lang w:val="en-US" w:eastAsia="zh-CN"/>
        </w:rPr>
      </w:pPr>
      <w:bookmarkStart w:id="44" w:name="_Toc7504"/>
      <w:r>
        <w:rPr>
          <w:rFonts w:hint="eastAsia"/>
          <w:lang w:val="en-US" w:eastAsia="zh-CN"/>
        </w:rPr>
        <w:t>服务器与农村生活污水处理远程监测采集器的通讯方式及通讯协议</w:t>
      </w:r>
      <w:bookmarkEnd w:id="44"/>
    </w:p>
    <w:p>
      <w:pPr>
        <w:pStyle w:val="12"/>
      </w:pPr>
      <w:r>
        <w:rPr>
          <w:rFonts w:hint="eastAsia"/>
          <w:lang w:val="en-US" w:eastAsia="zh-CN"/>
        </w:rPr>
        <w:t xml:space="preserve"> </w:t>
      </w:r>
      <w:r>
        <w:br w:type="page"/>
      </w:r>
      <w:bookmarkStart w:id="45" w:name="_Ref478648244"/>
      <w:bookmarkStart w:id="46" w:name="_Toc477897552"/>
      <w:bookmarkStart w:id="47" w:name="_Toc13885"/>
      <w:r>
        <w:rPr>
          <w:rFonts w:hint="eastAsia"/>
        </w:rPr>
        <w:t>参考</w:t>
      </w:r>
      <w:r>
        <w:t>文献</w:t>
      </w:r>
      <w:bookmarkEnd w:id="45"/>
      <w:bookmarkEnd w:id="46"/>
      <w:bookmarkEnd w:id="47"/>
    </w:p>
    <w:p>
      <w:pPr>
        <w:widowControl/>
        <w:spacing w:line="240" w:lineRule="auto"/>
        <w:jc w:val="left"/>
      </w:pPr>
      <w:r>
        <w:br w:type="page"/>
      </w:r>
    </w:p>
    <w:p>
      <w:pPr>
        <w:pStyle w:val="12"/>
      </w:pPr>
      <w:bookmarkStart w:id="48" w:name="_Toc477897553"/>
      <w:bookmarkStart w:id="49" w:name="_Ref478648435"/>
      <w:bookmarkStart w:id="50" w:name="_Toc390"/>
      <w:r>
        <w:rPr>
          <w:rFonts w:hint="eastAsia"/>
        </w:rPr>
        <w:t>致  谢</w:t>
      </w:r>
      <w:bookmarkEnd w:id="48"/>
      <w:bookmarkEnd w:id="49"/>
      <w:bookmarkEnd w:id="50"/>
    </w:p>
    <w:p>
      <w:r>
        <w:rPr>
          <w:rFonts w:hAnsi="宋体"/>
          <w:bCs/>
          <w:spacing w:val="4"/>
        </w:rPr>
        <w:t>内容字体采用宋体小四号。</w:t>
      </w:r>
      <w:r>
        <w:rPr>
          <w:rFonts w:hint="eastAsia" w:hAnsi="宋体"/>
          <w:bCs/>
          <w:spacing w:val="4"/>
        </w:rPr>
        <w:t>“正文</w:t>
      </w:r>
      <w:r>
        <w:rPr>
          <w:rFonts w:hAnsi="宋体"/>
          <w:bCs/>
          <w:spacing w:val="4"/>
        </w:rPr>
        <w:t>”样式</w:t>
      </w:r>
    </w:p>
    <w:p/>
    <w:p>
      <w:pPr>
        <w:sectPr>
          <w:headerReference r:id="rId6" w:type="default"/>
          <w:footerReference r:id="rId8" w:type="default"/>
          <w:headerReference r:id="rId7"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pPr>
    </w:p>
    <w:p/>
    <w:p>
      <w:pPr>
        <w:adjustRightInd w:val="0"/>
        <w:spacing w:line="360" w:lineRule="exact"/>
        <w:rPr>
          <w:rFonts w:hAnsi="宋体"/>
          <w:bCs/>
          <w:color w:val="FF0000"/>
          <w:spacing w:val="4"/>
        </w:rPr>
      </w:pPr>
      <w:r>
        <w:rPr>
          <w:rFonts w:hint="eastAsia" w:hAnsi="宋体"/>
          <w:bCs/>
          <w:color w:val="FF0000"/>
          <w:spacing w:val="4"/>
        </w:rPr>
        <w:t>建议装订顺序与格式：</w:t>
      </w:r>
    </w:p>
    <w:p>
      <w:pPr>
        <w:adjustRightInd w:val="0"/>
        <w:spacing w:line="360" w:lineRule="exact"/>
        <w:ind w:firstLine="436" w:firstLineChars="200"/>
        <w:rPr>
          <w:rFonts w:hAnsi="宋体"/>
          <w:bCs/>
          <w:color w:val="FF0000"/>
          <w:spacing w:val="4"/>
        </w:rPr>
      </w:pPr>
      <w:r>
        <w:rPr>
          <w:rFonts w:hAnsi="宋体"/>
          <w:bCs/>
          <w:color w:val="FF0000"/>
          <w:spacing w:val="4"/>
        </w:rPr>
        <w:t>封面</w:t>
      </w:r>
      <w:r>
        <w:rPr>
          <w:rFonts w:hAnsi="宋体"/>
          <w:bCs/>
          <w:color w:val="FF0000"/>
          <w:spacing w:val="4"/>
        </w:rPr>
        <w:sym w:font="Wingdings" w:char="F0E0"/>
      </w:r>
      <w:r>
        <w:rPr>
          <w:rFonts w:hAnsi="宋体"/>
          <w:bCs/>
          <w:color w:val="FF0000"/>
          <w:spacing w:val="4"/>
        </w:rPr>
        <w:t>诚信书</w:t>
      </w:r>
      <w:r>
        <w:rPr>
          <w:rFonts w:hAnsi="宋体"/>
          <w:bCs/>
          <w:color w:val="FF0000"/>
          <w:spacing w:val="4"/>
        </w:rPr>
        <w:sym w:font="Wingdings" w:char="F0E0"/>
      </w:r>
      <w:r>
        <w:rPr>
          <w:rFonts w:hAnsi="宋体"/>
          <w:bCs/>
          <w:color w:val="FF0000"/>
          <w:spacing w:val="4"/>
        </w:rPr>
        <w:t>中文摘要</w:t>
      </w:r>
      <w:r>
        <w:rPr>
          <w:rFonts w:hAnsi="宋体"/>
          <w:bCs/>
          <w:color w:val="FF0000"/>
          <w:spacing w:val="4"/>
        </w:rPr>
        <w:sym w:font="Wingdings" w:char="F0E0"/>
      </w:r>
      <w:r>
        <w:rPr>
          <w:rFonts w:hAnsi="宋体"/>
          <w:bCs/>
          <w:color w:val="FF0000"/>
          <w:spacing w:val="4"/>
        </w:rPr>
        <w:t>外文摘要</w:t>
      </w:r>
      <w:r>
        <w:rPr>
          <w:rFonts w:hAnsi="宋体"/>
          <w:bCs/>
          <w:color w:val="FF0000"/>
          <w:spacing w:val="4"/>
        </w:rPr>
        <w:sym w:font="Wingdings" w:char="F0E0"/>
      </w:r>
      <w:r>
        <w:rPr>
          <w:rFonts w:hAnsi="宋体"/>
          <w:bCs/>
          <w:color w:val="FF0000"/>
          <w:spacing w:val="4"/>
        </w:rPr>
        <w:t>目录</w:t>
      </w:r>
      <w:r>
        <w:rPr>
          <w:rFonts w:hAnsi="宋体"/>
          <w:bCs/>
          <w:color w:val="FF0000"/>
          <w:spacing w:val="4"/>
        </w:rPr>
        <w:sym w:font="Wingdings" w:char="F0E0"/>
      </w:r>
      <w:r>
        <w:rPr>
          <w:rFonts w:hAnsi="宋体"/>
          <w:bCs/>
          <w:color w:val="FF0000"/>
          <w:spacing w:val="4"/>
        </w:rPr>
        <w:t>正文</w:t>
      </w:r>
      <w:r>
        <w:rPr>
          <w:rFonts w:hAnsi="宋体"/>
          <w:bCs/>
          <w:color w:val="FF0000"/>
          <w:spacing w:val="4"/>
        </w:rPr>
        <w:sym w:font="Wingdings" w:char="F0E0"/>
      </w:r>
      <w:r>
        <w:rPr>
          <w:rFonts w:hAnsi="宋体"/>
          <w:bCs/>
          <w:color w:val="FF0000"/>
          <w:spacing w:val="4"/>
        </w:rPr>
        <w:t>参考文献</w:t>
      </w:r>
      <w:r>
        <w:rPr>
          <w:rFonts w:hAnsi="宋体"/>
          <w:bCs/>
          <w:color w:val="FF0000"/>
          <w:spacing w:val="4"/>
        </w:rPr>
        <w:sym w:font="Wingdings" w:char="F0E0"/>
      </w:r>
      <w:r>
        <w:rPr>
          <w:rFonts w:hAnsi="宋体"/>
          <w:bCs/>
          <w:color w:val="FF0000"/>
          <w:spacing w:val="4"/>
        </w:rPr>
        <w:t>致谢(</w:t>
      </w:r>
      <w:r>
        <w:rPr>
          <w:rFonts w:hAnsi="宋体"/>
          <w:bCs/>
          <w:color w:val="FF0000"/>
          <w:spacing w:val="4"/>
        </w:rPr>
        <w:sym w:font="Wingdings" w:char="F0E0"/>
      </w:r>
      <w:r>
        <w:rPr>
          <w:rFonts w:hAnsi="宋体"/>
          <w:bCs/>
          <w:color w:val="FF0000"/>
          <w:spacing w:val="4"/>
        </w:rPr>
        <w:t>附录)彩页纸</w:t>
      </w:r>
      <w:r>
        <w:rPr>
          <w:rFonts w:hAnsi="宋体"/>
          <w:bCs/>
          <w:color w:val="FF0000"/>
          <w:spacing w:val="4"/>
        </w:rPr>
        <w:sym w:font="Wingdings" w:char="F0E0"/>
      </w:r>
      <w:r>
        <w:rPr>
          <w:rFonts w:hAnsi="宋体"/>
          <w:bCs/>
          <w:color w:val="FF0000"/>
          <w:spacing w:val="4"/>
        </w:rPr>
        <w:t>附件</w:t>
      </w:r>
      <w:r>
        <w:rPr>
          <w:rFonts w:hint="eastAsia" w:hAnsi="宋体"/>
          <w:bCs/>
          <w:color w:val="FF0000"/>
          <w:spacing w:val="4"/>
        </w:rPr>
        <w:t>清单</w:t>
      </w:r>
      <w:r>
        <w:rPr>
          <w:rFonts w:hAnsi="宋体"/>
          <w:bCs/>
          <w:color w:val="FF0000"/>
          <w:spacing w:val="4"/>
        </w:rPr>
        <w:sym w:font="Wingdings" w:char="F0E0"/>
      </w:r>
      <w:r>
        <w:rPr>
          <w:rFonts w:hAnsi="宋体"/>
          <w:bCs/>
          <w:color w:val="FF0000"/>
          <w:spacing w:val="4"/>
        </w:rPr>
        <w:t>附件</w:t>
      </w:r>
    </w:p>
    <w:p>
      <w:pPr>
        <w:adjustRightInd w:val="0"/>
        <w:spacing w:line="360" w:lineRule="exact"/>
        <w:ind w:firstLine="436" w:firstLineChars="200"/>
        <w:rPr>
          <w:rFonts w:hAnsi="宋体"/>
          <w:bCs/>
          <w:color w:val="FF0000"/>
          <w:spacing w:val="4"/>
        </w:rPr>
      </w:pPr>
      <w:r>
        <w:rPr>
          <w:rFonts w:hint="eastAsia" w:hAnsi="宋体"/>
          <w:bCs/>
          <w:color w:val="FF0000"/>
          <w:spacing w:val="4"/>
        </w:rPr>
        <w:t>装订说明：设计</w:t>
      </w:r>
      <w:r>
        <w:rPr>
          <w:rFonts w:hAnsi="宋体"/>
          <w:bCs/>
          <w:color w:val="FF0000"/>
          <w:spacing w:val="4"/>
        </w:rPr>
        <w:t>(</w:t>
      </w:r>
      <w:r>
        <w:rPr>
          <w:rFonts w:hint="eastAsia" w:hAnsi="宋体"/>
          <w:bCs/>
          <w:color w:val="FF0000"/>
          <w:spacing w:val="4"/>
        </w:rPr>
        <w:t>论文</w:t>
      </w:r>
      <w:r>
        <w:rPr>
          <w:rFonts w:hAnsi="宋体"/>
          <w:bCs/>
          <w:color w:val="FF0000"/>
          <w:spacing w:val="4"/>
        </w:rPr>
        <w:t>)</w:t>
      </w:r>
      <w:r>
        <w:rPr>
          <w:rFonts w:hint="eastAsia" w:hAnsi="宋体"/>
          <w:bCs/>
          <w:color w:val="FF0000"/>
          <w:spacing w:val="4"/>
        </w:rPr>
        <w:t>与附件建议装订成一本，中间用彩页纸分开。如有附录请附在正文之后，即设计</w:t>
      </w:r>
      <w:r>
        <w:rPr>
          <w:rFonts w:hAnsi="宋体"/>
          <w:bCs/>
          <w:color w:val="FF0000"/>
          <w:spacing w:val="4"/>
        </w:rPr>
        <w:t>(</w:t>
      </w:r>
      <w:r>
        <w:rPr>
          <w:rFonts w:hint="eastAsia" w:hAnsi="宋体"/>
          <w:bCs/>
          <w:color w:val="FF0000"/>
          <w:spacing w:val="4"/>
        </w:rPr>
        <w:t>论文</w:t>
      </w:r>
      <w:r>
        <w:rPr>
          <w:rFonts w:hAnsi="宋体"/>
          <w:bCs/>
          <w:color w:val="FF0000"/>
          <w:spacing w:val="4"/>
        </w:rPr>
        <w:t>)</w:t>
      </w:r>
      <w:r>
        <w:rPr>
          <w:rFonts w:hint="eastAsia" w:hAnsi="宋体"/>
          <w:bCs/>
          <w:color w:val="FF0000"/>
          <w:spacing w:val="4"/>
        </w:rPr>
        <w:t>的最后面。附件前附清单，附件清单中标出每个附件的页数，每份附件单独编页码。(参考附件清单见下页)</w:t>
      </w:r>
    </w:p>
    <w:p>
      <w:pPr>
        <w:adjustRightInd w:val="0"/>
        <w:spacing w:line="360" w:lineRule="exact"/>
        <w:ind w:firstLine="436" w:firstLineChars="200"/>
        <w:rPr>
          <w:rFonts w:hAnsi="宋体"/>
          <w:bCs/>
          <w:color w:val="FF0000"/>
          <w:spacing w:val="4"/>
        </w:rPr>
      </w:pPr>
      <w:r>
        <w:rPr>
          <w:rFonts w:hint="eastAsia" w:hAnsi="宋体"/>
          <w:bCs/>
          <w:color w:val="FF0000"/>
          <w:spacing w:val="4"/>
        </w:rPr>
        <w:t>参考附件清单：</w:t>
      </w:r>
    </w:p>
    <w:tbl>
      <w:tblPr>
        <w:tblStyle w:val="24"/>
        <w:tblW w:w="8054" w:type="dxa"/>
        <w:jc w:val="center"/>
        <w:tblInd w:w="0" w:type="dxa"/>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
      <w:tblGrid>
        <w:gridCol w:w="1295"/>
        <w:gridCol w:w="5266"/>
        <w:gridCol w:w="1493"/>
      </w:tblGrid>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b/>
                <w:color w:val="FF0000"/>
                <w:spacing w:val="4"/>
              </w:rPr>
            </w:pPr>
            <w:r>
              <w:rPr>
                <w:rFonts w:hint="eastAsia"/>
                <w:b/>
                <w:color w:val="FF0000"/>
                <w:spacing w:val="4"/>
              </w:rPr>
              <w:t>编号</w:t>
            </w:r>
          </w:p>
        </w:tc>
        <w:tc>
          <w:tcPr>
            <w:tcW w:w="5266" w:type="dxa"/>
          </w:tcPr>
          <w:p>
            <w:pPr>
              <w:jc w:val="center"/>
              <w:rPr>
                <w:b/>
                <w:color w:val="FF0000"/>
                <w:spacing w:val="4"/>
              </w:rPr>
            </w:pPr>
            <w:r>
              <w:rPr>
                <w:rFonts w:hint="eastAsia"/>
                <w:b/>
                <w:color w:val="FF0000"/>
                <w:spacing w:val="4"/>
              </w:rPr>
              <w:t>附 件 内 容</w:t>
            </w:r>
          </w:p>
        </w:tc>
        <w:tc>
          <w:tcPr>
            <w:tcW w:w="1493" w:type="dxa"/>
          </w:tcPr>
          <w:p>
            <w:pPr>
              <w:jc w:val="center"/>
              <w:rPr>
                <w:b/>
                <w:color w:val="FF0000"/>
                <w:spacing w:val="4"/>
              </w:rPr>
            </w:pPr>
            <w:r>
              <w:rPr>
                <w:rFonts w:hint="eastAsia"/>
                <w:b/>
                <w:color w:val="FF0000"/>
                <w:spacing w:val="4"/>
              </w:rPr>
              <w:t>页 数</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1</w:t>
            </w:r>
          </w:p>
        </w:tc>
        <w:tc>
          <w:tcPr>
            <w:tcW w:w="5266" w:type="dxa"/>
          </w:tcPr>
          <w:p>
            <w:pPr>
              <w:jc w:val="left"/>
              <w:rPr>
                <w:color w:val="FF0000"/>
                <w:spacing w:val="4"/>
              </w:rPr>
            </w:pPr>
            <w:r>
              <w:rPr>
                <w:color w:val="FF0000"/>
                <w:spacing w:val="4"/>
              </w:rPr>
              <w:t>任务书</w:t>
            </w:r>
          </w:p>
        </w:tc>
        <w:tc>
          <w:tcPr>
            <w:tcW w:w="1493" w:type="dxa"/>
          </w:tcPr>
          <w:p>
            <w:pPr>
              <w:jc w:val="center"/>
              <w:rPr>
                <w:color w:val="FF0000"/>
                <w:spacing w:val="4"/>
              </w:rPr>
            </w:pPr>
            <w:r>
              <w:rPr>
                <w:rFonts w:hint="eastAsia"/>
                <w:color w:val="FF0000"/>
                <w:spacing w:val="4"/>
              </w:rPr>
              <w:t>3</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2</w:t>
            </w:r>
          </w:p>
        </w:tc>
        <w:tc>
          <w:tcPr>
            <w:tcW w:w="5266" w:type="dxa"/>
          </w:tcPr>
          <w:p>
            <w:pPr>
              <w:jc w:val="left"/>
              <w:rPr>
                <w:color w:val="FF0000"/>
                <w:spacing w:val="4"/>
              </w:rPr>
            </w:pPr>
            <w:r>
              <w:rPr>
                <w:color w:val="FF0000"/>
                <w:spacing w:val="4"/>
              </w:rPr>
              <w:t>文献综述</w:t>
            </w:r>
          </w:p>
        </w:tc>
        <w:tc>
          <w:tcPr>
            <w:tcW w:w="1493" w:type="dxa"/>
          </w:tcPr>
          <w:p>
            <w:pPr>
              <w:jc w:val="center"/>
              <w:rPr>
                <w:color w:val="FF0000"/>
                <w:spacing w:val="4"/>
              </w:rPr>
            </w:pPr>
            <w:r>
              <w:rPr>
                <w:rFonts w:hint="eastAsia"/>
                <w:color w:val="FF0000"/>
                <w:spacing w:val="4"/>
              </w:rPr>
              <w:t>10</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3</w:t>
            </w:r>
          </w:p>
        </w:tc>
        <w:tc>
          <w:tcPr>
            <w:tcW w:w="5266" w:type="dxa"/>
          </w:tcPr>
          <w:p>
            <w:pPr>
              <w:jc w:val="left"/>
              <w:rPr>
                <w:color w:val="FF0000"/>
                <w:spacing w:val="4"/>
              </w:rPr>
            </w:pPr>
            <w:r>
              <w:rPr>
                <w:color w:val="FF0000"/>
                <w:spacing w:val="4"/>
              </w:rPr>
              <w:t>外文翻译</w:t>
            </w:r>
          </w:p>
        </w:tc>
        <w:tc>
          <w:tcPr>
            <w:tcW w:w="1493" w:type="dxa"/>
          </w:tcPr>
          <w:p>
            <w:pPr>
              <w:jc w:val="center"/>
              <w:rPr>
                <w:color w:val="FF0000"/>
                <w:spacing w:val="4"/>
              </w:rPr>
            </w:pPr>
            <w:r>
              <w:rPr>
                <w:rFonts w:hint="eastAsia"/>
                <w:color w:val="FF0000"/>
                <w:spacing w:val="4"/>
              </w:rPr>
              <w:t>16</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4</w:t>
            </w:r>
          </w:p>
        </w:tc>
        <w:tc>
          <w:tcPr>
            <w:tcW w:w="5266" w:type="dxa"/>
          </w:tcPr>
          <w:p>
            <w:pPr>
              <w:jc w:val="left"/>
              <w:rPr>
                <w:color w:val="FF0000"/>
                <w:spacing w:val="4"/>
              </w:rPr>
            </w:pPr>
            <w:r>
              <w:rPr>
                <w:color w:val="FF0000"/>
                <w:spacing w:val="4"/>
              </w:rPr>
              <w:t>开题报告</w:t>
            </w:r>
          </w:p>
        </w:tc>
        <w:tc>
          <w:tcPr>
            <w:tcW w:w="1493" w:type="dxa"/>
          </w:tcPr>
          <w:p>
            <w:pPr>
              <w:jc w:val="center"/>
              <w:rPr>
                <w:color w:val="FF0000"/>
                <w:spacing w:val="4"/>
              </w:rPr>
            </w:pPr>
            <w:r>
              <w:rPr>
                <w:rFonts w:hint="eastAsia"/>
                <w:color w:val="FF0000"/>
                <w:spacing w:val="4"/>
              </w:rPr>
              <w:t>14</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5</w:t>
            </w:r>
          </w:p>
        </w:tc>
        <w:tc>
          <w:tcPr>
            <w:tcW w:w="5266" w:type="dxa"/>
          </w:tcPr>
          <w:p>
            <w:pPr>
              <w:jc w:val="left"/>
              <w:rPr>
                <w:color w:val="FF0000"/>
                <w:spacing w:val="4"/>
              </w:rPr>
            </w:pPr>
            <w:r>
              <w:rPr>
                <w:color w:val="FF0000"/>
                <w:spacing w:val="4"/>
              </w:rPr>
              <w:t>指导记录卡</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6</w:t>
            </w:r>
          </w:p>
        </w:tc>
        <w:tc>
          <w:tcPr>
            <w:tcW w:w="5266" w:type="dxa"/>
          </w:tcPr>
          <w:p>
            <w:pPr>
              <w:jc w:val="left"/>
              <w:rPr>
                <w:color w:val="FF0000"/>
                <w:spacing w:val="4"/>
              </w:rPr>
            </w:pPr>
            <w:r>
              <w:rPr>
                <w:color w:val="FF0000"/>
                <w:spacing w:val="4"/>
              </w:rPr>
              <w:t>进程安排与考核表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7</w:t>
            </w:r>
          </w:p>
        </w:tc>
        <w:tc>
          <w:tcPr>
            <w:tcW w:w="5266" w:type="dxa"/>
          </w:tcPr>
          <w:p>
            <w:pPr>
              <w:jc w:val="left"/>
              <w:rPr>
                <w:color w:val="FF0000"/>
                <w:spacing w:val="4"/>
              </w:rPr>
            </w:pPr>
            <w:r>
              <w:rPr>
                <w:color w:val="FF0000"/>
                <w:spacing w:val="4"/>
              </w:rPr>
              <w:t>答辩记录表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8</w:t>
            </w:r>
          </w:p>
        </w:tc>
        <w:tc>
          <w:tcPr>
            <w:tcW w:w="5266" w:type="dxa"/>
          </w:tcPr>
          <w:p>
            <w:pPr>
              <w:jc w:val="left"/>
              <w:rPr>
                <w:color w:val="FF0000"/>
                <w:spacing w:val="4"/>
              </w:rPr>
            </w:pPr>
            <w:r>
              <w:rPr>
                <w:color w:val="FF0000"/>
                <w:spacing w:val="4"/>
              </w:rPr>
              <w:t>指导教师评语及成绩</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9</w:t>
            </w:r>
          </w:p>
        </w:tc>
        <w:tc>
          <w:tcPr>
            <w:tcW w:w="5266" w:type="dxa"/>
          </w:tcPr>
          <w:p>
            <w:pPr>
              <w:jc w:val="left"/>
              <w:rPr>
                <w:color w:val="FF0000"/>
                <w:spacing w:val="4"/>
              </w:rPr>
            </w:pPr>
            <w:r>
              <w:rPr>
                <w:color w:val="FF0000"/>
                <w:spacing w:val="4"/>
              </w:rPr>
              <w:t>评阅教师评语及成绩</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spacing w:val="4"/>
              </w:rPr>
            </w:pPr>
            <w:r>
              <w:rPr>
                <w:rFonts w:hint="eastAsia"/>
                <w:color w:val="FF0000"/>
                <w:spacing w:val="4"/>
              </w:rPr>
              <w:t>10</w:t>
            </w:r>
          </w:p>
        </w:tc>
        <w:tc>
          <w:tcPr>
            <w:tcW w:w="5266" w:type="dxa"/>
          </w:tcPr>
          <w:p>
            <w:pPr>
              <w:jc w:val="left"/>
              <w:rPr>
                <w:color w:val="FF0000"/>
                <w:spacing w:val="4"/>
              </w:rPr>
            </w:pPr>
            <w:r>
              <w:rPr>
                <w:color w:val="FF0000"/>
                <w:spacing w:val="4"/>
              </w:rPr>
              <w:t>答辩小组评语及成绩表</w:t>
            </w:r>
          </w:p>
        </w:tc>
        <w:tc>
          <w:tcPr>
            <w:tcW w:w="1493" w:type="dxa"/>
          </w:tcPr>
          <w:p>
            <w:pPr>
              <w:jc w:val="center"/>
              <w:rPr>
                <w:color w:val="FF0000"/>
                <w:spacing w:val="4"/>
              </w:rPr>
            </w:pPr>
            <w:r>
              <w:rPr>
                <w:rFonts w:hint="eastAsia"/>
                <w:color w:val="FF0000"/>
                <w:spacing w:val="4"/>
              </w:rPr>
              <w:t>1</w:t>
            </w:r>
          </w:p>
        </w:tc>
      </w:tr>
      <w:tr>
        <w:tblPrEx>
          <w:tblBorders>
            <w:top w:val="single" w:color="FF0000" w:sz="12" w:space="0"/>
            <w:left w:val="single" w:color="FF0000" w:sz="12" w:space="0"/>
            <w:bottom w:val="single" w:color="FF0000" w:sz="12" w:space="0"/>
            <w:right w:val="single" w:color="FF0000" w:sz="12" w:space="0"/>
            <w:insideH w:val="single" w:color="FF0000" w:sz="4" w:space="0"/>
            <w:insideV w:val="single" w:color="FF0000" w:sz="4" w:space="0"/>
          </w:tblBorders>
          <w:tblLayout w:type="fixed"/>
          <w:tblCellMar>
            <w:top w:w="0" w:type="dxa"/>
            <w:left w:w="108" w:type="dxa"/>
            <w:bottom w:w="0" w:type="dxa"/>
            <w:right w:w="108" w:type="dxa"/>
          </w:tblCellMar>
        </w:tblPrEx>
        <w:trPr>
          <w:jc w:val="center"/>
        </w:trPr>
        <w:tc>
          <w:tcPr>
            <w:tcW w:w="1295" w:type="dxa"/>
          </w:tcPr>
          <w:p>
            <w:pPr>
              <w:jc w:val="center"/>
              <w:rPr>
                <w:color w:val="FF0000"/>
              </w:rPr>
            </w:pPr>
            <w:r>
              <w:rPr>
                <w:rFonts w:hint="eastAsia"/>
                <w:color w:val="FF0000"/>
              </w:rPr>
              <w:t>11</w:t>
            </w:r>
          </w:p>
        </w:tc>
        <w:tc>
          <w:tcPr>
            <w:tcW w:w="5266" w:type="dxa"/>
          </w:tcPr>
          <w:p>
            <w:pPr>
              <w:jc w:val="left"/>
              <w:rPr>
                <w:color w:val="FF0000"/>
              </w:rPr>
            </w:pPr>
            <w:r>
              <w:rPr>
                <w:rFonts w:hint="eastAsia"/>
                <w:color w:val="FF0000"/>
                <w:spacing w:val="4"/>
              </w:rPr>
              <w:t>成绩评定表</w:t>
            </w:r>
          </w:p>
        </w:tc>
        <w:tc>
          <w:tcPr>
            <w:tcW w:w="1493" w:type="dxa"/>
          </w:tcPr>
          <w:p>
            <w:pPr>
              <w:jc w:val="center"/>
              <w:rPr>
                <w:color w:val="FF0000"/>
              </w:rPr>
            </w:pPr>
            <w:r>
              <w:rPr>
                <w:rFonts w:hint="eastAsia"/>
                <w:color w:val="FF0000"/>
              </w:rPr>
              <w:t>1</w:t>
            </w:r>
          </w:p>
        </w:tc>
      </w:tr>
    </w:tbl>
    <w:p>
      <w:pPr>
        <w:rPr>
          <w:rFonts w:hint="eastAsia"/>
        </w:rPr>
      </w:pPr>
    </w:p>
    <w:p>
      <w:pPr>
        <w:widowControl/>
        <w:spacing w:line="240" w:lineRule="auto"/>
        <w:jc w:val="left"/>
      </w:pPr>
    </w:p>
    <w:p/>
    <w:p/>
    <w:p/>
    <w:p/>
    <w:p/>
    <w:p/>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imes-Roman">
    <w:altName w:val="Times New Roman"/>
    <w:panose1 w:val="00000000000000000000"/>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003" w:usb1="288F0000" w:usb2="00000006" w:usb3="00000000" w:csb0="00040001"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M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Helvetica-Bold">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Roboto Slab">
    <w:altName w:val="Segoe Print"/>
    <w:panose1 w:val="00000000000000000000"/>
    <w:charset w:val="00"/>
    <w:family w:val="auto"/>
    <w:pitch w:val="default"/>
    <w:sig w:usb0="00000000" w:usb1="00000000" w:usb2="00000000" w:usb3="00000000" w:csb0="00000000" w:csb1="00000000"/>
  </w:font>
  <w:font w:name="slick">
    <w:altName w:val="Segoe Print"/>
    <w:panose1 w:val="00000000000000000000"/>
    <w:charset w:val="00"/>
    <w:family w:val="auto"/>
    <w:pitch w:val="default"/>
    <w:sig w:usb0="00000000" w:usb1="00000000" w:usb2="00000000" w:usb3="00000000" w:csb0="00000000" w:csb1="00000000"/>
  </w:font>
  <w:font w:name="VideoJS">
    <w:altName w:val="Segoe Print"/>
    <w:panose1 w:val="00000000000000000000"/>
    <w:charset w:val="00"/>
    <w:family w:val="auto"/>
    <w:pitch w:val="default"/>
    <w:sig w:usb0="00000000" w:usb1="00000000" w:usb2="00000000" w:usb3="00000000" w:csb0="00000000" w:csb1="00000000"/>
  </w:font>
  <w:font w:name="Roboto Slab 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234241"/>
    </w:sdtPr>
    <w:sdtContent>
      <w:p>
        <w:pPr>
          <w:pStyle w:val="8"/>
        </w:pP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0987996"/>
    </w:sdtPr>
    <w:sdtContent>
      <w:p>
        <w:pPr>
          <w:pStyle w:val="8"/>
          <w:jc w:val="center"/>
        </w:pPr>
        <w:r>
          <w:fldChar w:fldCharType="begin"/>
        </w:r>
        <w:r>
          <w:instrText xml:space="preserve">PAGE   \* MERGEFORMAT</w:instrText>
        </w:r>
        <w:r>
          <w:fldChar w:fldCharType="separate"/>
        </w:r>
        <w:r>
          <w:rPr>
            <w:lang w:val="zh-CN"/>
          </w:rPr>
          <w:t>7</w:t>
        </w:r>
        <w:r>
          <w:fldChar w:fldCharType="end"/>
        </w:r>
      </w:p>
    </w:sdtContent>
  </w:sdt>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1821789"/>
    </w:sdtPr>
    <w:sdtContent>
      <w:p>
        <w:pPr>
          <w:pStyle w:val="8"/>
          <w:jc w:val="center"/>
        </w:pPr>
        <w:r>
          <w:fldChar w:fldCharType="begin"/>
        </w:r>
        <w:r>
          <w:instrText xml:space="preserve">PAGE   \* MERGEFORMAT</w:instrText>
        </w:r>
        <w:r>
          <w:fldChar w:fldCharType="separate"/>
        </w:r>
        <w:r>
          <w:rPr>
            <w:lang w:val="zh-CN"/>
          </w:rPr>
          <w:t>6</w:t>
        </w:r>
        <w:r>
          <w:fldChar w:fldCharType="end"/>
        </w:r>
      </w:p>
    </w:sdtContent>
  </w:sdt>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仿宋" w:hAnsi="仿宋" w:eastAsia="仿宋"/>
        <w:sz w:val="21"/>
        <w:szCs w:val="21"/>
      </w:rPr>
    </w:pPr>
    <w:r>
      <w:rPr>
        <w:rFonts w:hint="eastAsia" w:ascii="仿宋" w:hAnsi="仿宋" w:eastAsia="仿宋"/>
        <w:sz w:val="21"/>
        <w:szCs w:val="21"/>
      </w:rPr>
      <w:t>浙江</w:t>
    </w:r>
    <w:r>
      <w:rPr>
        <w:rFonts w:ascii="仿宋" w:hAnsi="仿宋" w:eastAsia="仿宋"/>
        <w:sz w:val="21"/>
        <w:szCs w:val="21"/>
      </w:rPr>
      <w:t>理工大学</w:t>
    </w:r>
    <w:r>
      <w:rPr>
        <w:rFonts w:hint="eastAsia" w:ascii="仿宋" w:hAnsi="仿宋" w:eastAsia="仿宋"/>
        <w:sz w:val="21"/>
        <w:szCs w:val="21"/>
      </w:rPr>
      <w:t>本科</w:t>
    </w:r>
    <w:r>
      <w:rPr>
        <w:rFonts w:ascii="仿宋" w:hAnsi="仿宋" w:eastAsia="仿宋"/>
        <w:sz w:val="21"/>
        <w:szCs w:val="21"/>
      </w:rPr>
      <w:t>毕业设计（</w:t>
    </w:r>
    <w:r>
      <w:rPr>
        <w:rFonts w:hint="eastAsia" w:ascii="仿宋" w:hAnsi="仿宋" w:eastAsia="仿宋"/>
        <w:sz w:val="21"/>
        <w:szCs w:val="21"/>
      </w:rPr>
      <w:t>论文</w:t>
    </w:r>
    <w:r>
      <w:rPr>
        <w:rFonts w:ascii="仿宋" w:hAnsi="仿宋" w:eastAsia="仿宋"/>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ascii="仿宋" w:hAnsi="仿宋" w:eastAsia="仿宋"/>
        <w:sz w:val="21"/>
        <w:szCs w:val="21"/>
      </w:rPr>
      <w:t>标题</w:t>
    </w:r>
    <w:r>
      <w:rPr>
        <w:rFonts w:ascii="仿宋" w:hAnsi="仿宋" w:eastAsia="仿宋"/>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A86D"/>
    <w:multiLevelType w:val="singleLevel"/>
    <w:tmpl w:val="5906A86D"/>
    <w:lvl w:ilvl="0" w:tentative="0">
      <w:start w:val="1"/>
      <w:numFmt w:val="decimal"/>
      <w:suff w:val="nothing"/>
      <w:lvlText w:val="%1、"/>
      <w:lvlJc w:val="left"/>
    </w:lvl>
  </w:abstractNum>
  <w:abstractNum w:abstractNumId="1">
    <w:nsid w:val="6BBC5B9D"/>
    <w:multiLevelType w:val="multilevel"/>
    <w:tmpl w:val="6BBC5B9D"/>
    <w:lvl w:ilvl="0" w:tentative="0">
      <w:start w:val="1"/>
      <w:numFmt w:val="decimal"/>
      <w:pStyle w:val="2"/>
      <w:isLgl/>
      <w:suff w:val="space"/>
      <w:lvlText w:val="第%1章"/>
      <w:lvlJc w:val="left"/>
      <w:pPr>
        <w:ind w:left="425" w:hanging="425"/>
      </w:pPr>
      <w:rPr>
        <w:rFonts w:hint="eastAsia"/>
      </w:rPr>
    </w:lvl>
    <w:lvl w:ilvl="1" w:tentative="0">
      <w:start w:val="1"/>
      <w:numFmt w:val="decimal"/>
      <w:pStyle w:val="3"/>
      <w:isLgl/>
      <w:suff w:val="space"/>
      <w:lvlText w:val="%1.%2"/>
      <w:lvlJc w:val="left"/>
      <w:pPr>
        <w:ind w:left="850" w:hanging="850"/>
      </w:pPr>
      <w:rPr>
        <w:rFonts w:hint="eastAsia"/>
      </w:rPr>
    </w:lvl>
    <w:lvl w:ilvl="2" w:tentative="0">
      <w:start w:val="1"/>
      <w:numFmt w:val="decimal"/>
      <w:pStyle w:val="4"/>
      <w:isLgl/>
      <w:suff w:val="space"/>
      <w:lvlText w:val="%1.%2.%3"/>
      <w:lvlJc w:val="left"/>
      <w:pPr>
        <w:ind w:left="1275" w:hanging="127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78"/>
    <w:rsid w:val="00073609"/>
    <w:rsid w:val="000C2778"/>
    <w:rsid w:val="00223476"/>
    <w:rsid w:val="003012B4"/>
    <w:rsid w:val="00312858"/>
    <w:rsid w:val="0031434D"/>
    <w:rsid w:val="00347411"/>
    <w:rsid w:val="003800E7"/>
    <w:rsid w:val="00392EEC"/>
    <w:rsid w:val="003B1EBD"/>
    <w:rsid w:val="003B3540"/>
    <w:rsid w:val="00512B82"/>
    <w:rsid w:val="00570A13"/>
    <w:rsid w:val="005D7B2E"/>
    <w:rsid w:val="00633849"/>
    <w:rsid w:val="00777A30"/>
    <w:rsid w:val="009E3A48"/>
    <w:rsid w:val="009F1907"/>
    <w:rsid w:val="00A122E8"/>
    <w:rsid w:val="00A35C0C"/>
    <w:rsid w:val="00A62BB9"/>
    <w:rsid w:val="00A70267"/>
    <w:rsid w:val="00AC07AA"/>
    <w:rsid w:val="00AD53BE"/>
    <w:rsid w:val="00B35C6F"/>
    <w:rsid w:val="00B55C92"/>
    <w:rsid w:val="00BB3AAB"/>
    <w:rsid w:val="00C30673"/>
    <w:rsid w:val="00CB179A"/>
    <w:rsid w:val="00D8454D"/>
    <w:rsid w:val="00E53AA8"/>
    <w:rsid w:val="00ED3DF1"/>
    <w:rsid w:val="00F00443"/>
    <w:rsid w:val="00F21A15"/>
    <w:rsid w:val="00F53A2C"/>
    <w:rsid w:val="00F81E96"/>
    <w:rsid w:val="09C379B7"/>
    <w:rsid w:val="0D6F62C9"/>
    <w:rsid w:val="131014BC"/>
    <w:rsid w:val="1D5B6BCD"/>
    <w:rsid w:val="1DED212D"/>
    <w:rsid w:val="2BC6753C"/>
    <w:rsid w:val="3ADF7555"/>
    <w:rsid w:val="3B457696"/>
    <w:rsid w:val="3F0D56C3"/>
    <w:rsid w:val="52901733"/>
    <w:rsid w:val="6F4C67B6"/>
    <w:rsid w:val="7B533F79"/>
    <w:rsid w:val="7D33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semiHidden="0" w:name="HTML Acronym"/>
    <w:lsdException w:uiPriority="99" w:name="HTML Address"/>
    <w:lsdException w:uiPriority="99" w:name="HTML Cite"/>
    <w:lsdException w:uiPriority="99" w:semiHidden="0" w:name="HTML Code"/>
    <w:lsdException w:uiPriority="99" w:semiHidden="0" w:name="HTML Definition"/>
    <w:lsdException w:uiPriority="99" w:semiHidden="0" w:name="HTML Keyboard"/>
    <w:lsdException w:uiPriority="99" w:name="HTML Preformatted"/>
    <w:lsdException w:uiPriority="99" w:semiHidden="0"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1"/>
      <w:lang w:val="en-US" w:eastAsia="zh-CN" w:bidi="ar-SA"/>
    </w:rPr>
  </w:style>
  <w:style w:type="paragraph" w:styleId="2">
    <w:name w:val="heading 1"/>
    <w:basedOn w:val="1"/>
    <w:next w:val="1"/>
    <w:link w:val="28"/>
    <w:qFormat/>
    <w:uiPriority w:val="9"/>
    <w:pPr>
      <w:keepNext/>
      <w:keepLines/>
      <w:numPr>
        <w:ilvl w:val="0"/>
        <w:numId w:val="1"/>
      </w:numPr>
      <w:spacing w:before="240" w:after="240" w:line="480" w:lineRule="auto"/>
      <w:jc w:val="left"/>
      <w:outlineLvl w:val="0"/>
    </w:pPr>
    <w:rPr>
      <w:rFonts w:eastAsia="黑体"/>
      <w:bCs/>
      <w:kern w:val="44"/>
      <w:sz w:val="32"/>
      <w:szCs w:val="44"/>
    </w:rPr>
  </w:style>
  <w:style w:type="paragraph" w:styleId="3">
    <w:name w:val="heading 2"/>
    <w:basedOn w:val="1"/>
    <w:next w:val="1"/>
    <w:link w:val="29"/>
    <w:unhideWhenUsed/>
    <w:qFormat/>
    <w:uiPriority w:val="9"/>
    <w:pPr>
      <w:keepNext/>
      <w:keepLines/>
      <w:numPr>
        <w:ilvl w:val="1"/>
        <w:numId w:val="1"/>
      </w:numPr>
      <w:spacing w:before="240" w:after="120"/>
      <w:outlineLvl w:val="1"/>
    </w:pPr>
    <w:rPr>
      <w:rFonts w:eastAsia="黑体" w:asciiTheme="majorHAnsi" w:hAnsiTheme="majorHAnsi" w:cstheme="majorBidi"/>
      <w:bCs/>
      <w:sz w:val="28"/>
      <w:szCs w:val="32"/>
    </w:rPr>
  </w:style>
  <w:style w:type="paragraph" w:styleId="4">
    <w:name w:val="heading 3"/>
    <w:basedOn w:val="1"/>
    <w:next w:val="1"/>
    <w:link w:val="30"/>
    <w:unhideWhenUsed/>
    <w:qFormat/>
    <w:uiPriority w:val="9"/>
    <w:pPr>
      <w:keepNext/>
      <w:keepLines/>
      <w:numPr>
        <w:ilvl w:val="2"/>
        <w:numId w:val="1"/>
      </w:numPr>
      <w:spacing w:before="120"/>
      <w:outlineLvl w:val="2"/>
    </w:pPr>
    <w:rPr>
      <w:rFonts w:eastAsia="黑体"/>
      <w:bCs/>
      <w:szCs w:val="32"/>
    </w:rPr>
  </w:style>
  <w:style w:type="character" w:default="1" w:styleId="13">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5">
    <w:name w:val="List 3"/>
    <w:basedOn w:val="1"/>
    <w:qFormat/>
    <w:uiPriority w:val="0"/>
    <w:pPr>
      <w:spacing w:line="240" w:lineRule="auto"/>
      <w:ind w:left="1260" w:hanging="420"/>
    </w:pPr>
    <w:rPr>
      <w:rFonts w:cs="Times New Roman"/>
      <w:szCs w:val="24"/>
    </w:rPr>
  </w:style>
  <w:style w:type="paragraph" w:styleId="6">
    <w:name w:val="caption"/>
    <w:basedOn w:val="1"/>
    <w:next w:val="1"/>
    <w:unhideWhenUsed/>
    <w:qFormat/>
    <w:uiPriority w:val="35"/>
    <w:pPr>
      <w:jc w:val="center"/>
    </w:pPr>
    <w:rPr>
      <w:rFonts w:eastAsia="黑体" w:asciiTheme="majorHAnsi" w:hAnsiTheme="majorHAnsi" w:cstheme="majorBidi"/>
      <w:szCs w:val="20"/>
    </w:rPr>
  </w:style>
  <w:style w:type="paragraph" w:styleId="7">
    <w:name w:val="toc 3"/>
    <w:basedOn w:val="1"/>
    <w:next w:val="1"/>
    <w:unhideWhenUsed/>
    <w:qFormat/>
    <w:uiPriority w:val="39"/>
    <w:pPr>
      <w:tabs>
        <w:tab w:val="right" w:leader="dot" w:pos="8296"/>
      </w:tabs>
      <w:ind w:left="960" w:leftChars="400"/>
    </w:pPr>
    <w:rPr>
      <w:rFonts w:ascii="仿宋" w:hAnsi="仿宋" w:eastAsia="仿宋"/>
    </w:rPr>
  </w:style>
  <w:style w:type="paragraph" w:styleId="8">
    <w:name w:val="footer"/>
    <w:basedOn w:val="1"/>
    <w:link w:val="27"/>
    <w:unhideWhenUsed/>
    <w:uiPriority w:val="99"/>
    <w:pPr>
      <w:tabs>
        <w:tab w:val="center" w:pos="4153"/>
        <w:tab w:val="right" w:pos="8306"/>
      </w:tabs>
      <w:snapToGrid w:val="0"/>
      <w:jc w:val="left"/>
    </w:pPr>
    <w:rPr>
      <w:sz w:val="18"/>
      <w:szCs w:val="18"/>
    </w:rPr>
  </w:style>
  <w:style w:type="paragraph" w:styleId="9">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pPr>
    <w:rPr>
      <w:rFonts w:ascii="黑体" w:hAnsi="黑体" w:eastAsia="黑体"/>
      <w:sz w:val="24"/>
      <w:szCs w:val="24"/>
    </w:rPr>
  </w:style>
  <w:style w:type="paragraph" w:styleId="11">
    <w:name w:val="toc 2"/>
    <w:basedOn w:val="1"/>
    <w:next w:val="1"/>
    <w:unhideWhenUsed/>
    <w:qFormat/>
    <w:uiPriority w:val="39"/>
    <w:pPr>
      <w:tabs>
        <w:tab w:val="right" w:leader="dot" w:pos="8296"/>
      </w:tabs>
      <w:ind w:left="420" w:leftChars="200"/>
    </w:pPr>
    <w:rPr>
      <w:rFonts w:ascii="宋体" w:hAnsi="宋体"/>
    </w:rPr>
  </w:style>
  <w:style w:type="paragraph" w:styleId="12">
    <w:name w:val="Title"/>
    <w:basedOn w:val="1"/>
    <w:next w:val="1"/>
    <w:link w:val="3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Strong"/>
    <w:basedOn w:val="13"/>
    <w:qFormat/>
    <w:uiPriority w:val="22"/>
    <w:rPr>
      <w:b/>
    </w:rPr>
  </w:style>
  <w:style w:type="character" w:styleId="15">
    <w:name w:val="page number"/>
    <w:basedOn w:val="13"/>
    <w:uiPriority w:val="0"/>
  </w:style>
  <w:style w:type="character" w:styleId="16">
    <w:name w:val="FollowedHyperlink"/>
    <w:basedOn w:val="13"/>
    <w:unhideWhenUsed/>
    <w:uiPriority w:val="99"/>
    <w:rPr>
      <w:color w:val="39A9DC"/>
      <w:u w:val="none"/>
    </w:rPr>
  </w:style>
  <w:style w:type="character" w:styleId="17">
    <w:name w:val="Emphasis"/>
    <w:basedOn w:val="13"/>
    <w:qFormat/>
    <w:uiPriority w:val="20"/>
    <w:rPr>
      <w:i/>
    </w:rPr>
  </w:style>
  <w:style w:type="character" w:styleId="18">
    <w:name w:val="HTML Definition"/>
    <w:basedOn w:val="13"/>
    <w:unhideWhenUsed/>
    <w:uiPriority w:val="99"/>
    <w:rPr>
      <w:i/>
    </w:rPr>
  </w:style>
  <w:style w:type="character" w:styleId="19">
    <w:name w:val="HTML Acronym"/>
    <w:basedOn w:val="13"/>
    <w:unhideWhenUsed/>
    <w:uiPriority w:val="99"/>
    <w:rPr>
      <w:caps/>
      <w:color w:val="222222"/>
      <w:sz w:val="21"/>
      <w:szCs w:val="21"/>
    </w:rPr>
  </w:style>
  <w:style w:type="character" w:styleId="20">
    <w:name w:val="Hyperlink"/>
    <w:basedOn w:val="13"/>
    <w:unhideWhenUsed/>
    <w:qFormat/>
    <w:uiPriority w:val="99"/>
    <w:rPr>
      <w:color w:val="0563C1" w:themeColor="hyperlink"/>
      <w:u w:val="single"/>
      <w14:textFill>
        <w14:solidFill>
          <w14:schemeClr w14:val="hlink"/>
        </w14:solidFill>
      </w14:textFill>
    </w:rPr>
  </w:style>
  <w:style w:type="character" w:styleId="21">
    <w:name w:val="HTML Code"/>
    <w:basedOn w:val="13"/>
    <w:unhideWhenUsed/>
    <w:uiPriority w:val="99"/>
    <w:rPr>
      <w:rFonts w:ascii="Consolas" w:hAnsi="Consolas" w:eastAsia="Consolas" w:cs="Consolas"/>
      <w:color w:val="333333"/>
      <w:sz w:val="21"/>
      <w:szCs w:val="21"/>
      <w:bdr w:val="single" w:color="DFDFDF" w:sz="4" w:space="0"/>
      <w:shd w:val="clear" w:fill="F8F8F8"/>
    </w:rPr>
  </w:style>
  <w:style w:type="character" w:styleId="22">
    <w:name w:val="HTML Keyboard"/>
    <w:basedOn w:val="13"/>
    <w:unhideWhenUsed/>
    <w:uiPriority w:val="99"/>
    <w:rPr>
      <w:rFonts w:hint="default" w:ascii="Consolas" w:hAnsi="Consolas" w:eastAsia="Consolas" w:cs="Consolas"/>
      <w:color w:val="222222"/>
      <w:sz w:val="21"/>
      <w:szCs w:val="21"/>
      <w:bdr w:val="single" w:color="DDDDDD" w:sz="4" w:space="0"/>
      <w:shd w:val="clear" w:fill="EDEDED"/>
    </w:rPr>
  </w:style>
  <w:style w:type="character" w:styleId="23">
    <w:name w:val="HTML Sample"/>
    <w:basedOn w:val="13"/>
    <w:unhideWhenUsed/>
    <w:uiPriority w:val="99"/>
    <w:rPr>
      <w:rFonts w:ascii="monospace" w:hAnsi="monospace" w:eastAsia="monospace" w:cs="monospace"/>
      <w:sz w:val="21"/>
      <w:szCs w:val="21"/>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页眉 字符"/>
    <w:basedOn w:val="13"/>
    <w:link w:val="9"/>
    <w:uiPriority w:val="99"/>
    <w:rPr>
      <w:sz w:val="18"/>
      <w:szCs w:val="18"/>
    </w:rPr>
  </w:style>
  <w:style w:type="character" w:customStyle="1" w:styleId="27">
    <w:name w:val="页脚 字符"/>
    <w:basedOn w:val="13"/>
    <w:link w:val="8"/>
    <w:qFormat/>
    <w:uiPriority w:val="99"/>
    <w:rPr>
      <w:sz w:val="18"/>
      <w:szCs w:val="18"/>
    </w:rPr>
  </w:style>
  <w:style w:type="character" w:customStyle="1" w:styleId="28">
    <w:name w:val="标题 1 字符"/>
    <w:basedOn w:val="13"/>
    <w:link w:val="2"/>
    <w:qFormat/>
    <w:uiPriority w:val="9"/>
    <w:rPr>
      <w:rFonts w:ascii="Times New Roman" w:hAnsi="Times New Roman" w:eastAsia="黑体"/>
      <w:bCs/>
      <w:kern w:val="44"/>
      <w:sz w:val="32"/>
      <w:szCs w:val="44"/>
    </w:rPr>
  </w:style>
  <w:style w:type="character" w:customStyle="1" w:styleId="29">
    <w:name w:val="标题 2 字符"/>
    <w:basedOn w:val="13"/>
    <w:link w:val="3"/>
    <w:uiPriority w:val="9"/>
    <w:rPr>
      <w:rFonts w:eastAsia="黑体" w:asciiTheme="majorHAnsi" w:hAnsiTheme="majorHAnsi" w:cstheme="majorBidi"/>
      <w:bCs/>
      <w:sz w:val="28"/>
      <w:szCs w:val="32"/>
    </w:rPr>
  </w:style>
  <w:style w:type="character" w:customStyle="1" w:styleId="30">
    <w:name w:val="标题 3 字符"/>
    <w:basedOn w:val="13"/>
    <w:link w:val="4"/>
    <w:uiPriority w:val="9"/>
    <w:rPr>
      <w:rFonts w:ascii="Times New Roman" w:hAnsi="Times New Roman" w:eastAsia="黑体"/>
      <w:bCs/>
      <w:sz w:val="24"/>
      <w:szCs w:val="32"/>
    </w:rPr>
  </w:style>
  <w:style w:type="paragraph" w:customStyle="1" w:styleId="31">
    <w:name w:val="MTDisplayEquation"/>
    <w:basedOn w:val="1"/>
    <w:next w:val="1"/>
    <w:qFormat/>
    <w:uiPriority w:val="0"/>
    <w:pPr>
      <w:tabs>
        <w:tab w:val="center" w:pos="4160"/>
        <w:tab w:val="right" w:pos="8320"/>
      </w:tabs>
      <w:ind w:firstLine="540" w:firstLineChars="225"/>
    </w:pPr>
    <w:rPr>
      <w:rFonts w:cs="Times New Roman"/>
      <w:szCs w:val="24"/>
    </w:rPr>
  </w:style>
  <w:style w:type="paragraph" w:customStyle="1" w:styleId="32">
    <w:name w:val="TOC Heading"/>
    <w:basedOn w:val="2"/>
    <w:next w:val="1"/>
    <w:unhideWhenUsed/>
    <w:qFormat/>
    <w:uiPriority w:val="39"/>
    <w:pPr>
      <w:widowControl/>
      <w:numPr>
        <w:numId w:val="0"/>
      </w:numPr>
      <w:spacing w:after="0" w:line="259" w:lineRule="auto"/>
      <w:outlineLvl w:val="9"/>
    </w:pPr>
    <w:rPr>
      <w:rFonts w:asciiTheme="majorHAnsi" w:hAnsiTheme="majorHAnsi" w:eastAsiaTheme="majorEastAsia" w:cstheme="majorBidi"/>
      <w:bCs w:val="0"/>
      <w:color w:val="2E75B6" w:themeColor="accent1" w:themeShade="BF"/>
      <w:kern w:val="0"/>
      <w:szCs w:val="32"/>
    </w:rPr>
  </w:style>
  <w:style w:type="character" w:customStyle="1" w:styleId="33">
    <w:name w:val="标题 字符"/>
    <w:basedOn w:val="13"/>
    <w:link w:val="12"/>
    <w:qFormat/>
    <w:uiPriority w:val="10"/>
    <w:rPr>
      <w:rFonts w:asciiTheme="majorHAnsi" w:hAnsiTheme="majorHAnsi" w:eastAsiaTheme="majorEastAsia" w:cstheme="majorBidi"/>
      <w:b/>
      <w:bCs/>
      <w:sz w:val="32"/>
      <w:szCs w:val="32"/>
    </w:rPr>
  </w:style>
  <w:style w:type="character" w:customStyle="1" w:styleId="34">
    <w:name w:val="fontstyle01"/>
    <w:basedOn w:val="13"/>
    <w:uiPriority w:val="0"/>
    <w:rPr>
      <w:rFonts w:ascii="ArialMT" w:hAnsi="ArialMT" w:eastAsia="ArialMT" w:cs="ArialMT"/>
      <w:color w:val="000000"/>
      <w:sz w:val="20"/>
      <w:szCs w:val="20"/>
    </w:rPr>
  </w:style>
  <w:style w:type="character" w:customStyle="1" w:styleId="35">
    <w:name w:val="fontstyle21"/>
    <w:basedOn w:val="13"/>
    <w:qFormat/>
    <w:uiPriority w:val="0"/>
    <w:rPr>
      <w:rFonts w:ascii="SymbolMT" w:hAnsi="SymbolMT" w:eastAsia="SymbolMT" w:cs="SymbolMT"/>
      <w:color w:val="000000"/>
      <w:sz w:val="20"/>
      <w:szCs w:val="20"/>
    </w:rPr>
  </w:style>
  <w:style w:type="character" w:customStyle="1" w:styleId="36">
    <w:name w:val="postfix"/>
    <w:basedOn w:val="13"/>
    <w:uiPriority w:val="0"/>
    <w:rPr>
      <w:color w:val="333333"/>
      <w:shd w:val="clear" w:fill="F2F2F2"/>
    </w:rPr>
  </w:style>
  <w:style w:type="character" w:customStyle="1" w:styleId="37">
    <w:name w:val="prefix"/>
    <w:basedOn w:val="13"/>
    <w:uiPriority w:val="0"/>
    <w:rPr>
      <w:color w:val="333333"/>
      <w:bdr w:val="single" w:color="CCCCCC" w:sz="4" w:space="0"/>
      <w:shd w:val="clear" w:fill="F2F2F2"/>
    </w:rPr>
  </w:style>
  <w:style w:type="character" w:customStyle="1" w:styleId="38">
    <w:name w:val="error-message"/>
    <w:basedOn w:val="13"/>
    <w:uiPriority w:val="0"/>
  </w:style>
  <w:style w:type="character" w:customStyle="1" w:styleId="39">
    <w:name w:val="error"/>
    <w:basedOn w:val="13"/>
    <w:uiPriority w:val="0"/>
    <w:rPr>
      <w:i/>
      <w:color w:val="FFFFFF"/>
      <w:shd w:val="clear" w:fill="F04124"/>
    </w:rPr>
  </w:style>
  <w:style w:type="character" w:customStyle="1" w:styleId="40">
    <w:name w:val="active4"/>
    <w:basedOn w:val="13"/>
    <w:uiPriority w:val="0"/>
    <w:rPr>
      <w:shd w:val="clear" w:fill="2BA6CB"/>
    </w:rPr>
  </w:style>
  <w:style w:type="character" w:customStyle="1" w:styleId="41">
    <w:name w:val="active5"/>
    <w:basedOn w:val="13"/>
    <w:uiPriority w:val="0"/>
    <w:rPr>
      <w:shd w:val="clear" w:fill="2BA6CB"/>
    </w:rPr>
  </w:style>
  <w:style w:type="character" w:customStyle="1" w:styleId="42">
    <w:name w:val="active6"/>
    <w:basedOn w:val="13"/>
    <w:uiPriority w:val="0"/>
    <w:rPr>
      <w:vanish/>
    </w:rPr>
  </w:style>
  <w:style w:type="character" w:customStyle="1" w:styleId="43">
    <w:name w:val="overlay"/>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D22912-68C0-448A-848C-6C73B7FD6C4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836</Words>
  <Characters>4767</Characters>
  <Lines>39</Lines>
  <Paragraphs>11</Paragraphs>
  <ScaleCrop>false</ScaleCrop>
  <LinksUpToDate>false</LinksUpToDate>
  <CharactersWithSpaces>5592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2017-03-21T11:47:00Z</dcterms:created>
  <dc:creator>PC</dc:creator>
  <cp:lastModifiedBy>xiali</cp:lastModifiedBy>
  <dcterms:modified xsi:type="dcterms:W3CDTF">2017-05-04T14:32:26Z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