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1F4E5F"/>
          <w:sz w:val="40"/>
        </w:rPr>
        <w:t>mㅏssㅏ (마싸) MVP 범위 확정안</w:t>
      </w:r>
    </w:p>
    <w:p>
      <w:pPr>
        <w:jc w:val="center"/>
      </w:pPr>
      <w:r>
        <w:rPr>
          <w:rFonts w:ascii="Malgun Gothic" w:hAnsi="Malgun Gothic" w:eastAsia="Malgun Gothic"/>
          <w:b w:val="0"/>
          <w:color w:val="666666"/>
          <w:sz w:val="22"/>
        </w:rPr>
        <w:t>베트남 하노이 1차 거점 — 2026년 6월 기준</w:t>
      </w:r>
    </w:p>
    <w:p/>
    <w:p>
      <w:pPr>
        <w:pStyle w:val="Heading1"/>
      </w:pPr>
      <w:r>
        <w:t>1. 결론 요약</w:t>
      </w:r>
    </w:p>
    <w:p>
      <w:r>
        <w:rPr>
          <w:rFonts w:ascii="Malgun Gothic" w:hAnsi="Malgun Gothic" w:eastAsia="Malgun Gothic"/>
          <w:b w:val="0"/>
          <w:sz w:val="21"/>
        </w:rPr>
        <w:t>베트남 하노이를 1차 거점으로 하여 '한국인 출장객·주재원(호텔 투숙객) 및 한인 교민 대상 출장 마사지' 단일 카테고리로 MVP를 출시한다. 이후 다낭 → 나트랑 → 호치민 → 푸꾸옥 순으로 대도시·관광 거점에 순차 확장한다. 귀 청소·왁싱은 Phase 2로 미루고, 결제·언어·내비게이션을 베트남 환경에 맞게 현지화한다. 즉시 매칭(지금 받기)은 파트너 풀이 확보된 베타 1~2개월 후에 연다.</w:t>
      </w:r>
    </w:p>
    <w:p>
      <w:pPr>
        <w:pStyle w:val="Heading1"/>
      </w:pPr>
      <w:r>
        <w:t>2. 거점 선정 — 왜 하노이인가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한인 기반이 두텁다. 하노이에는 약 3만 명의 한국인이 거주하고, 미딩 일대는 식당·뷰티·교육 인프라를 갖춘 한인타운이 형성되어 있다. 베트남 전체 한인은 약 10만 명으로 세계 4위 규모의 한인 커뮤니티다.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출장 수요가 반복적이다. 북부 베트남(박닌·타이응우옌 등)의 삼성 등 한국 기업 생산기지를 오가는 주재원·출장객이 하노이 비즈니스 호텔에 장기·반복 투숙한다. 관광객과 달리 재이용이 누적되는 고객층이다.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수요 검증에 유리하다. 창업자가 하노이 출장이 잦아 현장 검증·파트너 면접·호텔 정책 조사를 직접 수행할 수 있다. 초기 운영 품질을 눈으로 관리할 수 있는 곳이 1차 거점이어야 한다.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권역 설계. 미딩(한인타운·레지던스) + 호안끼엠·바딘(비즈니스 호텔)을 우선 서비스 권역으로 묶으면 파트너 이동 동선이 짧고 매칭 효율이 높다.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확장 경로. 하노이(출장객·교민 검증) → 다낭(한국인 관광객 — 2025년 1~7월에만 100만 명 방문) → 나트랑(관광) → 호치민(2군·7군 한인타운+1군 호텔) → 푸꾸옥(리조트 B2B) 순으로 확장한다.</w:t>
      </w:r>
    </w:p>
    <w:p>
      <w:pPr>
        <w:pStyle w:val="Heading1"/>
      </w:pPr>
      <w:r>
        <w:t>3. MVP 핵심 메뉴</w:t>
      </w:r>
    </w:p>
    <w:p>
      <w:r>
        <w:rPr>
          <w:rFonts w:ascii="Malgun Gothic" w:hAnsi="Malgun Gothic" w:eastAsia="Malgun Gothic"/>
          <w:b w:val="0"/>
          <w:sz w:val="21"/>
        </w:rPr>
        <w:t>출장 마사지 단일 카테고리, 3종 메뉴로 시작한다.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fill="1F4E5F"/>
          </w:tcPr>
          <w:p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7087"/>
            <w:shd w:val="clear" w:fill="1F4E5F"/>
          </w:tcPr>
          <w:p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98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포함 (In)</w:t>
            </w:r>
          </w:p>
        </w:tc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아로마테라피 / 스웨디시 / 타이 — 60·90·120분</w:t>
            </w:r>
          </w:p>
        </w:tc>
      </w:tr>
      <w:tr>
        <w:tc>
          <w:tcPr>
            <w:tcW w:type="dxa" w:w="198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제외 (Out)</w:t>
            </w:r>
          </w:p>
        </w:tc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딥티슈(파트너 숙련도 검증 후), 귀 청소·두피 케어, 왁싱 — Phase 2</w:t>
            </w:r>
          </w:p>
        </w:tc>
      </w:tr>
      <w:tr>
        <w:tc>
          <w:tcPr>
            <w:tcW w:type="dxa" w:w="198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가격 표기</w:t>
            </w:r>
          </w:p>
        </w:tc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VND 기준, KRW 병기 (관광객 UX)</w:t>
            </w:r>
          </w:p>
        </w:tc>
      </w:tr>
    </w:tbl>
    <w:p/>
    <w:p>
      <w:pPr>
        <w:pStyle w:val="Heading1"/>
      </w:pPr>
      <w:r>
        <w:t>4. 베트남 현지화 필수 요구사항</w:t>
      </w:r>
    </w:p>
    <w:p>
      <w:pPr>
        <w:pStyle w:val="Heading2"/>
      </w:pPr>
      <w:r>
        <w:t>4.1 결제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관광객용. 해외 신용카드(Visa/Master) 선결제 — 노쇼 방지의 핵심.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현지·교민용. MoMo(사용자 3,100만+), ZaloPay(2,000만+), VNPay QR. 베트남 전자결제의 절반 이상이 QR 기반이므로 QR 결제는 필수다.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카카오페이·네이버페이는 베트남 가맹 환경상 MVP에서 제외한다.</w:t>
      </w:r>
    </w:p>
    <w:p>
      <w:pPr>
        <w:pStyle w:val="Heading2"/>
      </w:pPr>
      <w:r>
        <w:t>4.2 언어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앱 3개 국어(한국어/영어/베트남어). 고객-파트너 간 자동 번역 채팅을 Should 우선순위로 두어 언어 장벽을 차별점으로 만든다.</w:t>
      </w:r>
    </w:p>
    <w:p>
      <w:pPr>
        <w:pStyle w:val="Heading2"/>
      </w:pPr>
      <w:r>
        <w:t>4.3 지도·내비게이션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티맵·카카오내비 대신 Google Maps(필수)·Grab 연동. 호텔 검색은 Google Places API.</w:t>
      </w:r>
    </w:p>
    <w:p>
      <w:pPr>
        <w:pStyle w:val="Heading2"/>
      </w:pPr>
      <w:r>
        <w:t>4.4 규제·법무 (착수 전 필수 확인)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베트남에서 마사지업은 '조건부 업종'이다. 외국인 투자 법인은 투자 등록 후 관계 기관 심사를 거치며, 치안·질서 조건 충족 증명서가 필요하다.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출장(방문) 형태 서비스의 허가 범위, 파트너의 자격·고용 형태(개인사업자 vs 고용)에 대한 현지 법무 검토를 Phase 0에서 완료해야 한다.</w:t>
      </w:r>
    </w:p>
    <w:p>
      <w:pPr>
        <w:pStyle w:val="Heading2"/>
      </w:pPr>
      <w:r>
        <w:t>4.5 호텔 출입 UX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호텔 예약 폼에 호텔명·객실번호·프론트 통과 방법을 입력받고, 하노이 주요 비즈니스 호텔·서비스드 레지던스의 외부 방문자 등록 정책을 사전 조사하여 DB화한다. 출입이 막히는 호텔은 검색 단계에서 안내한다.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주재원·장기 출장객이 많은 서비스드 레지던스(미딩 더 매너 등)는 호텔보다 출입이 유연해 초기 공략처로 적합하다.</w:t>
      </w:r>
    </w:p>
    <w:p>
      <w:pPr>
        <w:pStyle w:val="Heading1"/>
      </w:pPr>
      <w:r>
        <w:t>5. 기능 범위 (In / Out)</w:t>
      </w:r>
    </w:p>
    <w:p>
      <w:r>
        <w:rPr>
          <w:rFonts w:ascii="Malgun Gothic" w:hAnsi="Malgun Gothic" w:eastAsia="Malgun Gothic"/>
          <w:b w:val="0"/>
          <w:sz w:val="21"/>
        </w:rPr>
        <w:t>상세 우선순위와 공수는 함께 제공되는 엑셀(마싸_MVP_기능우선순위_베트남.xlsx)을 참조한다.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1F4E5F"/>
          </w:tcPr>
          <w:p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분류</w:t>
            </w:r>
          </w:p>
        </w:tc>
        <w:tc>
          <w:tcPr>
            <w:tcW w:type="dxa" w:w="6803"/>
            <w:shd w:val="clear" w:fill="1F4E5F"/>
          </w:tcPr>
          <w:p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Must — MVP 포함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고객: 가입(카카오·구글·Zalo), 메뉴 선택, 호텔 최적화 위치 입력, 시간 지정 예약, 카드+QR 결제, 프로필·리뷰 열람, 푸시 알림 / 파트너: 영업 ON·OFF, 수락·거절, 캘린더, Google Maps 길찾기 / 어드민: 예약·매칭 관리, 파트너 검증, 기본 정산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Should — 베타 +1~2개월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즉시 매칭(지금 받기), 리뷰 작성, 자동 번역 채팅, 안전 버튼·위치 공유, 파트너 정산 통계, 파트너 앱 내 온보딩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Could — Phase 2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귀 청소·두피 케어, 왁싱, 멤버십·구독, 통계 대시보드, 호텔 B2B 제휴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Won't — 범위 제외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AI 추천, 자체 PG 구축, 한국 시장 동시 런칭</w:t>
            </w:r>
          </w:p>
        </w:tc>
      </w:tr>
    </w:tbl>
    <w:p/>
    <w:p>
      <w:r>
        <w:rPr>
          <w:rFonts w:ascii="Malgun Gothic" w:hAnsi="Malgun Gothic" w:eastAsia="Malgun Gothic"/>
          <w:b w:val="0"/>
          <w:sz w:val="21"/>
        </w:rPr>
        <w:t>즉시 매칭을 Must에서 뺀 이유는 다음과 같다. 초기 파트너 풀(20~30명)로는 실시간 매칭 성공률이 낮아 오히려 신뢰를 깎는다. 시간 지정 예약으로 수요를 검증한 뒤 파트너 밀도가 확보되면 연다.</w:t>
      </w:r>
    </w:p>
    <w:p>
      <w:pPr>
        <w:pStyle w:val="Heading1"/>
      </w:pPr>
      <w:r>
        <w:t>6. 출시 로드맵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7"/>
            <w:shd w:val="clear" w:fill="1F4E5F"/>
          </w:tcPr>
          <w:p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1134"/>
            <w:shd w:val="clear" w:fill="1F4E5F"/>
          </w:tcPr>
          <w:p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기간</w:t>
            </w:r>
          </w:p>
        </w:tc>
        <w:tc>
          <w:tcPr>
            <w:tcW w:type="dxa" w:w="1474"/>
            <w:shd w:val="clear" w:fill="1F4E5F"/>
          </w:tcPr>
          <w:p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지역</w:t>
            </w:r>
          </w:p>
        </w:tc>
        <w:tc>
          <w:tcPr>
            <w:tcW w:type="dxa" w:w="4876"/>
            <w:shd w:val="clear" w:fill="1F4E5F"/>
          </w:tcPr>
          <w:p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5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Phase 0</w:t>
            </w:r>
          </w:p>
        </w:tc>
        <w:tc>
          <w:tcPr>
            <w:tcW w:type="dxa" w:w="113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M1~M2</w:t>
            </w:r>
          </w:p>
        </w:tc>
        <w:tc>
          <w:tcPr>
            <w:tcW w:type="dxa" w:w="147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하노이</w:t>
            </w:r>
          </w:p>
        </w:tc>
        <w:tc>
          <w:tcPr>
            <w:tcW w:type="dxa" w:w="487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법인·라이선스 검토, 파트너 20명 모집·검증(자격증·신원 확인·대면 면접), 호텔·레지던스 정책 조사</w:t>
            </w:r>
          </w:p>
        </w:tc>
      </w:tr>
      <w:tr>
        <w:tc>
          <w:tcPr>
            <w:tcW w:type="dxa" w:w="15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Phase 1 (베타)</w:t>
            </w:r>
          </w:p>
        </w:tc>
        <w:tc>
          <w:tcPr>
            <w:tcW w:type="dxa" w:w="113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M3~M5</w:t>
            </w:r>
          </w:p>
        </w:tc>
        <w:tc>
          <w:tcPr>
            <w:tcW w:type="dxa" w:w="147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하노이</w:t>
            </w:r>
          </w:p>
        </w:tc>
        <w:tc>
          <w:tcPr>
            <w:tcW w:type="dxa" w:w="487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MVP 출시 — Must 기능 전체. 미딩·호안끼엠·바딘 권역 우선. 목표: 누적 예약 500건, 평점 4.5+, 재이용률 25%</w:t>
            </w:r>
          </w:p>
        </w:tc>
      </w:tr>
      <w:tr>
        <w:tc>
          <w:tcPr>
            <w:tcW w:type="dxa" w:w="15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Phase 1.5</w:t>
            </w:r>
          </w:p>
        </w:tc>
        <w:tc>
          <w:tcPr>
            <w:tcW w:type="dxa" w:w="113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M6~M7</w:t>
            </w:r>
          </w:p>
        </w:tc>
        <w:tc>
          <w:tcPr>
            <w:tcW w:type="dxa" w:w="147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하노이</w:t>
            </w:r>
          </w:p>
        </w:tc>
        <w:tc>
          <w:tcPr>
            <w:tcW w:type="dxa" w:w="487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즉시 매칭·번역 채팅·안전 버튼 오픈. 목표: 즉시 매칭 비중 30%</w:t>
            </w:r>
          </w:p>
        </w:tc>
      </w:tr>
      <w:tr>
        <w:tc>
          <w:tcPr>
            <w:tcW w:type="dxa" w:w="15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Phase 2</w:t>
            </w:r>
          </w:p>
        </w:tc>
        <w:tc>
          <w:tcPr>
            <w:tcW w:type="dxa" w:w="113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M8~M12</w:t>
            </w:r>
          </w:p>
        </w:tc>
        <w:tc>
          <w:tcPr>
            <w:tcW w:type="dxa" w:w="147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다낭</w:t>
            </w:r>
          </w:p>
        </w:tc>
        <w:tc>
          <w:tcPr>
            <w:tcW w:type="dxa" w:w="487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관광객 모드(KRW 병기 강화), 귀 청소·왁싱 추가, 호텔 B2B 제휴. 목표: 월 예약 3,000건</w:t>
            </w:r>
          </w:p>
        </w:tc>
      </w:tr>
      <w:tr>
        <w:tc>
          <w:tcPr>
            <w:tcW w:type="dxa" w:w="15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Phase 3</w:t>
            </w:r>
          </w:p>
        </w:tc>
        <w:tc>
          <w:tcPr>
            <w:tcW w:type="dxa" w:w="113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M13~M18</w:t>
            </w:r>
          </w:p>
        </w:tc>
        <w:tc>
          <w:tcPr>
            <w:tcW w:type="dxa" w:w="147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나트랑·호치민</w:t>
            </w:r>
          </w:p>
        </w:tc>
        <w:tc>
          <w:tcPr>
            <w:tcW w:type="dxa" w:w="487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나트랑(관광), 호치민(2군·7군 한인타운+1군 호텔) 확장, 파트너 온보딩 자동화. 목표: 월 예약 8,000건</w:t>
            </w:r>
          </w:p>
        </w:tc>
      </w:tr>
      <w:tr>
        <w:tc>
          <w:tcPr>
            <w:tcW w:type="dxa" w:w="15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Phase 4</w:t>
            </w:r>
          </w:p>
        </w:tc>
        <w:tc>
          <w:tcPr>
            <w:tcW w:type="dxa" w:w="113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M19~</w:t>
            </w:r>
          </w:p>
        </w:tc>
        <w:tc>
          <w:tcPr>
            <w:tcW w:type="dxa" w:w="147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푸꾸옥</w:t>
            </w:r>
          </w:p>
        </w:tc>
        <w:tc>
          <w:tcPr>
            <w:tcW w:type="dxa" w:w="487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리조트 B2B 중심 진출, 멤버십. 목표: 현지(비한국인) 고객 비중 40%</w:t>
            </w:r>
          </w:p>
        </w:tc>
      </w:tr>
    </w:tbl>
    <w:p/>
    <w:p>
      <w:pPr>
        <w:pStyle w:val="Heading1"/>
      </w:pPr>
      <w:r>
        <w:t>7. 핵심 성공 지표 (KPI)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매칭 성공률(예약 요청 대비 확정) 90% 이상 — 공급 안정성의 지표.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평균 평점 4.5 이상, 위생 관련 불만 0건 — 프리미엄 포지셔닝의 생명선.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재이용률 25% — 출장객·주재원은 반복 투숙 고객이므로 관광 도시보다 높은 재이용 목표를 잡는다.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파트너 주당 평균 예약 10건 이상 — 파트너 이탈 방지선.</w:t>
      </w:r>
    </w:p>
    <w:p>
      <w:pPr>
        <w:pStyle w:val="Heading1"/>
      </w:pPr>
      <w:r>
        <w:t>8. 주요 리스크와 대응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1F4E5F"/>
          </w:tcPr>
          <w:p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리스크</w:t>
            </w:r>
          </w:p>
        </w:tc>
        <w:tc>
          <w:tcPr>
            <w:tcW w:type="dxa" w:w="5669"/>
            <w:shd w:val="clear" w:fill="1F4E5F"/>
          </w:tcPr>
          <w:p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대응</w:t>
            </w:r>
          </w:p>
        </w:tc>
      </w:tr>
      <w:tr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규제 — 출장 마사지의 허가 범위 불명확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Phase 0 현지 로펌 검토 선행, 필요시 현지 파트너사(스파 업체) 제휴 모델로 전환</w:t>
            </w:r>
          </w:p>
        </w:tc>
      </w:tr>
      <w:tr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신뢰 — 호텔 방문 서비스에 대한 불안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인증 마크(자격·신원·면접 3단계), 안전 버튼, 1회용 위생 키트 인증을 마케팅 전면에</w:t>
            </w:r>
          </w:p>
        </w:tc>
      </w:tr>
      <w:tr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공급 — 파트너 품질 편차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표준 서비스 매뉴얼·위생 키트 가이드 교육 수료 후 활동 허가, 평점 4.0 미만 자동 재교육</w:t>
            </w:r>
          </w:p>
        </w:tc>
      </w:tr>
      <w:tr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호텔 출입 거부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호텔 정책 DB + 장기적으로 호텔 컨시어지 B2B 제휴로 정면 돌파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