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PRODUCT REQUIREMENTS DOCUMENT</w:t>
      </w:r>
    </w:p>
    <w:p>
      <w:pPr>
        <w:spacing w:after="40"/>
      </w:pPr>
      <w:r>
        <w:rPr>
          <w:b/>
          <w:bCs/>
          <w:color w:val="5B2A86"/>
          <w:sz w:val="40"/>
          <w:szCs w:val="40"/>
        </w:rPr>
        <w:t xml:space="preserve">CampusPulse</w:t>
      </w:r>
    </w:p>
    <w:p>
      <w:pPr>
        <w:spacing w:after="300"/>
      </w:pPr>
      <w:r>
        <w:rPr>
          <w:i/>
          <w:iCs/>
          <w:color w:val="6B6270"/>
        </w:rPr>
        <w:t xml:space="preserve">Eventbrite's infrastructure. Instagram's instinct.</w:t>
      </w:r>
    </w:p>
    <w:p>
      <w:pPr>
        <w:spacing w:after="40"/>
      </w:pPr>
      <w:r>
        <w:rPr>
          <w:b/>
          <w:bCs/>
        </w:rPr>
        <w:t xml:space="preserve">Prepared by  </w:t>
      </w:r>
      <w:r>
        <w:t xml:space="preserve">Karma Groups</w:t>
      </w:r>
    </w:p>
    <w:p>
      <w:pPr>
        <w:spacing w:after="40"/>
      </w:pPr>
      <w:r>
        <w:rPr>
          <w:b/>
          <w:bCs/>
        </w:rPr>
        <w:t xml:space="preserve">Prepared for  </w:t>
      </w:r>
      <w:r>
        <w:t xml:space="preserve">CampusPulse — Ezeocha Obioma</w:t>
      </w:r>
    </w:p>
    <w:p>
      <w:pPr>
        <w:spacing w:after="40"/>
      </w:pPr>
      <w:r>
        <w:rPr>
          <w:b/>
          <w:bCs/>
        </w:rPr>
        <w:t xml:space="preserve">Document owner  </w:t>
      </w:r>
      <w:r>
        <w:t xml:space="preserve">Product</w:t>
      </w:r>
    </w:p>
    <w:p>
      <w:pPr>
        <w:spacing w:after="40"/>
      </w:pPr>
      <w:r>
        <w:rPr>
          <w:b/>
          <w:bCs/>
        </w:rPr>
        <w:t xml:space="preserve">Version  </w:t>
      </w:r>
      <w:r>
        <w:t xml:space="preserve">1.1 — v1 (MVP) Scope, Revised — supersedes v1.0</w:t>
      </w:r>
    </w:p>
    <w:p>
      <w:pPr>
        <w:spacing w:after="40"/>
      </w:pPr>
      <w:r>
        <w:rPr>
          <w:b/>
          <w:bCs/>
        </w:rPr>
        <w:t xml:space="preserve">Status  </w:t>
      </w:r>
      <w:r>
        <w:t xml:space="preserve">Draft for review</w:t>
      </w:r>
    </w:p>
    <w:p>
      <w:pPr>
        <w:spacing w:after="40"/>
      </w:pPr>
      <w:r>
        <w:rPr>
          <w:b/>
          <w:bCs/>
        </w:rPr>
        <w:t xml:space="preserve">Primary market  </w:t>
      </w:r>
      <w:r>
        <w:t xml:space="preserve">University of Ibadan (~33,000 students)</w:t>
      </w:r>
    </w:p>
    <w:p>
      <w:pPr>
        <w:spacing w:after="40"/>
      </w:pPr>
      <w:r>
        <w:rPr>
          <w:b/>
          <w:bCs/>
        </w:rPr>
        <w:t xml:space="preserve">Companion docs  </w:t>
      </w:r>
      <w:r>
        <w:t xml:space="preserve">Technical Architecture v1.0 and Data Model ERD v1.0 are not yet updated to match this revision — see Companion Document Note, end of document.</w:t>
      </w:r>
    </w:p>
    <w:p>
      <w:pPr>
        <w:pBdr>
          <w:bottom w:val="single" w:color="C9BEDD" w:sz="6"/>
        </w:pBdr>
        <w:spacing w:after="240" w:before="120"/>
      </w:pPr>
    </w:p>
    <w:p>
      <w:pPr>
        <w:pStyle w:val="Heading1"/>
        <w:spacing w:after="160" w:before="360"/>
      </w:pPr>
      <w:r>
        <w:t xml:space="preserve">Decisions Log — What Changed From v1.0</w:t>
      </w:r>
    </w:p>
    <w:p>
      <w:pPr>
        <w:spacing w:after="160"/>
      </w:pPr>
      <w:r>
        <w:t xml:space="preserve">This revision closes findings from technical review of the PRD, Technical Architecture, Data Model ERD, and Brand Guidelines. Each item below is a locked product decision; where it requires a matching change in Architecture or ERD, that is noted but not made here.</w:t>
      </w:r>
    </w:p>
    <w:tbl>
      <w:tblPr>
        <w:tblW w:type="dxa" w:w="10080"/>
        <w:tblBorders>
          <w:top w:val="single" w:color="D9D2E9" w:sz="4"/>
          <w:left w:val="single" w:color="D9D2E9" w:sz="4"/>
          <w:bottom w:val="single" w:color="D9D2E9" w:sz="4"/>
          <w:right w:val="single" w:color="D9D2E9" w:sz="4"/>
          <w:insideH w:val="single" w:color="D9D2E9" w:sz="4"/>
          <w:insideV w:val="single" w:color="D9D2E9" w:sz="4"/>
        </w:tblBorders>
      </w:tblPr>
      <w:tblGrid>
        <w:gridCol w:w="2600"/>
        <w:gridCol w:w="7480"/>
      </w:tblGrid>
      <w:tr>
        <w:trPr>
          <w:tblHeader/>
        </w:trPr>
        <w:tc>
          <w:tcPr>
            <w:tcW w:type="dxa" w:w="2600"/>
            <w:shd w:fill="1B1330" w:val="clear"/>
            <w:tcMar>
              <w:top w:type="dxa" w:w="90"/>
              <w:left w:type="dxa" w:w="100"/>
              <w:bottom w:type="dxa" w:w="90"/>
              <w:right w:type="dxa" w:w="100"/>
            </w:tcMar>
            <w:vAlign w:val="center"/>
          </w:tcPr>
          <w:p>
            <w:r>
              <w:rPr>
                <w:b/>
                <w:bCs/>
                <w:color w:val="FFFFFF"/>
              </w:rPr>
              <w:t xml:space="preserve">Decision</w:t>
            </w:r>
          </w:p>
        </w:tc>
        <w:tc>
          <w:tcPr>
            <w:tcW w:type="dxa" w:w="7480"/>
            <w:shd w:fill="1B1330" w:val="clear"/>
            <w:tcMar>
              <w:top w:type="dxa" w:w="90"/>
              <w:left w:type="dxa" w:w="100"/>
              <w:bottom w:type="dxa" w:w="90"/>
              <w:right w:type="dxa" w:w="100"/>
            </w:tcMar>
            <w:vAlign w:val="center"/>
          </w:tcPr>
          <w:p>
            <w:r>
              <w:rPr>
                <w:b/>
                <w:bCs/>
                <w:color w:val="FFFFFF"/>
              </w:rPr>
              <w:t xml:space="preserve">What it means</w:t>
            </w:r>
          </w:p>
        </w:tc>
      </w:tr>
      <w:tr>
        <w:tc>
          <w:tcPr>
            <w:tcW w:type="dxa" w:w="2600"/>
            <w:shd w:fill="FFFFFF" w:val="clear"/>
            <w:tcMar>
              <w:top w:type="dxa" w:w="80"/>
              <w:left w:type="dxa" w:w="100"/>
              <w:bottom w:type="dxa" w:w="80"/>
              <w:right w:type="dxa" w:w="100"/>
            </w:tcMar>
            <w:vAlign w:val="center"/>
          </w:tcPr>
          <w:p>
            <w:r>
              <w:t xml:space="preserve">Offline-tolerant check-in</w:t>
            </w:r>
          </w:p>
        </w:tc>
        <w:tc>
          <w:tcPr>
            <w:tcW w:type="dxa" w:w="7480"/>
            <w:shd w:fill="FFFFFF" w:val="clear"/>
            <w:tcMar>
              <w:top w:type="dxa" w:w="80"/>
              <w:left w:type="dxa" w:w="100"/>
              <w:bottom w:type="dxa" w:w="80"/>
              <w:right w:type="dxa" w:w="100"/>
            </w:tcMar>
            <w:vAlign w:val="center"/>
          </w:tcPr>
          <w:p>
            <w:r>
              <w:t xml:space="preserve">Moves from v2+ to v1 (§3.3, §5.4). The Architecture doc's local-validation design — accept the scan offline, sync and reconcile centrally — is adopted as the v1 approach. The PRD no longer requires live connectivity at the door.</w:t>
            </w:r>
          </w:p>
        </w:tc>
      </w:tr>
      <w:tr>
        <w:tc>
          <w:tcPr>
            <w:tcW w:type="dxa" w:w="2600"/>
            <w:shd w:fill="F2ECF9" w:val="clear"/>
            <w:tcMar>
              <w:top w:type="dxa" w:w="80"/>
              <w:left w:type="dxa" w:w="100"/>
              <w:bottom w:type="dxa" w:w="80"/>
              <w:right w:type="dxa" w:w="100"/>
            </w:tcMar>
            <w:vAlign w:val="center"/>
          </w:tcPr>
          <w:p>
            <w:r>
              <w:t xml:space="preserve">QR signing method</w:t>
            </w:r>
          </w:p>
        </w:tc>
        <w:tc>
          <w:tcPr>
            <w:tcW w:type="dxa" w:w="7480"/>
            <w:shd w:fill="F2ECF9" w:val="clear"/>
            <w:tcMar>
              <w:top w:type="dxa" w:w="80"/>
              <w:left w:type="dxa" w:w="100"/>
              <w:bottom w:type="dxa" w:w="80"/>
              <w:right w:type="dxa" w:w="100"/>
            </w:tcMar>
            <w:vAlign w:val="center"/>
          </w:tcPr>
          <w:p>
            <w:r>
              <w:t xml:space="preserve">Token signing moves to asymmetric signing, specifically Ed25519 (§5.5). Symmetric HMAC cannot be verified on-device without shipping the signing key, which breaks offline validation. This is an Architecture-doc fix; noted here because it changes what §5.5 can promise.</w:t>
            </w:r>
          </w:p>
        </w:tc>
      </w:tr>
      <w:tr>
        <w:tc>
          <w:tcPr>
            <w:tcW w:type="dxa" w:w="2600"/>
            <w:shd w:fill="FFFFFF" w:val="clear"/>
            <w:tcMar>
              <w:top w:type="dxa" w:w="80"/>
              <w:left w:type="dxa" w:w="100"/>
              <w:bottom w:type="dxa" w:w="80"/>
              <w:right w:type="dxa" w:w="100"/>
            </w:tcMar>
            <w:vAlign w:val="center"/>
          </w:tcPr>
          <w:p>
            <w:r>
              <w:t xml:space="preserve">QR screenshot mitigation</w:t>
            </w:r>
          </w:p>
        </w:tc>
        <w:tc>
          <w:tcPr>
            <w:tcW w:type="dxa" w:w="7480"/>
            <w:shd w:fill="FFFFFF" w:val="clear"/>
            <w:tcMar>
              <w:top w:type="dxa" w:w="80"/>
              <w:left w:type="dxa" w:w="100"/>
              <w:bottom w:type="dxa" w:w="80"/>
              <w:right w:type="dxa" w:w="100"/>
            </w:tcMar>
            <w:vAlign w:val="center"/>
          </w:tcPr>
          <w:p>
            <w:r>
              <w:t xml:space="preserve">"Single-use or time-boxed" is replaced with "every scan logged, duplicates surfaced to the organizer post-event" (§5.5, §7.1). Neither single-use nor time-boxing survives the offline model — this section previously promised something the design can't deliver.</w:t>
            </w:r>
          </w:p>
        </w:tc>
      </w:tr>
      <w:tr>
        <w:tc>
          <w:tcPr>
            <w:tcW w:type="dxa" w:w="2600"/>
            <w:shd w:fill="F2ECF9" w:val="clear"/>
            <w:tcMar>
              <w:top w:type="dxa" w:w="80"/>
              <w:left w:type="dxa" w:w="100"/>
              <w:bottom w:type="dxa" w:w="80"/>
              <w:right w:type="dxa" w:w="100"/>
            </w:tcMar>
            <w:vAlign w:val="center"/>
          </w:tcPr>
          <w:p>
            <w:r>
              <w:t xml:space="preserve">Capacity source of truth</w:t>
            </w:r>
          </w:p>
        </w:tc>
        <w:tc>
          <w:tcPr>
            <w:tcW w:type="dxa" w:w="7480"/>
            <w:shd w:fill="F2ECF9" w:val="clear"/>
            <w:tcMar>
              <w:top w:type="dxa" w:w="80"/>
              <w:left w:type="dxa" w:w="100"/>
              <w:bottom w:type="dxa" w:w="80"/>
              <w:right w:type="dxa" w:w="100"/>
            </w:tcMar>
            <w:vAlign w:val="center"/>
          </w:tcPr>
          <w:p>
            <w:r>
              <w:t xml:space="preserve">events.capacity is authoritative. ticket_tiers.quantity_available mirrors it in v1 and is not independently editable (§3.2, §5.1). Prevents two writable copies of the same number drifting apart under RSVP bursts.</w:t>
            </w:r>
          </w:p>
        </w:tc>
      </w:tr>
      <w:tr>
        <w:tc>
          <w:tcPr>
            <w:tcW w:type="dxa" w:w="2600"/>
            <w:shd w:fill="FFFFFF" w:val="clear"/>
            <w:tcMar>
              <w:top w:type="dxa" w:w="80"/>
              <w:left w:type="dxa" w:w="100"/>
              <w:bottom w:type="dxa" w:w="80"/>
              <w:right w:type="dxa" w:w="100"/>
            </w:tcMar>
            <w:vAlign w:val="center"/>
          </w:tcPr>
          <w:p>
            <w:r>
              <w:t xml:space="preserve">Event categories</w:t>
            </w:r>
          </w:p>
        </w:tc>
        <w:tc>
          <w:tcPr>
            <w:tcW w:type="dxa" w:w="7480"/>
            <w:shd w:fill="FFFFFF" w:val="clear"/>
            <w:tcMar>
              <w:top w:type="dxa" w:w="80"/>
              <w:left w:type="dxa" w:w="100"/>
              <w:bottom w:type="dxa" w:w="80"/>
              <w:right w:type="dxa" w:w="100"/>
            </w:tcMar>
            <w:vAlign w:val="center"/>
          </w:tcPr>
          <w:p>
            <w:r>
              <w:t xml:space="preserve">Promoted to a first-class concept (new §3.0). Categories were implicit before; they now explicitly drive venue expectations, check-in throughput sizing, and verification intensity.</w:t>
            </w:r>
          </w:p>
        </w:tc>
      </w:tr>
      <w:tr>
        <w:tc>
          <w:tcPr>
            <w:tcW w:type="dxa" w:w="2600"/>
            <w:shd w:fill="F2ECF9" w:val="clear"/>
            <w:tcMar>
              <w:top w:type="dxa" w:w="80"/>
              <w:left w:type="dxa" w:w="100"/>
              <w:bottom w:type="dxa" w:w="80"/>
              <w:right w:type="dxa" w:w="100"/>
            </w:tcMar>
            <w:vAlign w:val="center"/>
          </w:tcPr>
          <w:p>
            <w:r>
              <w:t xml:space="preserve">Product thesis</w:t>
            </w:r>
          </w:p>
        </w:tc>
        <w:tc>
          <w:tcPr>
            <w:tcW w:type="dxa" w:w="7480"/>
            <w:shd w:fill="F2ECF9" w:val="clear"/>
            <w:tcMar>
              <w:top w:type="dxa" w:w="80"/>
              <w:left w:type="dxa" w:w="100"/>
              <w:bottom w:type="dxa" w:w="80"/>
              <w:right w:type="dxa" w:w="100"/>
            </w:tcMar>
            <w:vAlign w:val="center"/>
          </w:tcPr>
          <w:p>
            <w:r>
              <w:t xml:space="preserve">§1.2 is reframed: the durable asset is the campus social graph (who follows whom, who attends what), not the feed or the checkout flow individually. Ticketing becomes a monetization layer on top of that graph rather than the product's core bet.</w:t>
            </w:r>
          </w:p>
        </w:tc>
      </w:tr>
      <w:tr>
        <w:tc>
          <w:tcPr>
            <w:tcW w:type="dxa" w:w="2600"/>
            <w:shd w:fill="FFFFFF" w:val="clear"/>
            <w:tcMar>
              <w:top w:type="dxa" w:w="80"/>
              <w:left w:type="dxa" w:w="100"/>
              <w:bottom w:type="dxa" w:w="80"/>
              <w:right w:type="dxa" w:w="100"/>
            </w:tcMar>
            <w:vAlign w:val="center"/>
          </w:tcPr>
          <w:p>
            <w:r>
              <w:t xml:space="preserve">v1.5 phase</w:t>
            </w:r>
          </w:p>
        </w:tc>
        <w:tc>
          <w:tcPr>
            <w:tcW w:type="dxa" w:w="7480"/>
            <w:shd w:fill="FFFFFF" w:val="clear"/>
            <w:tcMar>
              <w:top w:type="dxa" w:w="80"/>
              <w:left w:type="dxa" w:w="100"/>
              <w:bottom w:type="dxa" w:w="80"/>
              <w:right w:type="dxa" w:w="100"/>
            </w:tcMar>
            <w:vAlign w:val="center"/>
          </w:tcPr>
          <w:p>
            <w:r>
              <w:t xml:space="preserve">New §8 inserts a phase between v1 and v2 for Event Groups (link-gated, not a WhatsApp API dependency) and Creative Credits. Both are small and additive; neither changes v1 scope or timeline.</w:t>
            </w:r>
          </w:p>
        </w:tc>
      </w:tr>
      <w:tr>
        <w:tc>
          <w:tcPr>
            <w:tcW w:type="dxa" w:w="2600"/>
            <w:shd w:fill="F2ECF9" w:val="clear"/>
            <w:tcMar>
              <w:top w:type="dxa" w:w="80"/>
              <w:left w:type="dxa" w:w="100"/>
              <w:bottom w:type="dxa" w:w="80"/>
              <w:right w:type="dxa" w:w="100"/>
            </w:tcMar>
            <w:vAlign w:val="center"/>
          </w:tcPr>
          <w:p>
            <w:r>
              <w:t xml:space="preserve">Forward-compatible schema hooks</w:t>
            </w:r>
          </w:p>
        </w:tc>
        <w:tc>
          <w:tcPr>
            <w:tcW w:type="dxa" w:w="7480"/>
            <w:shd w:fill="F2ECF9" w:val="clear"/>
            <w:tcMar>
              <w:top w:type="dxa" w:w="80"/>
              <w:left w:type="dxa" w:w="100"/>
              <w:bottom w:type="dxa" w:w="80"/>
              <w:right w:type="dxa" w:w="100"/>
            </w:tcMar>
            <w:vAlign w:val="center"/>
          </w:tcPr>
          <w:p>
            <w:r>
              <w:t xml:space="preserve">events.category, events.tags, and events.group_invite_url are added to the v1 schema now — nullable, unexposed in v1 UI — because retrofitting them after launch means losing a full semester of history for §8/§9 features (Event Wrapped, Event Groups).</w:t>
            </w:r>
          </w:p>
        </w:tc>
      </w:tr>
      <w:tr>
        <w:tc>
          <w:tcPr>
            <w:tcW w:type="dxa" w:w="2600"/>
            <w:shd w:fill="FFFFFF" w:val="clear"/>
            <w:tcMar>
              <w:top w:type="dxa" w:w="80"/>
              <w:left w:type="dxa" w:w="100"/>
              <w:bottom w:type="dxa" w:w="80"/>
              <w:right w:type="dxa" w:w="100"/>
            </w:tcMar>
            <w:vAlign w:val="center"/>
          </w:tcPr>
          <w:p>
            <w:r>
              <w:t xml:space="preserve">Still owed, not fixed here</w:t>
            </w:r>
          </w:p>
        </w:tc>
        <w:tc>
          <w:tcPr>
            <w:tcW w:type="dxa" w:w="7480"/>
            <w:shd w:fill="FFFFFF" w:val="clear"/>
            <w:tcMar>
              <w:top w:type="dxa" w:w="80"/>
              <w:left w:type="dxa" w:w="100"/>
              <w:bottom w:type="dxa" w:w="80"/>
              <w:right w:type="dxa" w:w="100"/>
            </w:tcMar>
            <w:vAlign w:val="center"/>
          </w:tcPr>
          <w:p>
            <w:r>
              <w:t xml:space="preserve">The Technical Architecture and ERD are missing a users table, an authentication strategy, device_tokens, organizer_members, and id_document_url storage. These are real gaps but belong in a Technical Architecture v1.1, not this document — flagged here so they aren't lost.</w:t>
            </w:r>
          </w:p>
        </w:tc>
      </w:tr>
    </w:tbl>
    <w:p>
      <w:pPr>
        <w:pBdr>
          <w:bottom w:val="single" w:color="C9BEDD" w:sz="6"/>
        </w:pBdr>
        <w:spacing w:after="240" w:before="120"/>
      </w:pPr>
    </w:p>
    <w:p>
      <w:pPr>
        <w:pStyle w:val="Heading1"/>
        <w:spacing w:after="160" w:before="360"/>
      </w:pPr>
      <w:r>
        <w:t xml:space="preserve">1. Overview</w:t>
      </w:r>
    </w:p>
    <w:p>
      <w:pPr>
        <w:pStyle w:val="Heading2"/>
        <w:spacing w:after="120" w:before="280"/>
      </w:pPr>
      <w:r>
        <w:t xml:space="preserve">1.1 Problem statement</w:t>
      </w:r>
    </w:p>
    <w:p>
      <w:pPr>
        <w:spacing w:after="160"/>
      </w:pPr>
      <w:r>
        <w:t xml:space="preserve">Event information at the University of Ibadan is fragmented across WhatsApp broadcast lists, Instagram stories, and physical bulletin boards. Discovery depends on already being in the right group chat. Students miss events they would have attended; organizers under-fill rooms they've paid for; word-of-mouth favors whoever already has the biggest network.</w:t>
      </w:r>
    </w:p>
    <w:p>
      <w:pPr>
        <w:pStyle w:val="Heading2"/>
        <w:spacing w:after="120" w:before="280"/>
      </w:pPr>
      <w:r>
        <w:t xml:space="preserve">1.2 Product thesis (revised)</w:t>
      </w:r>
    </w:p>
    <w:p>
      <w:pPr>
        <w:spacing w:after="160"/>
      </w:pPr>
      <w:r>
        <w:t xml:space="preserve">The durable asset CampusPulse is building is not the feed and not the checkout flow — it's the campus social graph: who follows whom, who attends what, who worked which event as a DJ, MC, or photographer. A feed is easy to copy; a verified, campus-specific graph of attendance and creative history is not, and it's what WhatsApp and Instagram structurally cannot replicate for this use case.</w:t>
      </w:r>
    </w:p>
    <w:p>
      <w:pPr>
        <w:spacing w:after="160"/>
      </w:pPr>
      <w:r>
        <w:t xml:space="preserve">v1 exists to prove the smallest version of that graph works: organizers publish, attendees discover and RSVP, check-ins confirm the RSVP was real. Stories are the discovery surface for that graph, not a separate feature. Paid ticketing, when it arrives in v2, monetizes the graph — it is not the graph itself, and framing it as the destination (as v1.0 implicitly did) undersells what's actually defensible about the product.</w:t>
      </w:r>
    </w:p>
    <w:p>
      <w:pPr>
        <w:pStyle w:val="Heading2"/>
        <w:spacing w:after="120" w:before="280"/>
      </w:pPr>
      <w:r>
        <w:t xml:space="preserve">1.3 v1 scope decisions</w:t>
      </w:r>
    </w:p>
    <w:p>
      <w:pPr>
        <w:spacing w:after="160"/>
      </w:pPr>
      <w:r>
        <w:t xml:space="preserve">Three scoping calls anchor everything in this document:</w:t>
      </w:r>
    </w:p>
    <w:p>
      <w:pPr>
        <w:pStyle w:val="ListParagraph"/>
        <w:numPr>
          <w:ilvl w:val="0"/>
          <w:numId w:val="2"/>
        </w:numPr>
        <w:spacing w:after="80"/>
      </w:pPr>
      <w:r>
        <w:t xml:space="preserve">Stories/feed ships in v1 — it is core to the product's identity, not a fast-follow.</w:t>
      </w:r>
    </w:p>
    <w:p>
      <w:pPr>
        <w:pStyle w:val="ListParagraph"/>
        <w:numPr>
          <w:ilvl w:val="0"/>
          <w:numId w:val="2"/>
        </w:numPr>
        <w:spacing w:after="80"/>
      </w:pPr>
      <w:r>
        <w:t xml:space="preserve">Paid ticketing is NOT in v1. v1 supports free RSVP events only. Paystack/Flutterwave integration, ticket tiers, and organizer payouts are v2.</w:t>
      </w:r>
    </w:p>
    <w:p>
      <w:pPr>
        <w:pStyle w:val="ListParagraph"/>
        <w:numPr>
          <w:ilvl w:val="0"/>
          <w:numId w:val="2"/>
        </w:numPr>
        <w:spacing w:after="80"/>
      </w:pPr>
      <w:r>
        <w:t xml:space="preserve">v1 targets a single campus (University of Ibadan). Multi-campus expansion is v2+.</w:t>
      </w:r>
    </w:p>
    <w:p>
      <w:pPr>
        <w:spacing w:after="160"/>
      </w:pPr>
      <w:r>
        <w:t xml:space="preserve">This keeps v1 focused on proving the core discovery + attendance loop without taking on payment processing, PCI scope, or payout compliance before the social mechanics are validated. Adding event categories (§3.0) and the offline-tolerant scanner (§3.3) does not expand this scope — both were implicit design requirements that needed to be made explicit, not new capability.</w:t>
      </w:r>
    </w:p>
    <w:p>
      <w:pPr>
        <w:pStyle w:val="Heading1"/>
        <w:spacing w:after="160" w:before="360"/>
      </w:pPr>
      <w:r>
        <w:t xml:space="preserve">2. Personas</w:t>
      </w:r>
    </w:p>
    <w:p>
      <w:pPr>
        <w:pStyle w:val="Heading2"/>
        <w:spacing w:after="120" w:before="280"/>
      </w:pPr>
      <w:r>
        <w:t xml:space="preserve">2.1 The Attendee — "Tobi"</w:t>
      </w:r>
    </w:p>
    <w:tbl>
      <w:tblPr>
        <w:tblW w:type="dxa" w:w="10080"/>
        <w:tblBorders>
          <w:top w:val="single" w:color="D9D2E9" w:sz="4"/>
          <w:left w:val="single" w:color="D9D2E9" w:sz="4"/>
          <w:bottom w:val="single" w:color="D9D2E9" w:sz="4"/>
          <w:right w:val="single" w:color="D9D2E9" w:sz="4"/>
          <w:insideH w:val="single" w:color="D9D2E9" w:sz="4"/>
          <w:insideV w:val="single" w:color="D9D2E9" w:sz="4"/>
        </w:tblBorders>
      </w:tblPr>
      <w:tblGrid>
        <w:gridCol w:w="1900"/>
        <w:gridCol w:w="8180"/>
      </w:tblGrid>
      <w:tr>
        <w:trPr>
          <w:tblHeader/>
        </w:trPr>
        <w:tc>
          <w:tcPr>
            <w:tcW w:type="dxa" w:w="1900"/>
            <w:shd w:fill="1B1330" w:val="clear"/>
            <w:tcMar>
              <w:top w:type="dxa" w:w="90"/>
              <w:left w:type="dxa" w:w="100"/>
              <w:bottom w:type="dxa" w:w="90"/>
              <w:right w:type="dxa" w:w="100"/>
            </w:tcMar>
            <w:vAlign w:val="center"/>
          </w:tcPr>
          <w:p>
            <w:r>
              <w:rPr>
                <w:b/>
                <w:bCs/>
                <w:color w:val="FFFFFF"/>
              </w:rPr>
              <w:t xml:space="preserve"/>
            </w:r>
          </w:p>
        </w:tc>
        <w:tc>
          <w:tcPr>
            <w:tcW w:type="dxa" w:w="8180"/>
            <w:shd w:fill="1B1330" w:val="clear"/>
            <w:tcMar>
              <w:top w:type="dxa" w:w="90"/>
              <w:left w:type="dxa" w:w="100"/>
              <w:bottom w:type="dxa" w:w="90"/>
              <w:right w:type="dxa" w:w="100"/>
            </w:tcMar>
            <w:vAlign w:val="center"/>
          </w:tcPr>
          <w:p>
            <w:r>
              <w:rPr>
                <w:b/>
                <w:bCs/>
                <w:color w:val="FFFFFF"/>
              </w:rPr>
              <w:t xml:space="preserve"/>
            </w:r>
          </w:p>
        </w:tc>
      </w:tr>
      <w:tr>
        <w:tc>
          <w:tcPr>
            <w:tcW w:type="dxa" w:w="1900"/>
            <w:shd w:fill="FFFFFF" w:val="clear"/>
            <w:tcMar>
              <w:top w:type="dxa" w:w="80"/>
              <w:left w:type="dxa" w:w="100"/>
              <w:bottom w:type="dxa" w:w="80"/>
              <w:right w:type="dxa" w:w="100"/>
            </w:tcMar>
            <w:vAlign w:val="center"/>
          </w:tcPr>
          <w:p>
            <w:r>
              <w:t xml:space="preserve">Who</w:t>
            </w:r>
          </w:p>
        </w:tc>
        <w:tc>
          <w:tcPr>
            <w:tcW w:type="dxa" w:w="8180"/>
            <w:shd w:fill="FFFFFF" w:val="clear"/>
            <w:tcMar>
              <w:top w:type="dxa" w:w="80"/>
              <w:left w:type="dxa" w:w="100"/>
              <w:bottom w:type="dxa" w:w="80"/>
              <w:right w:type="dxa" w:w="100"/>
            </w:tcMar>
            <w:vAlign w:val="center"/>
          </w:tcPr>
          <w:p>
            <w:r>
              <w:t xml:space="preserve">300-level student, University of Ibadan. On Instagram daily, in 6+ WhatsApp groups, misses events constantly.</w:t>
            </w:r>
          </w:p>
        </w:tc>
      </w:tr>
      <w:tr>
        <w:tc>
          <w:tcPr>
            <w:tcW w:type="dxa" w:w="1900"/>
            <w:shd w:fill="F2ECF9" w:val="clear"/>
            <w:tcMar>
              <w:top w:type="dxa" w:w="80"/>
              <w:left w:type="dxa" w:w="100"/>
              <w:bottom w:type="dxa" w:w="80"/>
              <w:right w:type="dxa" w:w="100"/>
            </w:tcMar>
            <w:vAlign w:val="center"/>
          </w:tcPr>
          <w:p>
            <w:r>
              <w:t xml:space="preserve">Goal</w:t>
            </w:r>
          </w:p>
        </w:tc>
        <w:tc>
          <w:tcPr>
            <w:tcW w:type="dxa" w:w="8180"/>
            <w:shd w:fill="F2ECF9" w:val="clear"/>
            <w:tcMar>
              <w:top w:type="dxa" w:w="80"/>
              <w:left w:type="dxa" w:w="100"/>
              <w:bottom w:type="dxa" w:w="80"/>
              <w:right w:type="dxa" w:w="100"/>
            </w:tcMar>
            <w:vAlign w:val="center"/>
          </w:tcPr>
          <w:p>
            <w:r>
              <w:t xml:space="preserve">Know what's happening tonight without scrolling five different group chats.</w:t>
            </w:r>
          </w:p>
        </w:tc>
      </w:tr>
      <w:tr>
        <w:tc>
          <w:tcPr>
            <w:tcW w:type="dxa" w:w="1900"/>
            <w:shd w:fill="FFFFFF" w:val="clear"/>
            <w:tcMar>
              <w:top w:type="dxa" w:w="80"/>
              <w:left w:type="dxa" w:w="100"/>
              <w:bottom w:type="dxa" w:w="80"/>
              <w:right w:type="dxa" w:w="100"/>
            </w:tcMar>
            <w:vAlign w:val="center"/>
          </w:tcPr>
          <w:p>
            <w:r>
              <w:t xml:space="preserve">Behavior</w:t>
            </w:r>
          </w:p>
        </w:tc>
        <w:tc>
          <w:tcPr>
            <w:tcW w:type="dxa" w:w="8180"/>
            <w:shd w:fill="FFFFFF" w:val="clear"/>
            <w:tcMar>
              <w:top w:type="dxa" w:w="80"/>
              <w:left w:type="dxa" w:w="100"/>
              <w:bottom w:type="dxa" w:w="80"/>
              <w:right w:type="dxa" w:w="100"/>
            </w:tcMar>
            <w:vAlign w:val="center"/>
          </w:tcPr>
          <w:p>
            <w:r>
              <w:t xml:space="preserve">Opens apps to scroll, not to search. Decides to attend something in the last few hours, not days ahead.</w:t>
            </w:r>
          </w:p>
        </w:tc>
      </w:tr>
      <w:tr>
        <w:tc>
          <w:tcPr>
            <w:tcW w:type="dxa" w:w="1900"/>
            <w:shd w:fill="F2ECF9" w:val="clear"/>
            <w:tcMar>
              <w:top w:type="dxa" w:w="80"/>
              <w:left w:type="dxa" w:w="100"/>
              <w:bottom w:type="dxa" w:w="80"/>
              <w:right w:type="dxa" w:w="100"/>
            </w:tcMar>
            <w:vAlign w:val="center"/>
          </w:tcPr>
          <w:p>
            <w:r>
              <w:t xml:space="preserve">Frustration</w:t>
            </w:r>
          </w:p>
        </w:tc>
        <w:tc>
          <w:tcPr>
            <w:tcW w:type="dxa" w:w="8180"/>
            <w:shd w:fill="F2ECF9" w:val="clear"/>
            <w:tcMar>
              <w:top w:type="dxa" w:w="80"/>
              <w:left w:type="dxa" w:w="100"/>
              <w:bottom w:type="dxa" w:w="80"/>
              <w:right w:type="dxa" w:w="100"/>
            </w:tcMar>
            <w:vAlign w:val="center"/>
          </w:tcPr>
          <w:p>
            <w:r>
              <w:t xml:space="preserve">Finds out about a great event the day after it happened, via a story someone else posted.</w:t>
            </w:r>
          </w:p>
        </w:tc>
      </w:tr>
      <w:tr>
        <w:tc>
          <w:tcPr>
            <w:tcW w:type="dxa" w:w="1900"/>
            <w:shd w:fill="FFFFFF" w:val="clear"/>
            <w:tcMar>
              <w:top w:type="dxa" w:w="80"/>
              <w:left w:type="dxa" w:w="100"/>
              <w:bottom w:type="dxa" w:w="80"/>
              <w:right w:type="dxa" w:w="100"/>
            </w:tcMar>
            <w:vAlign w:val="center"/>
          </w:tcPr>
          <w:p>
            <w:r>
              <w:t xml:space="preserve">Success looks like</w:t>
            </w:r>
          </w:p>
        </w:tc>
        <w:tc>
          <w:tcPr>
            <w:tcW w:type="dxa" w:w="8180"/>
            <w:shd w:fill="FFFFFF" w:val="clear"/>
            <w:tcMar>
              <w:top w:type="dxa" w:w="80"/>
              <w:left w:type="dxa" w:w="100"/>
              <w:bottom w:type="dxa" w:w="80"/>
              <w:right w:type="dxa" w:w="100"/>
            </w:tcMar>
            <w:vAlign w:val="center"/>
          </w:tcPr>
          <w:p>
            <w:r>
              <w:t xml:space="preserve">Opens CampusPulse, sees what's live right now, taps RSVP, shows up, scans in.</w:t>
            </w:r>
          </w:p>
        </w:tc>
      </w:tr>
    </w:tbl>
    <w:p>
      <w:pPr>
        <w:pStyle w:val="Heading2"/>
        <w:spacing w:after="120" w:before="280"/>
      </w:pPr>
      <w:r>
        <w:t xml:space="preserve">2.2 The Organizer — "Chidinma"</w:t>
      </w:r>
    </w:p>
    <w:tbl>
      <w:tblPr>
        <w:tblW w:type="dxa" w:w="10080"/>
        <w:tblBorders>
          <w:top w:val="single" w:color="D9D2E9" w:sz="4"/>
          <w:left w:val="single" w:color="D9D2E9" w:sz="4"/>
          <w:bottom w:val="single" w:color="D9D2E9" w:sz="4"/>
          <w:right w:val="single" w:color="D9D2E9" w:sz="4"/>
          <w:insideH w:val="single" w:color="D9D2E9" w:sz="4"/>
          <w:insideV w:val="single" w:color="D9D2E9" w:sz="4"/>
        </w:tblBorders>
      </w:tblPr>
      <w:tblGrid>
        <w:gridCol w:w="1900"/>
        <w:gridCol w:w="8180"/>
      </w:tblGrid>
      <w:tr>
        <w:trPr>
          <w:tblHeader/>
        </w:trPr>
        <w:tc>
          <w:tcPr>
            <w:tcW w:type="dxa" w:w="1900"/>
            <w:shd w:fill="1B1330" w:val="clear"/>
            <w:tcMar>
              <w:top w:type="dxa" w:w="90"/>
              <w:left w:type="dxa" w:w="100"/>
              <w:bottom w:type="dxa" w:w="90"/>
              <w:right w:type="dxa" w:w="100"/>
            </w:tcMar>
            <w:vAlign w:val="center"/>
          </w:tcPr>
          <w:p>
            <w:r>
              <w:rPr>
                <w:b/>
                <w:bCs/>
                <w:color w:val="FFFFFF"/>
              </w:rPr>
              <w:t xml:space="preserve"/>
            </w:r>
          </w:p>
        </w:tc>
        <w:tc>
          <w:tcPr>
            <w:tcW w:type="dxa" w:w="8180"/>
            <w:shd w:fill="1B1330" w:val="clear"/>
            <w:tcMar>
              <w:top w:type="dxa" w:w="90"/>
              <w:left w:type="dxa" w:w="100"/>
              <w:bottom w:type="dxa" w:w="90"/>
              <w:right w:type="dxa" w:w="100"/>
            </w:tcMar>
            <w:vAlign w:val="center"/>
          </w:tcPr>
          <w:p>
            <w:r>
              <w:rPr>
                <w:b/>
                <w:bCs/>
                <w:color w:val="FFFFFF"/>
              </w:rPr>
              <w:t xml:space="preserve"/>
            </w:r>
          </w:p>
        </w:tc>
      </w:tr>
      <w:tr>
        <w:tc>
          <w:tcPr>
            <w:tcW w:type="dxa" w:w="1900"/>
            <w:shd w:fill="FFFFFF" w:val="clear"/>
            <w:tcMar>
              <w:top w:type="dxa" w:w="80"/>
              <w:left w:type="dxa" w:w="100"/>
              <w:bottom w:type="dxa" w:w="80"/>
              <w:right w:type="dxa" w:w="100"/>
            </w:tcMar>
            <w:vAlign w:val="center"/>
          </w:tcPr>
          <w:p>
            <w:r>
              <w:t xml:space="preserve">Who</w:t>
            </w:r>
          </w:p>
        </w:tc>
        <w:tc>
          <w:tcPr>
            <w:tcW w:type="dxa" w:w="8180"/>
            <w:shd w:fill="FFFFFF" w:val="clear"/>
            <w:tcMar>
              <w:top w:type="dxa" w:w="80"/>
              <w:left w:type="dxa" w:w="100"/>
              <w:bottom w:type="dxa" w:w="80"/>
              <w:right w:type="dxa" w:w="100"/>
            </w:tcMar>
            <w:vAlign w:val="center"/>
          </w:tcPr>
          <w:p>
            <w:r>
              <w:t xml:space="preserve">Final-year student, Public Relations Officer for a faculty association or hall committee.</w:t>
            </w:r>
          </w:p>
        </w:tc>
      </w:tr>
      <w:tr>
        <w:tc>
          <w:tcPr>
            <w:tcW w:type="dxa" w:w="1900"/>
            <w:shd w:fill="F2ECF9" w:val="clear"/>
            <w:tcMar>
              <w:top w:type="dxa" w:w="80"/>
              <w:left w:type="dxa" w:w="100"/>
              <w:bottom w:type="dxa" w:w="80"/>
              <w:right w:type="dxa" w:w="100"/>
            </w:tcMar>
            <w:vAlign w:val="center"/>
          </w:tcPr>
          <w:p>
            <w:r>
              <w:t xml:space="preserve">Goal</w:t>
            </w:r>
          </w:p>
        </w:tc>
        <w:tc>
          <w:tcPr>
            <w:tcW w:type="dxa" w:w="8180"/>
            <w:shd w:fill="F2ECF9" w:val="clear"/>
            <w:tcMar>
              <w:top w:type="dxa" w:w="80"/>
              <w:left w:type="dxa" w:w="100"/>
              <w:bottom w:type="dxa" w:w="80"/>
              <w:right w:type="dxa" w:w="100"/>
            </w:tcMar>
            <w:vAlign w:val="center"/>
          </w:tcPr>
          <w:p>
            <w:r>
              <w:t xml:space="preserve">Get a real headcount before the event, not a guess based on group chat reactions.</w:t>
            </w:r>
          </w:p>
        </w:tc>
      </w:tr>
      <w:tr>
        <w:tc>
          <w:tcPr>
            <w:tcW w:type="dxa" w:w="1900"/>
            <w:shd w:fill="FFFFFF" w:val="clear"/>
            <w:tcMar>
              <w:top w:type="dxa" w:w="80"/>
              <w:left w:type="dxa" w:w="100"/>
              <w:bottom w:type="dxa" w:w="80"/>
              <w:right w:type="dxa" w:w="100"/>
            </w:tcMar>
            <w:vAlign w:val="center"/>
          </w:tcPr>
          <w:p>
            <w:r>
              <w:t xml:space="preserve">Behavior</w:t>
            </w:r>
          </w:p>
        </w:tc>
        <w:tc>
          <w:tcPr>
            <w:tcW w:type="dxa" w:w="8180"/>
            <w:shd w:fill="FFFFFF" w:val="clear"/>
            <w:tcMar>
              <w:top w:type="dxa" w:w="80"/>
              <w:left w:type="dxa" w:w="100"/>
              <w:bottom w:type="dxa" w:w="80"/>
              <w:right w:type="dxa" w:w="100"/>
            </w:tcMar>
            <w:vAlign w:val="center"/>
          </w:tcPr>
          <w:p>
            <w:r>
              <w:t xml:space="preserve">Currently posts flyers to WhatsApp and Instagram, tracks RSVPs manually or not at all.</w:t>
            </w:r>
          </w:p>
        </w:tc>
      </w:tr>
      <w:tr>
        <w:tc>
          <w:tcPr>
            <w:tcW w:type="dxa" w:w="1900"/>
            <w:shd w:fill="F2ECF9" w:val="clear"/>
            <w:tcMar>
              <w:top w:type="dxa" w:w="80"/>
              <w:left w:type="dxa" w:w="100"/>
              <w:bottom w:type="dxa" w:w="80"/>
              <w:right w:type="dxa" w:w="100"/>
            </w:tcMar>
            <w:vAlign w:val="center"/>
          </w:tcPr>
          <w:p>
            <w:r>
              <w:t xml:space="preserve">Frustration</w:t>
            </w:r>
          </w:p>
        </w:tc>
        <w:tc>
          <w:tcPr>
            <w:tcW w:type="dxa" w:w="8180"/>
            <w:shd w:fill="F2ECF9" w:val="clear"/>
            <w:tcMar>
              <w:top w:type="dxa" w:w="80"/>
              <w:left w:type="dxa" w:w="100"/>
              <w:bottom w:type="dxa" w:w="80"/>
              <w:right w:type="dxa" w:w="100"/>
            </w:tcMar>
            <w:vAlign w:val="center"/>
          </w:tcPr>
          <w:p>
            <w:r>
              <w:t xml:space="preserve">No visibility into who's actually coming. No way to reach people who aren't already in the group.</w:t>
            </w:r>
          </w:p>
        </w:tc>
      </w:tr>
      <w:tr>
        <w:tc>
          <w:tcPr>
            <w:tcW w:type="dxa" w:w="1900"/>
            <w:shd w:fill="FFFFFF" w:val="clear"/>
            <w:tcMar>
              <w:top w:type="dxa" w:w="80"/>
              <w:left w:type="dxa" w:w="100"/>
              <w:bottom w:type="dxa" w:w="80"/>
              <w:right w:type="dxa" w:w="100"/>
            </w:tcMar>
            <w:vAlign w:val="center"/>
          </w:tcPr>
          <w:p>
            <w:r>
              <w:t xml:space="preserve">Success looks like</w:t>
            </w:r>
          </w:p>
        </w:tc>
        <w:tc>
          <w:tcPr>
            <w:tcW w:type="dxa" w:w="8180"/>
            <w:shd w:fill="FFFFFF" w:val="clear"/>
            <w:tcMar>
              <w:top w:type="dxa" w:w="80"/>
              <w:left w:type="dxa" w:w="100"/>
              <w:bottom w:type="dxa" w:w="80"/>
              <w:right w:type="dxa" w:w="100"/>
            </w:tcMar>
            <w:vAlign w:val="center"/>
          </w:tcPr>
          <w:p>
            <w:r>
              <w:t xml:space="preserve">Publishes an event in minutes, watches RSVPs come in live, checks people in at the door with a scanner.</w:t>
            </w:r>
          </w:p>
        </w:tc>
      </w:tr>
    </w:tbl>
    <w:p>
      <w:pPr>
        <w:spacing w:after="160"/>
      </w:pPr>
      <w:r>
        <w:rPr>
          <w:i/>
          <w:iCs/>
          <w:color w:val="6B6270"/>
        </w:rPr>
        <w:t xml:space="preserve">A third persona — the Creative (DJ, MC, photographer, videographer) — emerges in v1.5 once Creative Credits ships (§8). Not detailed here because v1 has no surface for them; noted so design work isn't blindsided by it next phase.</w:t>
      </w:r>
    </w:p>
    <w:p>
      <w:pPr>
        <w:pStyle w:val="Heading1"/>
        <w:spacing w:after="160" w:before="360"/>
      </w:pPr>
      <w:r>
        <w:t xml:space="preserve">3. v1 Scope</w:t>
      </w:r>
    </w:p>
    <w:p>
      <w:pPr>
        <w:spacing w:after="160"/>
      </w:pPr>
      <w:r>
        <w:t xml:space="preserve">Feature-by-feature breakdown of what ships in v1 versus what's deferred. "v1 — limited" means a simplified version ships now with a fuller version planned later.</w:t>
      </w:r>
    </w:p>
    <w:p>
      <w:pPr>
        <w:pStyle w:val="Heading2"/>
        <w:spacing w:after="120" w:before="280"/>
      </w:pPr>
      <w:r>
        <w:t xml:space="preserve">3.0 Event categories (new)</w:t>
      </w:r>
    </w:p>
    <w:p>
      <w:pPr>
        <w:spacing w:after="160"/>
      </w:pPr>
      <w:r>
        <w:t xml:space="preserve">CampusPulse events are not interchangeable. A hall party at SUB Field, a departmental conference at the International Conference Centre (ICC), and a play at the Wole Soyinka Theatre have different venues, different check-in throughput, and different verification expectations — treating them as one uniform "event" is what left venue and proximity fields underspecified in the v1.0 data model. Category is now a required field at event creation (§4.2) and feeds the NFR sizing in §5.1.</w:t>
      </w:r>
    </w:p>
    <w:tbl>
      <w:tblPr>
        <w:tblW w:type="dxa" w:w="10080"/>
        <w:tblBorders>
          <w:top w:val="single" w:color="D9D2E9" w:sz="4"/>
          <w:left w:val="single" w:color="D9D2E9" w:sz="4"/>
          <w:bottom w:val="single" w:color="D9D2E9" w:sz="4"/>
          <w:right w:val="single" w:color="D9D2E9" w:sz="4"/>
          <w:insideH w:val="single" w:color="D9D2E9" w:sz="4"/>
          <w:insideV w:val="single" w:color="D9D2E9" w:sz="4"/>
        </w:tblBorders>
      </w:tblPr>
      <w:tblGrid>
        <w:gridCol w:w="1500"/>
        <w:gridCol w:w="1700"/>
        <w:gridCol w:w="1600"/>
        <w:gridCol w:w="2000"/>
        <w:gridCol w:w="3280"/>
      </w:tblGrid>
      <w:tr>
        <w:trPr>
          <w:tblHeader/>
        </w:trPr>
        <w:tc>
          <w:tcPr>
            <w:tcW w:type="dxa" w:w="1500"/>
            <w:shd w:fill="1B1330" w:val="clear"/>
            <w:tcMar>
              <w:top w:type="dxa" w:w="90"/>
              <w:left w:type="dxa" w:w="100"/>
              <w:bottom w:type="dxa" w:w="90"/>
              <w:right w:type="dxa" w:w="100"/>
            </w:tcMar>
            <w:vAlign w:val="center"/>
          </w:tcPr>
          <w:p>
            <w:r>
              <w:rPr>
                <w:b/>
                <w:bCs/>
                <w:color w:val="FFFFFF"/>
              </w:rPr>
              <w:t xml:space="preserve">Category</w:t>
            </w:r>
          </w:p>
        </w:tc>
        <w:tc>
          <w:tcPr>
            <w:tcW w:type="dxa" w:w="1700"/>
            <w:shd w:fill="1B1330" w:val="clear"/>
            <w:tcMar>
              <w:top w:type="dxa" w:w="90"/>
              <w:left w:type="dxa" w:w="100"/>
              <w:bottom w:type="dxa" w:w="90"/>
              <w:right w:type="dxa" w:w="100"/>
            </w:tcMar>
            <w:vAlign w:val="center"/>
          </w:tcPr>
          <w:p>
            <w:r>
              <w:rPr>
                <w:b/>
                <w:bCs/>
                <w:color w:val="FFFFFF"/>
              </w:rPr>
              <w:t xml:space="preserve">Example UI venues</w:t>
            </w:r>
          </w:p>
        </w:tc>
        <w:tc>
          <w:tcPr>
            <w:tcW w:type="dxa" w:w="1600"/>
            <w:shd w:fill="1B1330" w:val="clear"/>
            <w:tcMar>
              <w:top w:type="dxa" w:w="90"/>
              <w:left w:type="dxa" w:w="100"/>
              <w:bottom w:type="dxa" w:w="90"/>
              <w:right w:type="dxa" w:w="100"/>
            </w:tcMar>
            <w:vAlign w:val="center"/>
          </w:tcPr>
          <w:p>
            <w:r>
              <w:rPr>
                <w:b/>
                <w:bCs/>
                <w:color w:val="FFFFFF"/>
              </w:rPr>
              <w:t xml:space="preserve">Typical duration / capacity</w:t>
            </w:r>
          </w:p>
        </w:tc>
        <w:tc>
          <w:tcPr>
            <w:tcW w:type="dxa" w:w="2000"/>
            <w:shd w:fill="1B1330" w:val="clear"/>
            <w:tcMar>
              <w:top w:type="dxa" w:w="90"/>
              <w:left w:type="dxa" w:w="100"/>
              <w:bottom w:type="dxa" w:w="90"/>
              <w:right w:type="dxa" w:w="100"/>
            </w:tcMar>
            <w:vAlign w:val="center"/>
          </w:tcPr>
          <w:p>
            <w:r>
              <w:rPr>
                <w:b/>
                <w:bCs/>
                <w:color w:val="FFFFFF"/>
              </w:rPr>
              <w:t xml:space="preserve">Check-in profile</w:t>
            </w:r>
          </w:p>
        </w:tc>
        <w:tc>
          <w:tcPr>
            <w:tcW w:type="dxa" w:w="3280"/>
            <w:shd w:fill="1B1330" w:val="clear"/>
            <w:tcMar>
              <w:top w:type="dxa" w:w="90"/>
              <w:left w:type="dxa" w:w="100"/>
              <w:bottom w:type="dxa" w:w="90"/>
              <w:right w:type="dxa" w:w="100"/>
            </w:tcMar>
            <w:vAlign w:val="center"/>
          </w:tcPr>
          <w:p>
            <w:r>
              <w:rPr>
                <w:b/>
                <w:bCs/>
                <w:color w:val="FFFFFF"/>
              </w:rPr>
              <w:t xml:space="preserve">Stories usage</w:t>
            </w:r>
          </w:p>
        </w:tc>
      </w:tr>
      <w:tr>
        <w:tc>
          <w:tcPr>
            <w:tcW w:type="dxa" w:w="1500"/>
            <w:shd w:fill="FFFFFF" w:val="clear"/>
            <w:tcMar>
              <w:top w:type="dxa" w:w="80"/>
              <w:left w:type="dxa" w:w="100"/>
              <w:bottom w:type="dxa" w:w="80"/>
              <w:right w:type="dxa" w:w="100"/>
            </w:tcMar>
            <w:vAlign w:val="center"/>
          </w:tcPr>
          <w:p>
            <w:r>
              <w:t xml:space="preserve">Social / Party</w:t>
            </w:r>
          </w:p>
        </w:tc>
        <w:tc>
          <w:tcPr>
            <w:tcW w:type="dxa" w:w="1700"/>
            <w:shd w:fill="FFFFFF" w:val="clear"/>
            <w:tcMar>
              <w:top w:type="dxa" w:w="80"/>
              <w:left w:type="dxa" w:w="100"/>
              <w:bottom w:type="dxa" w:w="80"/>
              <w:right w:type="dxa" w:w="100"/>
            </w:tcMar>
            <w:vAlign w:val="center"/>
          </w:tcPr>
          <w:p>
            <w:r>
              <w:t xml:space="preserve">SUB Field, hall car parks, faculty lawns</w:t>
            </w:r>
          </w:p>
        </w:tc>
        <w:tc>
          <w:tcPr>
            <w:tcW w:type="dxa" w:w="1600"/>
            <w:shd w:fill="FFFFFF" w:val="clear"/>
            <w:tcMar>
              <w:top w:type="dxa" w:w="80"/>
              <w:left w:type="dxa" w:w="100"/>
              <w:bottom w:type="dxa" w:w="80"/>
              <w:right w:type="dxa" w:w="100"/>
            </w:tcMar>
            <w:vAlign w:val="center"/>
          </w:tcPr>
          <w:p>
            <w:r>
              <w:t xml:space="preserve">3–6 hrs; 200–2,000</w:t>
            </w:r>
          </w:p>
        </w:tc>
        <w:tc>
          <w:tcPr>
            <w:tcW w:type="dxa" w:w="2000"/>
            <w:shd w:fill="FFFFFF" w:val="clear"/>
            <w:tcMar>
              <w:top w:type="dxa" w:w="80"/>
              <w:left w:type="dxa" w:w="100"/>
              <w:bottom w:type="dxa" w:w="80"/>
              <w:right w:type="dxa" w:w="100"/>
            </w:tcMar>
            <w:vAlign w:val="center"/>
          </w:tcPr>
          <w:p>
            <w:r>
              <w:t xml:space="preserve">Burst — high throughput, low scrutiny</w:t>
            </w:r>
          </w:p>
        </w:tc>
        <w:tc>
          <w:tcPr>
            <w:tcW w:type="dxa" w:w="3280"/>
            <w:shd w:fill="FFFFFF" w:val="clear"/>
            <w:tcMar>
              <w:top w:type="dxa" w:w="80"/>
              <w:left w:type="dxa" w:w="100"/>
              <w:bottom w:type="dxa" w:w="80"/>
              <w:right w:type="dxa" w:w="100"/>
            </w:tcMar>
            <w:vAlign w:val="center"/>
          </w:tcPr>
          <w:p>
            <w:r>
              <w:t xml:space="preserve">Core: lineup drops, sold-out alerts, day-of hype</w:t>
            </w:r>
          </w:p>
        </w:tc>
      </w:tr>
      <w:tr>
        <w:tc>
          <w:tcPr>
            <w:tcW w:type="dxa" w:w="1500"/>
            <w:shd w:fill="F2ECF9" w:val="clear"/>
            <w:tcMar>
              <w:top w:type="dxa" w:w="80"/>
              <w:left w:type="dxa" w:w="100"/>
              <w:bottom w:type="dxa" w:w="80"/>
              <w:right w:type="dxa" w:w="100"/>
            </w:tcMar>
            <w:vAlign w:val="center"/>
          </w:tcPr>
          <w:p>
            <w:r>
              <w:t xml:space="preserve">Performance / Arts</w:t>
            </w:r>
          </w:p>
        </w:tc>
        <w:tc>
          <w:tcPr>
            <w:tcW w:type="dxa" w:w="1700"/>
            <w:shd w:fill="F2ECF9" w:val="clear"/>
            <w:tcMar>
              <w:top w:type="dxa" w:w="80"/>
              <w:left w:type="dxa" w:w="100"/>
              <w:bottom w:type="dxa" w:w="80"/>
              <w:right w:type="dxa" w:w="100"/>
            </w:tcMar>
            <w:vAlign w:val="center"/>
          </w:tcPr>
          <w:p>
            <w:r>
              <w:t xml:space="preserve">Wole Soyinka Theatre, Trenchard Hall</w:t>
            </w:r>
          </w:p>
        </w:tc>
        <w:tc>
          <w:tcPr>
            <w:tcW w:type="dxa" w:w="1600"/>
            <w:shd w:fill="F2ECF9" w:val="clear"/>
            <w:tcMar>
              <w:top w:type="dxa" w:w="80"/>
              <w:left w:type="dxa" w:w="100"/>
              <w:bottom w:type="dxa" w:w="80"/>
              <w:right w:type="dxa" w:w="100"/>
            </w:tcMar>
            <w:vAlign w:val="center"/>
          </w:tcPr>
          <w:p>
            <w:r>
              <w:t xml:space="preserve">1.5–3 hrs; single or multiple showings</w:t>
            </w:r>
          </w:p>
        </w:tc>
        <w:tc>
          <w:tcPr>
            <w:tcW w:type="dxa" w:w="2000"/>
            <w:shd w:fill="F2ECF9" w:val="clear"/>
            <w:tcMar>
              <w:top w:type="dxa" w:w="80"/>
              <w:left w:type="dxa" w:w="100"/>
              <w:bottom w:type="dxa" w:w="80"/>
              <w:right w:type="dxa" w:w="100"/>
            </w:tcMar>
            <w:vAlign w:val="center"/>
          </w:tcPr>
          <w:p>
            <w:r>
              <w:t xml:space="preserve">Steady — moderate volume, doors open early</w:t>
            </w:r>
          </w:p>
        </w:tc>
        <w:tc>
          <w:tcPr>
            <w:tcW w:type="dxa" w:w="3280"/>
            <w:shd w:fill="F2ECF9" w:val="clear"/>
            <w:tcMar>
              <w:top w:type="dxa" w:w="80"/>
              <w:left w:type="dxa" w:w="100"/>
              <w:bottom w:type="dxa" w:w="80"/>
              <w:right w:type="dxa" w:w="100"/>
            </w:tcMar>
            <w:vAlign w:val="center"/>
          </w:tcPr>
          <w:p>
            <w:r>
              <w:t xml:space="preserve">Cast/lineup reveals, showtime reminders</w:t>
            </w:r>
          </w:p>
        </w:tc>
      </w:tr>
      <w:tr>
        <w:tc>
          <w:tcPr>
            <w:tcW w:type="dxa" w:w="1500"/>
            <w:shd w:fill="FFFFFF" w:val="clear"/>
            <w:tcMar>
              <w:top w:type="dxa" w:w="80"/>
              <w:left w:type="dxa" w:w="100"/>
              <w:bottom w:type="dxa" w:w="80"/>
              <w:right w:type="dxa" w:w="100"/>
            </w:tcMar>
            <w:vAlign w:val="center"/>
          </w:tcPr>
          <w:p>
            <w:r>
              <w:t xml:space="preserve">Academic / Conference</w:t>
            </w:r>
          </w:p>
        </w:tc>
        <w:tc>
          <w:tcPr>
            <w:tcW w:type="dxa" w:w="1700"/>
            <w:shd w:fill="FFFFFF" w:val="clear"/>
            <w:tcMar>
              <w:top w:type="dxa" w:w="80"/>
              <w:left w:type="dxa" w:w="100"/>
              <w:bottom w:type="dxa" w:w="80"/>
              <w:right w:type="dxa" w:w="100"/>
            </w:tcMar>
            <w:vAlign w:val="center"/>
          </w:tcPr>
          <w:p>
            <w:r>
              <w:t xml:space="preserve">ICC, faculty lecture halls</w:t>
            </w:r>
          </w:p>
        </w:tc>
        <w:tc>
          <w:tcPr>
            <w:tcW w:type="dxa" w:w="1600"/>
            <w:shd w:fill="FFFFFF" w:val="clear"/>
            <w:tcMar>
              <w:top w:type="dxa" w:w="80"/>
              <w:left w:type="dxa" w:w="100"/>
              <w:bottom w:type="dxa" w:w="80"/>
              <w:right w:type="dxa" w:w="100"/>
            </w:tcMar>
            <w:vAlign w:val="center"/>
          </w:tcPr>
          <w:p>
            <w:r>
              <w:t xml:space="preserve">Half-day to multi-day; 50–1,500</w:t>
            </w:r>
          </w:p>
        </w:tc>
        <w:tc>
          <w:tcPr>
            <w:tcW w:type="dxa" w:w="2000"/>
            <w:shd w:fill="FFFFFF" w:val="clear"/>
            <w:tcMar>
              <w:top w:type="dxa" w:w="80"/>
              <w:left w:type="dxa" w:w="100"/>
              <w:bottom w:type="dxa" w:w="80"/>
              <w:right w:type="dxa" w:w="100"/>
            </w:tcMar>
            <w:vAlign w:val="center"/>
          </w:tcPr>
          <w:p>
            <w:r>
              <w:t xml:space="preserve">Lower volume, higher verification (affiliation/ID check common)</w:t>
            </w:r>
          </w:p>
        </w:tc>
        <w:tc>
          <w:tcPr>
            <w:tcW w:type="dxa" w:w="3280"/>
            <w:shd w:fill="FFFFFF" w:val="clear"/>
            <w:tcMar>
              <w:top w:type="dxa" w:w="80"/>
              <w:left w:type="dxa" w:w="100"/>
              <w:bottom w:type="dxa" w:w="80"/>
              <w:right w:type="dxa" w:w="100"/>
            </w:tcMar>
            <w:vAlign w:val="center"/>
          </w:tcPr>
          <w:p>
            <w:r>
              <w:t xml:space="preserve">Light: schedule reminders only</w:t>
            </w:r>
          </w:p>
        </w:tc>
      </w:tr>
      <w:tr>
        <w:tc>
          <w:tcPr>
            <w:tcW w:type="dxa" w:w="1500"/>
            <w:shd w:fill="F2ECF9" w:val="clear"/>
            <w:tcMar>
              <w:top w:type="dxa" w:w="80"/>
              <w:left w:type="dxa" w:w="100"/>
              <w:bottom w:type="dxa" w:w="80"/>
              <w:right w:type="dxa" w:w="100"/>
            </w:tcMar>
            <w:vAlign w:val="center"/>
          </w:tcPr>
          <w:p>
            <w:r>
              <w:t xml:space="preserve">Sports / Recreation</w:t>
            </w:r>
          </w:p>
        </w:tc>
        <w:tc>
          <w:tcPr>
            <w:tcW w:type="dxa" w:w="1700"/>
            <w:shd w:fill="F2ECF9" w:val="clear"/>
            <w:tcMar>
              <w:top w:type="dxa" w:w="80"/>
              <w:left w:type="dxa" w:w="100"/>
              <w:bottom w:type="dxa" w:w="80"/>
              <w:right w:type="dxa" w:w="100"/>
            </w:tcMar>
            <w:vAlign w:val="center"/>
          </w:tcPr>
          <w:p>
            <w:r>
              <w:t xml:space="preserve">Sports complex, hall courts</w:t>
            </w:r>
          </w:p>
        </w:tc>
        <w:tc>
          <w:tcPr>
            <w:tcW w:type="dxa" w:w="1600"/>
            <w:shd w:fill="F2ECF9" w:val="clear"/>
            <w:tcMar>
              <w:top w:type="dxa" w:w="80"/>
              <w:left w:type="dxa" w:w="100"/>
              <w:bottom w:type="dxa" w:w="80"/>
              <w:right w:type="dxa" w:w="100"/>
            </w:tcMar>
            <w:vAlign w:val="center"/>
          </w:tcPr>
          <w:p>
            <w:r>
              <w:t xml:space="preserve">Single session; variable</w:t>
            </w:r>
          </w:p>
        </w:tc>
        <w:tc>
          <w:tcPr>
            <w:tcW w:type="dxa" w:w="2000"/>
            <w:shd w:fill="F2ECF9" w:val="clear"/>
            <w:tcMar>
              <w:top w:type="dxa" w:w="80"/>
              <w:left w:type="dxa" w:w="100"/>
              <w:bottom w:type="dxa" w:w="80"/>
              <w:right w:type="dxa" w:w="100"/>
            </w:tcMar>
            <w:vAlign w:val="center"/>
          </w:tcPr>
          <w:p>
            <w:r>
              <w:t xml:space="preserve">Burst at kickoff, then steady</w:t>
            </w:r>
          </w:p>
        </w:tc>
        <w:tc>
          <w:tcPr>
            <w:tcW w:type="dxa" w:w="3280"/>
            <w:shd w:fill="F2ECF9" w:val="clear"/>
            <w:tcMar>
              <w:top w:type="dxa" w:w="80"/>
              <w:left w:type="dxa" w:w="100"/>
              <w:bottom w:type="dxa" w:w="80"/>
              <w:right w:type="dxa" w:w="100"/>
            </w:tcMar>
            <w:vAlign w:val="center"/>
          </w:tcPr>
          <w:p>
            <w:r>
              <w:t xml:space="preserve">Scores, highlights, next-fixture reminders</w:t>
            </w:r>
          </w:p>
        </w:tc>
      </w:tr>
      <w:tr>
        <w:tc>
          <w:tcPr>
            <w:tcW w:type="dxa" w:w="1500"/>
            <w:shd w:fill="FFFFFF" w:val="clear"/>
            <w:tcMar>
              <w:top w:type="dxa" w:w="80"/>
              <w:left w:type="dxa" w:w="100"/>
              <w:bottom w:type="dxa" w:w="80"/>
              <w:right w:type="dxa" w:w="100"/>
            </w:tcMar>
            <w:vAlign w:val="center"/>
          </w:tcPr>
          <w:p>
            <w:r>
              <w:t xml:space="preserve">Club / Society meeting</w:t>
            </w:r>
          </w:p>
        </w:tc>
        <w:tc>
          <w:tcPr>
            <w:tcW w:type="dxa" w:w="1700"/>
            <w:shd w:fill="FFFFFF" w:val="clear"/>
            <w:tcMar>
              <w:top w:type="dxa" w:w="80"/>
              <w:left w:type="dxa" w:w="100"/>
              <w:bottom w:type="dxa" w:w="80"/>
              <w:right w:type="dxa" w:w="100"/>
            </w:tcMar>
            <w:vAlign w:val="center"/>
          </w:tcPr>
          <w:p>
            <w:r>
              <w:t xml:space="preserve">Lecture theatres, hall common rooms</w:t>
            </w:r>
          </w:p>
        </w:tc>
        <w:tc>
          <w:tcPr>
            <w:tcW w:type="dxa" w:w="1600"/>
            <w:shd w:fill="FFFFFF" w:val="clear"/>
            <w:tcMar>
              <w:top w:type="dxa" w:w="80"/>
              <w:left w:type="dxa" w:w="100"/>
              <w:bottom w:type="dxa" w:w="80"/>
              <w:right w:type="dxa" w:w="100"/>
            </w:tcMar>
            <w:vAlign w:val="center"/>
          </w:tcPr>
          <w:p>
            <w:r>
              <w:t xml:space="preserve">Recurring; 20–150</w:t>
            </w:r>
          </w:p>
        </w:tc>
        <w:tc>
          <w:tcPr>
            <w:tcW w:type="dxa" w:w="2000"/>
            <w:shd w:fill="FFFFFF" w:val="clear"/>
            <w:tcMar>
              <w:top w:type="dxa" w:w="80"/>
              <w:left w:type="dxa" w:w="100"/>
              <w:bottom w:type="dxa" w:w="80"/>
              <w:right w:type="dxa" w:w="100"/>
            </w:tcMar>
            <w:vAlign w:val="center"/>
          </w:tcPr>
          <w:p>
            <w:r>
              <w:t xml:space="preserve">Low — scanner optional, RSVP count may suffice</w:t>
            </w:r>
          </w:p>
        </w:tc>
        <w:tc>
          <w:tcPr>
            <w:tcW w:type="dxa" w:w="3280"/>
            <w:shd w:fill="FFFFFF" w:val="clear"/>
            <w:tcMar>
              <w:top w:type="dxa" w:w="80"/>
              <w:left w:type="dxa" w:w="100"/>
              <w:bottom w:type="dxa" w:w="80"/>
              <w:right w:type="dxa" w:w="100"/>
            </w:tcMar>
            <w:vAlign w:val="center"/>
          </w:tcPr>
          <w:p>
            <w:r>
              <w:t xml:space="preserve">Minimal</w:t>
            </w:r>
          </w:p>
        </w:tc>
      </w:tr>
    </w:tbl>
    <w:p>
      <w:pPr>
        <w:spacing w:after="160"/>
      </w:pPr>
      <w:r>
        <w:t xml:space="preserve">Schema implication: add events.category (enum: social, performance, academic, sports, club) and events.tags (optional array) in the v1 migration. events.location stays free text in v1 — a structured venue/coordinates table is not worth building for a single-campus launch where every venue is within a 20-minute walk, and proximity ranking is dropped from v1 feed logic accordingly (see §5.1 and §7.2 changes).</w:t>
      </w:r>
    </w:p>
    <w:p>
      <w:pPr>
        <w:spacing w:after="160"/>
      </w:pPr>
      <w:r>
        <w:t xml:space="preserve">Explicitly out of scope for v1, regardless of category: multi-session conference agendas with per-session check-in, assigned/ticketed seating for performances, and sports bracket or tournament features. All three are listed in the v2+ roadmap (§9).</w:t>
      </w:r>
    </w:p>
    <w:p>
      <w:pPr>
        <w:pStyle w:val="Heading2"/>
        <w:spacing w:after="120" w:before="280"/>
      </w:pPr>
      <w:r>
        <w:t xml:space="preserve">3.1 Attendee-side features</w:t>
      </w:r>
    </w:p>
    <w:tbl>
      <w:tblPr>
        <w:tblW w:type="dxa" w:w="10080"/>
        <w:tblBorders>
          <w:top w:val="single" w:color="D9D2E9" w:sz="4"/>
          <w:left w:val="single" w:color="D9D2E9" w:sz="4"/>
          <w:bottom w:val="single" w:color="D9D2E9" w:sz="4"/>
          <w:right w:val="single" w:color="D9D2E9" w:sz="4"/>
          <w:insideH w:val="single" w:color="D9D2E9" w:sz="4"/>
          <w:insideV w:val="single" w:color="D9D2E9" w:sz="4"/>
        </w:tblBorders>
      </w:tblPr>
      <w:tblGrid>
        <w:gridCol w:w="2200"/>
        <w:gridCol w:w="6880"/>
        <w:gridCol w:w="1000"/>
      </w:tblGrid>
      <w:tr>
        <w:trPr>
          <w:tblHeader/>
        </w:trPr>
        <w:tc>
          <w:tcPr>
            <w:tcW w:type="dxa" w:w="2200"/>
            <w:shd w:fill="1B1330" w:val="clear"/>
            <w:tcMar>
              <w:top w:type="dxa" w:w="90"/>
              <w:left w:type="dxa" w:w="100"/>
              <w:bottom w:type="dxa" w:w="90"/>
              <w:right w:type="dxa" w:w="100"/>
            </w:tcMar>
            <w:vAlign w:val="center"/>
          </w:tcPr>
          <w:p>
            <w:r>
              <w:rPr>
                <w:b/>
                <w:bCs/>
                <w:color w:val="FFFFFF"/>
              </w:rPr>
              <w:t xml:space="preserve">Feature</w:t>
            </w:r>
          </w:p>
        </w:tc>
        <w:tc>
          <w:tcPr>
            <w:tcW w:type="dxa" w:w="6880"/>
            <w:shd w:fill="1B1330" w:val="clear"/>
            <w:tcMar>
              <w:top w:type="dxa" w:w="90"/>
              <w:left w:type="dxa" w:w="100"/>
              <w:bottom w:type="dxa" w:w="90"/>
              <w:right w:type="dxa" w:w="100"/>
            </w:tcMar>
            <w:vAlign w:val="center"/>
          </w:tcPr>
          <w:p>
            <w:r>
              <w:rPr>
                <w:b/>
                <w:bCs/>
                <w:color w:val="FFFFFF"/>
              </w:rPr>
              <w:t xml:space="preserve">Notes</w:t>
            </w:r>
          </w:p>
        </w:tc>
        <w:tc>
          <w:tcPr>
            <w:tcW w:type="dxa" w:w="1000"/>
            <w:shd w:fill="1B1330" w:val="clear"/>
            <w:tcMar>
              <w:top w:type="dxa" w:w="90"/>
              <w:left w:type="dxa" w:w="100"/>
              <w:bottom w:type="dxa" w:w="90"/>
              <w:right w:type="dxa" w:w="100"/>
            </w:tcMar>
            <w:vAlign w:val="center"/>
          </w:tcPr>
          <w:p>
            <w:r>
              <w:rPr>
                <w:b/>
                <w:bCs/>
                <w:color w:val="FFFFFF"/>
              </w:rPr>
              <w:t xml:space="preserve">Status</w:t>
            </w:r>
          </w:p>
        </w:tc>
      </w:tr>
      <w:tr>
        <w:tc>
          <w:tcPr>
            <w:tcW w:type="dxa" w:w="2200"/>
            <w:shd w:fill="FFFFFF" w:val="clear"/>
            <w:tcMar>
              <w:top w:type="dxa" w:w="80"/>
              <w:left w:type="dxa" w:w="100"/>
              <w:bottom w:type="dxa" w:w="80"/>
              <w:right w:type="dxa" w:w="100"/>
            </w:tcMar>
            <w:vAlign w:val="center"/>
          </w:tcPr>
          <w:p>
            <w:r>
              <w:t xml:space="preserve">Live feed (home screen)</w:t>
            </w:r>
          </w:p>
        </w:tc>
        <w:tc>
          <w:tcPr>
            <w:tcW w:type="dxa" w:w="6880"/>
            <w:shd w:fill="FFFFFF" w:val="clear"/>
            <w:tcMar>
              <w:top w:type="dxa" w:w="80"/>
              <w:left w:type="dxa" w:w="100"/>
              <w:bottom w:type="dxa" w:w="80"/>
              <w:right w:type="dxa" w:w="100"/>
            </w:tcMar>
            <w:vAlign w:val="center"/>
          </w:tcPr>
          <w:p>
            <w:r>
              <w:t xml:space="preserve">Recency-ranked event cards, filterable by category (§3.0). This is the app's home screen — no separate "browse" tab. Proximity ranking is dropped from v1 (see §7.2).</w:t>
            </w:r>
          </w:p>
        </w:tc>
        <w:tc>
          <w:tcPr>
            <w:tcW w:type="dxa" w:w="1000"/>
            <w:shd w:fill="FFFFFF" w:val="clear"/>
            <w:tcMar>
              <w:top w:type="dxa" w:w="80"/>
              <w:left w:type="dxa" w:w="100"/>
              <w:bottom w:type="dxa" w:w="80"/>
              <w:right w:type="dxa" w:w="100"/>
            </w:tcMar>
            <w:vAlign w:val="center"/>
          </w:tcPr>
          <w:p>
            <w:r>
              <w:t xml:space="preserve">v1</w:t>
            </w:r>
          </w:p>
        </w:tc>
      </w:tr>
      <w:tr>
        <w:tc>
          <w:tcPr>
            <w:tcW w:type="dxa" w:w="2200"/>
            <w:shd w:fill="F2ECF9" w:val="clear"/>
            <w:tcMar>
              <w:top w:type="dxa" w:w="80"/>
              <w:left w:type="dxa" w:w="100"/>
              <w:bottom w:type="dxa" w:w="80"/>
              <w:right w:type="dxa" w:w="100"/>
            </w:tcMar>
            <w:vAlign w:val="center"/>
          </w:tcPr>
          <w:p>
            <w:r>
              <w:t xml:space="preserve">Stories</w:t>
            </w:r>
          </w:p>
        </w:tc>
        <w:tc>
          <w:tcPr>
            <w:tcW w:type="dxa" w:w="6880"/>
            <w:shd w:fill="F2ECF9" w:val="clear"/>
            <w:tcMar>
              <w:top w:type="dxa" w:w="80"/>
              <w:left w:type="dxa" w:w="100"/>
              <w:bottom w:type="dxa" w:w="80"/>
              <w:right w:type="dxa" w:w="100"/>
            </w:tcMar>
            <w:vAlign w:val="center"/>
          </w:tcPr>
          <w:p>
            <w:r>
              <w:t xml:space="preserve">24-hour ephemeral posts from organizers — lineup drops, almost-sold-out alerts, day-of reminders.</w:t>
            </w:r>
          </w:p>
        </w:tc>
        <w:tc>
          <w:tcPr>
            <w:tcW w:type="dxa" w:w="1000"/>
            <w:shd w:fill="F2ECF9" w:val="clear"/>
            <w:tcMar>
              <w:top w:type="dxa" w:w="80"/>
              <w:left w:type="dxa" w:w="100"/>
              <w:bottom w:type="dxa" w:w="80"/>
              <w:right w:type="dxa" w:w="100"/>
            </w:tcMar>
            <w:vAlign w:val="center"/>
          </w:tcPr>
          <w:p>
            <w:r>
              <w:t xml:space="preserve">v1</w:t>
            </w:r>
          </w:p>
        </w:tc>
      </w:tr>
      <w:tr>
        <w:tc>
          <w:tcPr>
            <w:tcW w:type="dxa" w:w="2200"/>
            <w:shd w:fill="FFFFFF" w:val="clear"/>
            <w:tcMar>
              <w:top w:type="dxa" w:w="80"/>
              <w:left w:type="dxa" w:w="100"/>
              <w:bottom w:type="dxa" w:w="80"/>
              <w:right w:type="dxa" w:w="100"/>
            </w:tcMar>
            <w:vAlign w:val="center"/>
          </w:tcPr>
          <w:p>
            <w:r>
              <w:t xml:space="preserve">Event detail page</w:t>
            </w:r>
          </w:p>
        </w:tc>
        <w:tc>
          <w:tcPr>
            <w:tcW w:type="dxa" w:w="6880"/>
            <w:shd w:fill="FFFFFF" w:val="clear"/>
            <w:tcMar>
              <w:top w:type="dxa" w:w="80"/>
              <w:left w:type="dxa" w:w="100"/>
              <w:bottom w:type="dxa" w:w="80"/>
              <w:right w:type="dxa" w:w="100"/>
            </w:tcMar>
            <w:vAlign w:val="center"/>
          </w:tcPr>
          <w:p>
            <w:r>
              <w:t xml:space="preserve">Description, time, location, host, category, live RSVP count.</w:t>
            </w:r>
          </w:p>
        </w:tc>
        <w:tc>
          <w:tcPr>
            <w:tcW w:type="dxa" w:w="1000"/>
            <w:shd w:fill="FFFFFF" w:val="clear"/>
            <w:tcMar>
              <w:top w:type="dxa" w:w="80"/>
              <w:left w:type="dxa" w:w="100"/>
              <w:bottom w:type="dxa" w:w="80"/>
              <w:right w:type="dxa" w:w="100"/>
            </w:tcMar>
            <w:vAlign w:val="center"/>
          </w:tcPr>
          <w:p>
            <w:r>
              <w:t xml:space="preserve">v1</w:t>
            </w:r>
          </w:p>
        </w:tc>
      </w:tr>
      <w:tr>
        <w:tc>
          <w:tcPr>
            <w:tcW w:type="dxa" w:w="2200"/>
            <w:shd w:fill="F2ECF9" w:val="clear"/>
            <w:tcMar>
              <w:top w:type="dxa" w:w="80"/>
              <w:left w:type="dxa" w:w="100"/>
              <w:bottom w:type="dxa" w:w="80"/>
              <w:right w:type="dxa" w:w="100"/>
            </w:tcMar>
            <w:vAlign w:val="center"/>
          </w:tcPr>
          <w:p>
            <w:r>
              <w:t xml:space="preserve">Free RSVP</w:t>
            </w:r>
          </w:p>
        </w:tc>
        <w:tc>
          <w:tcPr>
            <w:tcW w:type="dxa" w:w="6880"/>
            <w:shd w:fill="F2ECF9" w:val="clear"/>
            <w:tcMar>
              <w:top w:type="dxa" w:w="80"/>
              <w:left w:type="dxa" w:w="100"/>
              <w:bottom w:type="dxa" w:w="80"/>
              <w:right w:type="dxa" w:w="100"/>
            </w:tcMar>
            <w:vAlign w:val="center"/>
          </w:tcPr>
          <w:p>
            <w:r>
              <w:t xml:space="preserve">One-tap RSVP for free events. Generates a QR code for check-in.</w:t>
            </w:r>
          </w:p>
        </w:tc>
        <w:tc>
          <w:tcPr>
            <w:tcW w:type="dxa" w:w="1000"/>
            <w:shd w:fill="F2ECF9" w:val="clear"/>
            <w:tcMar>
              <w:top w:type="dxa" w:w="80"/>
              <w:left w:type="dxa" w:w="100"/>
              <w:bottom w:type="dxa" w:w="80"/>
              <w:right w:type="dxa" w:w="100"/>
            </w:tcMar>
            <w:vAlign w:val="center"/>
          </w:tcPr>
          <w:p>
            <w:r>
              <w:t xml:space="preserve">v1</w:t>
            </w:r>
          </w:p>
        </w:tc>
      </w:tr>
      <w:tr>
        <w:tc>
          <w:tcPr>
            <w:tcW w:type="dxa" w:w="2200"/>
            <w:shd w:fill="FFFFFF" w:val="clear"/>
            <w:tcMar>
              <w:top w:type="dxa" w:w="80"/>
              <w:left w:type="dxa" w:w="100"/>
              <w:bottom w:type="dxa" w:w="80"/>
              <w:right w:type="dxa" w:w="100"/>
            </w:tcMar>
            <w:vAlign w:val="center"/>
          </w:tcPr>
          <w:p>
            <w:r>
              <w:t xml:space="preserve">Paid ticket purchase</w:t>
            </w:r>
          </w:p>
        </w:tc>
        <w:tc>
          <w:tcPr>
            <w:tcW w:type="dxa" w:w="6880"/>
            <w:shd w:fill="FFFFFF" w:val="clear"/>
            <w:tcMar>
              <w:top w:type="dxa" w:w="80"/>
              <w:left w:type="dxa" w:w="100"/>
              <w:bottom w:type="dxa" w:w="80"/>
              <w:right w:type="dxa" w:w="100"/>
            </w:tcMar>
            <w:vAlign w:val="center"/>
          </w:tcPr>
          <w:p>
            <w:r>
              <w:t xml:space="preserve">Requires payment processor integration.</w:t>
            </w:r>
          </w:p>
        </w:tc>
        <w:tc>
          <w:tcPr>
            <w:tcW w:type="dxa" w:w="1000"/>
            <w:shd w:fill="FFFFFF" w:val="clear"/>
            <w:tcMar>
              <w:top w:type="dxa" w:w="80"/>
              <w:left w:type="dxa" w:w="100"/>
              <w:bottom w:type="dxa" w:w="80"/>
              <w:right w:type="dxa" w:w="100"/>
            </w:tcMar>
            <w:vAlign w:val="center"/>
          </w:tcPr>
          <w:p>
            <w:r>
              <w:t xml:space="preserve">v2+</w:t>
            </w:r>
          </w:p>
        </w:tc>
      </w:tr>
      <w:tr>
        <w:tc>
          <w:tcPr>
            <w:tcW w:type="dxa" w:w="2200"/>
            <w:shd w:fill="F2ECF9" w:val="clear"/>
            <w:tcMar>
              <w:top w:type="dxa" w:w="80"/>
              <w:left w:type="dxa" w:w="100"/>
              <w:bottom w:type="dxa" w:w="80"/>
              <w:right w:type="dxa" w:w="100"/>
            </w:tcMar>
            <w:vAlign w:val="center"/>
          </w:tcPr>
          <w:p>
            <w:r>
              <w:t xml:space="preserve">QR check-in code (attendee view)</w:t>
            </w:r>
          </w:p>
        </w:tc>
        <w:tc>
          <w:tcPr>
            <w:tcW w:type="dxa" w:w="6880"/>
            <w:shd w:fill="F2ECF9" w:val="clear"/>
            <w:tcMar>
              <w:top w:type="dxa" w:w="80"/>
              <w:left w:type="dxa" w:w="100"/>
              <w:bottom w:type="dxa" w:w="80"/>
              <w:right w:type="dxa" w:w="100"/>
            </w:tcMar>
            <w:vAlign w:val="center"/>
          </w:tcPr>
          <w:p>
            <w:r>
              <w:t xml:space="preserve">Displayed in-app; validated offline at the door per §3.3 and §5.5. Add-to-device-wallet is v2.</w:t>
            </w:r>
          </w:p>
        </w:tc>
        <w:tc>
          <w:tcPr>
            <w:tcW w:type="dxa" w:w="1000"/>
            <w:shd w:fill="F2ECF9" w:val="clear"/>
            <w:tcMar>
              <w:top w:type="dxa" w:w="80"/>
              <w:left w:type="dxa" w:w="100"/>
              <w:bottom w:type="dxa" w:w="80"/>
              <w:right w:type="dxa" w:w="100"/>
            </w:tcMar>
            <w:vAlign w:val="center"/>
          </w:tcPr>
          <w:p>
            <w:r>
              <w:t xml:space="preserve">v1</w:t>
            </w:r>
          </w:p>
        </w:tc>
      </w:tr>
      <w:tr>
        <w:tc>
          <w:tcPr>
            <w:tcW w:type="dxa" w:w="2200"/>
            <w:shd w:fill="FFFFFF" w:val="clear"/>
            <w:tcMar>
              <w:top w:type="dxa" w:w="80"/>
              <w:left w:type="dxa" w:w="100"/>
              <w:bottom w:type="dxa" w:w="80"/>
              <w:right w:type="dxa" w:w="100"/>
            </w:tcMar>
            <w:vAlign w:val="center"/>
          </w:tcPr>
          <w:p>
            <w:r>
              <w:t xml:space="preserve">Student verification</w:t>
            </w:r>
          </w:p>
        </w:tc>
        <w:tc>
          <w:tcPr>
            <w:tcW w:type="dxa" w:w="6880"/>
            <w:shd w:fill="FFFFFF" w:val="clear"/>
            <w:tcMar>
              <w:top w:type="dxa" w:w="80"/>
              <w:left w:type="dxa" w:w="100"/>
              <w:bottom w:type="dxa" w:w="80"/>
              <w:right w:type="dxa" w:w="100"/>
            </w:tcMar>
            <w:vAlign w:val="center"/>
          </w:tcPr>
          <w:p>
            <w:r>
              <w:t xml:space="preserve">Email domain (@stu.ui.edu.ng) or manual ID upload.</w:t>
            </w:r>
          </w:p>
        </w:tc>
        <w:tc>
          <w:tcPr>
            <w:tcW w:type="dxa" w:w="1000"/>
            <w:shd w:fill="FFFFFF" w:val="clear"/>
            <w:tcMar>
              <w:top w:type="dxa" w:w="80"/>
              <w:left w:type="dxa" w:w="100"/>
              <w:bottom w:type="dxa" w:w="80"/>
              <w:right w:type="dxa" w:w="100"/>
            </w:tcMar>
            <w:vAlign w:val="center"/>
          </w:tcPr>
          <w:p>
            <w:r>
              <w:t xml:space="preserve">v1 — limited</w:t>
            </w:r>
          </w:p>
        </w:tc>
      </w:tr>
      <w:tr>
        <w:tc>
          <w:tcPr>
            <w:tcW w:type="dxa" w:w="2200"/>
            <w:shd w:fill="F2ECF9" w:val="clear"/>
            <w:tcMar>
              <w:top w:type="dxa" w:w="80"/>
              <w:left w:type="dxa" w:w="100"/>
              <w:bottom w:type="dxa" w:w="80"/>
              <w:right w:type="dxa" w:w="100"/>
            </w:tcMar>
            <w:vAlign w:val="center"/>
          </w:tcPr>
          <w:p>
            <w:r>
              <w:t xml:space="preserve">Following organizers/clubs</w:t>
            </w:r>
          </w:p>
        </w:tc>
        <w:tc>
          <w:tcPr>
            <w:tcW w:type="dxa" w:w="6880"/>
            <w:shd w:fill="F2ECF9" w:val="clear"/>
            <w:tcMar>
              <w:top w:type="dxa" w:w="80"/>
              <w:left w:type="dxa" w:w="100"/>
              <w:bottom w:type="dxa" w:w="80"/>
              <w:right w:type="dxa" w:w="100"/>
            </w:tcMar>
            <w:vAlign w:val="center"/>
          </w:tcPr>
          <w:p>
            <w:r>
              <w:t xml:space="preserve">Follow a club to prioritize their events/stories in your feed.</w:t>
            </w:r>
          </w:p>
        </w:tc>
        <w:tc>
          <w:tcPr>
            <w:tcW w:type="dxa" w:w="1000"/>
            <w:shd w:fill="F2ECF9" w:val="clear"/>
            <w:tcMar>
              <w:top w:type="dxa" w:w="80"/>
              <w:left w:type="dxa" w:w="100"/>
              <w:bottom w:type="dxa" w:w="80"/>
              <w:right w:type="dxa" w:w="100"/>
            </w:tcMar>
            <w:vAlign w:val="center"/>
          </w:tcPr>
          <w:p>
            <w:r>
              <w:t xml:space="preserve">v1</w:t>
            </w:r>
          </w:p>
        </w:tc>
      </w:tr>
      <w:tr>
        <w:tc>
          <w:tcPr>
            <w:tcW w:type="dxa" w:w="2200"/>
            <w:shd w:fill="FFFFFF" w:val="clear"/>
            <w:tcMar>
              <w:top w:type="dxa" w:w="80"/>
              <w:left w:type="dxa" w:w="100"/>
              <w:bottom w:type="dxa" w:w="80"/>
              <w:right w:type="dxa" w:w="100"/>
            </w:tcMar>
            <w:vAlign w:val="center"/>
          </w:tcPr>
          <w:p>
            <w:r>
              <w:t xml:space="preserve">Search</w:t>
            </w:r>
          </w:p>
        </w:tc>
        <w:tc>
          <w:tcPr>
            <w:tcW w:type="dxa" w:w="6880"/>
            <w:shd w:fill="FFFFFF" w:val="clear"/>
            <w:tcMar>
              <w:top w:type="dxa" w:w="80"/>
              <w:left w:type="dxa" w:w="100"/>
              <w:bottom w:type="dxa" w:w="80"/>
              <w:right w:type="dxa" w:w="100"/>
            </w:tcMar>
            <w:vAlign w:val="center"/>
          </w:tcPr>
          <w:p>
            <w:r>
              <w:t xml:space="preserve">Text search across events and organizers.</w:t>
            </w:r>
          </w:p>
        </w:tc>
        <w:tc>
          <w:tcPr>
            <w:tcW w:type="dxa" w:w="1000"/>
            <w:shd w:fill="FFFFFF" w:val="clear"/>
            <w:tcMar>
              <w:top w:type="dxa" w:w="80"/>
              <w:left w:type="dxa" w:w="100"/>
              <w:bottom w:type="dxa" w:w="80"/>
              <w:right w:type="dxa" w:w="100"/>
            </w:tcMar>
            <w:vAlign w:val="center"/>
          </w:tcPr>
          <w:p>
            <w:r>
              <w:t xml:space="preserve">v1 — limited</w:t>
            </w:r>
          </w:p>
        </w:tc>
      </w:tr>
      <w:tr>
        <w:tc>
          <w:tcPr>
            <w:tcW w:type="dxa" w:w="2200"/>
            <w:shd w:fill="F2ECF9" w:val="clear"/>
            <w:tcMar>
              <w:top w:type="dxa" w:w="80"/>
              <w:left w:type="dxa" w:w="100"/>
              <w:bottom w:type="dxa" w:w="80"/>
              <w:right w:type="dxa" w:w="100"/>
            </w:tcMar>
            <w:vAlign w:val="center"/>
          </w:tcPr>
          <w:p>
            <w:r>
              <w:t xml:space="preserve">Social sharing</w:t>
            </w:r>
          </w:p>
        </w:tc>
        <w:tc>
          <w:tcPr>
            <w:tcW w:type="dxa" w:w="6880"/>
            <w:shd w:fill="F2ECF9" w:val="clear"/>
            <w:tcMar>
              <w:top w:type="dxa" w:w="80"/>
              <w:left w:type="dxa" w:w="100"/>
              <w:bottom w:type="dxa" w:w="80"/>
              <w:right w:type="dxa" w:w="100"/>
            </w:tcMar>
            <w:vAlign w:val="center"/>
          </w:tcPr>
          <w:p>
            <w:r>
              <w:t xml:space="preserve">Share an event card to WhatsApp/Instagram from within the app.</w:t>
            </w:r>
          </w:p>
        </w:tc>
        <w:tc>
          <w:tcPr>
            <w:tcW w:type="dxa" w:w="1000"/>
            <w:shd w:fill="F2ECF9" w:val="clear"/>
            <w:tcMar>
              <w:top w:type="dxa" w:w="80"/>
              <w:left w:type="dxa" w:w="100"/>
              <w:bottom w:type="dxa" w:w="80"/>
              <w:right w:type="dxa" w:w="100"/>
            </w:tcMar>
            <w:vAlign w:val="center"/>
          </w:tcPr>
          <w:p>
            <w:r>
              <w:t xml:space="preserve">v1</w:t>
            </w:r>
          </w:p>
        </w:tc>
      </w:tr>
      <w:tr>
        <w:tc>
          <w:tcPr>
            <w:tcW w:type="dxa" w:w="2200"/>
            <w:shd w:fill="FFFFFF" w:val="clear"/>
            <w:tcMar>
              <w:top w:type="dxa" w:w="80"/>
              <w:left w:type="dxa" w:w="100"/>
              <w:bottom w:type="dxa" w:w="80"/>
              <w:right w:type="dxa" w:w="100"/>
            </w:tcMar>
            <w:vAlign w:val="center"/>
          </w:tcPr>
          <w:p>
            <w:r>
              <w:t xml:space="preserve">Comments / social proof</w:t>
            </w:r>
          </w:p>
        </w:tc>
        <w:tc>
          <w:tcPr>
            <w:tcW w:type="dxa" w:w="6880"/>
            <w:shd w:fill="FFFFFF" w:val="clear"/>
            <w:tcMar>
              <w:top w:type="dxa" w:w="80"/>
              <w:left w:type="dxa" w:w="100"/>
              <w:bottom w:type="dxa" w:w="80"/>
              <w:right w:type="dxa" w:w="100"/>
            </w:tcMar>
            <w:vAlign w:val="center"/>
          </w:tcPr>
          <w:p>
            <w:r>
              <w:t xml:space="preserve">Seeing which friends are going, comments on events.</w:t>
            </w:r>
          </w:p>
        </w:tc>
        <w:tc>
          <w:tcPr>
            <w:tcW w:type="dxa" w:w="1000"/>
            <w:shd w:fill="FFFFFF" w:val="clear"/>
            <w:tcMar>
              <w:top w:type="dxa" w:w="80"/>
              <w:left w:type="dxa" w:w="100"/>
              <w:bottom w:type="dxa" w:w="80"/>
              <w:right w:type="dxa" w:w="100"/>
            </w:tcMar>
            <w:vAlign w:val="center"/>
          </w:tcPr>
          <w:p>
            <w:r>
              <w:t xml:space="preserve">v2+</w:t>
            </w:r>
          </w:p>
        </w:tc>
      </w:tr>
    </w:tbl>
    <w:p>
      <w:pPr>
        <w:pStyle w:val="Heading2"/>
        <w:spacing w:after="120" w:before="280"/>
      </w:pPr>
      <w:r>
        <w:t xml:space="preserve">3.2 Organizer-side features</w:t>
      </w:r>
    </w:p>
    <w:tbl>
      <w:tblPr>
        <w:tblW w:type="dxa" w:w="10080"/>
        <w:tblBorders>
          <w:top w:val="single" w:color="D9D2E9" w:sz="4"/>
          <w:left w:val="single" w:color="D9D2E9" w:sz="4"/>
          <w:bottom w:val="single" w:color="D9D2E9" w:sz="4"/>
          <w:right w:val="single" w:color="D9D2E9" w:sz="4"/>
          <w:insideH w:val="single" w:color="D9D2E9" w:sz="4"/>
          <w:insideV w:val="single" w:color="D9D2E9" w:sz="4"/>
        </w:tblBorders>
      </w:tblPr>
      <w:tblGrid>
        <w:gridCol w:w="2200"/>
        <w:gridCol w:w="6880"/>
        <w:gridCol w:w="1000"/>
      </w:tblGrid>
      <w:tr>
        <w:trPr>
          <w:tblHeader/>
        </w:trPr>
        <w:tc>
          <w:tcPr>
            <w:tcW w:type="dxa" w:w="2200"/>
            <w:shd w:fill="1B1330" w:val="clear"/>
            <w:tcMar>
              <w:top w:type="dxa" w:w="90"/>
              <w:left w:type="dxa" w:w="100"/>
              <w:bottom w:type="dxa" w:w="90"/>
              <w:right w:type="dxa" w:w="100"/>
            </w:tcMar>
            <w:vAlign w:val="center"/>
          </w:tcPr>
          <w:p>
            <w:r>
              <w:rPr>
                <w:b/>
                <w:bCs/>
                <w:color w:val="FFFFFF"/>
              </w:rPr>
              <w:t xml:space="preserve">Feature</w:t>
            </w:r>
          </w:p>
        </w:tc>
        <w:tc>
          <w:tcPr>
            <w:tcW w:type="dxa" w:w="6880"/>
            <w:shd w:fill="1B1330" w:val="clear"/>
            <w:tcMar>
              <w:top w:type="dxa" w:w="90"/>
              <w:left w:type="dxa" w:w="100"/>
              <w:bottom w:type="dxa" w:w="90"/>
              <w:right w:type="dxa" w:w="100"/>
            </w:tcMar>
            <w:vAlign w:val="center"/>
          </w:tcPr>
          <w:p>
            <w:r>
              <w:rPr>
                <w:b/>
                <w:bCs/>
                <w:color w:val="FFFFFF"/>
              </w:rPr>
              <w:t xml:space="preserve">Notes</w:t>
            </w:r>
          </w:p>
        </w:tc>
        <w:tc>
          <w:tcPr>
            <w:tcW w:type="dxa" w:w="1000"/>
            <w:shd w:fill="1B1330" w:val="clear"/>
            <w:tcMar>
              <w:top w:type="dxa" w:w="90"/>
              <w:left w:type="dxa" w:w="100"/>
              <w:bottom w:type="dxa" w:w="90"/>
              <w:right w:type="dxa" w:w="100"/>
            </w:tcMar>
            <w:vAlign w:val="center"/>
          </w:tcPr>
          <w:p>
            <w:r>
              <w:rPr>
                <w:b/>
                <w:bCs/>
                <w:color w:val="FFFFFF"/>
              </w:rPr>
              <w:t xml:space="preserve">Status</w:t>
            </w:r>
          </w:p>
        </w:tc>
      </w:tr>
      <w:tr>
        <w:tc>
          <w:tcPr>
            <w:tcW w:type="dxa" w:w="2200"/>
            <w:shd w:fill="FFFFFF" w:val="clear"/>
            <w:tcMar>
              <w:top w:type="dxa" w:w="80"/>
              <w:left w:type="dxa" w:w="100"/>
              <w:bottom w:type="dxa" w:w="80"/>
              <w:right w:type="dxa" w:w="100"/>
            </w:tcMar>
            <w:vAlign w:val="center"/>
          </w:tcPr>
          <w:p>
            <w:r>
              <w:t xml:space="preserve">Organizer account / club profile</w:t>
            </w:r>
          </w:p>
        </w:tc>
        <w:tc>
          <w:tcPr>
            <w:tcW w:type="dxa" w:w="6880"/>
            <w:shd w:fill="FFFFFF" w:val="clear"/>
            <w:tcMar>
              <w:top w:type="dxa" w:w="80"/>
              <w:left w:type="dxa" w:w="100"/>
              <w:bottom w:type="dxa" w:w="80"/>
              <w:right w:type="dxa" w:w="100"/>
            </w:tcMar>
            <w:vAlign w:val="center"/>
          </w:tcPr>
          <w:p>
            <w:r>
              <w:t xml:space="preserve">Verified organizer badge, follower list.</w:t>
            </w:r>
          </w:p>
        </w:tc>
        <w:tc>
          <w:tcPr>
            <w:tcW w:type="dxa" w:w="1000"/>
            <w:shd w:fill="FFFFFF" w:val="clear"/>
            <w:tcMar>
              <w:top w:type="dxa" w:w="80"/>
              <w:left w:type="dxa" w:w="100"/>
              <w:bottom w:type="dxa" w:w="80"/>
              <w:right w:type="dxa" w:w="100"/>
            </w:tcMar>
            <w:vAlign w:val="center"/>
          </w:tcPr>
          <w:p>
            <w:r>
              <w:t xml:space="preserve">v1</w:t>
            </w:r>
          </w:p>
        </w:tc>
      </w:tr>
      <w:tr>
        <w:tc>
          <w:tcPr>
            <w:tcW w:type="dxa" w:w="2200"/>
            <w:shd w:fill="F2ECF9" w:val="clear"/>
            <w:tcMar>
              <w:top w:type="dxa" w:w="80"/>
              <w:left w:type="dxa" w:w="100"/>
              <w:bottom w:type="dxa" w:w="80"/>
              <w:right w:type="dxa" w:w="100"/>
            </w:tcMar>
            <w:vAlign w:val="center"/>
          </w:tcPr>
          <w:p>
            <w:r>
              <w:t xml:space="preserve">Create free event</w:t>
            </w:r>
          </w:p>
        </w:tc>
        <w:tc>
          <w:tcPr>
            <w:tcW w:type="dxa" w:w="6880"/>
            <w:shd w:fill="F2ECF9" w:val="clear"/>
            <w:tcMar>
              <w:top w:type="dxa" w:w="80"/>
              <w:left w:type="dxa" w:w="100"/>
              <w:bottom w:type="dxa" w:w="80"/>
              <w:right w:type="dxa" w:w="100"/>
            </w:tcMar>
            <w:vAlign w:val="center"/>
          </w:tcPr>
          <w:p>
            <w:r>
              <w:t xml:space="preserve">Title, description, category (§3.0, required), location, date/time, capacity, cover image.</w:t>
            </w:r>
          </w:p>
        </w:tc>
        <w:tc>
          <w:tcPr>
            <w:tcW w:type="dxa" w:w="1000"/>
            <w:shd w:fill="F2ECF9" w:val="clear"/>
            <w:tcMar>
              <w:top w:type="dxa" w:w="80"/>
              <w:left w:type="dxa" w:w="100"/>
              <w:bottom w:type="dxa" w:w="80"/>
              <w:right w:type="dxa" w:w="100"/>
            </w:tcMar>
            <w:vAlign w:val="center"/>
          </w:tcPr>
          <w:p>
            <w:r>
              <w:t xml:space="preserve">v1</w:t>
            </w:r>
          </w:p>
        </w:tc>
      </w:tr>
      <w:tr>
        <w:tc>
          <w:tcPr>
            <w:tcW w:type="dxa" w:w="2200"/>
            <w:shd w:fill="FFFFFF" w:val="clear"/>
            <w:tcMar>
              <w:top w:type="dxa" w:w="80"/>
              <w:left w:type="dxa" w:w="100"/>
              <w:bottom w:type="dxa" w:w="80"/>
              <w:right w:type="dxa" w:w="100"/>
            </w:tcMar>
            <w:vAlign w:val="center"/>
          </w:tcPr>
          <w:p>
            <w:r>
              <w:t xml:space="preserve">Post a Story</w:t>
            </w:r>
          </w:p>
        </w:tc>
        <w:tc>
          <w:tcPr>
            <w:tcW w:type="dxa" w:w="6880"/>
            <w:shd w:fill="FFFFFF" w:val="clear"/>
            <w:tcMar>
              <w:top w:type="dxa" w:w="80"/>
              <w:left w:type="dxa" w:w="100"/>
              <w:bottom w:type="dxa" w:w="80"/>
              <w:right w:type="dxa" w:w="100"/>
            </w:tcMar>
            <w:vAlign w:val="center"/>
          </w:tcPr>
          <w:p>
            <w:r>
              <w:t xml:space="preserve">Attach a story to a live or upcoming event.</w:t>
            </w:r>
          </w:p>
        </w:tc>
        <w:tc>
          <w:tcPr>
            <w:tcW w:type="dxa" w:w="1000"/>
            <w:shd w:fill="FFFFFF" w:val="clear"/>
            <w:tcMar>
              <w:top w:type="dxa" w:w="80"/>
              <w:left w:type="dxa" w:w="100"/>
              <w:bottom w:type="dxa" w:w="80"/>
              <w:right w:type="dxa" w:w="100"/>
            </w:tcMar>
            <w:vAlign w:val="center"/>
          </w:tcPr>
          <w:p>
            <w:r>
              <w:t xml:space="preserve">v1</w:t>
            </w:r>
          </w:p>
        </w:tc>
      </w:tr>
      <w:tr>
        <w:tc>
          <w:tcPr>
            <w:tcW w:type="dxa" w:w="2200"/>
            <w:shd w:fill="F2ECF9" w:val="clear"/>
            <w:tcMar>
              <w:top w:type="dxa" w:w="80"/>
              <w:left w:type="dxa" w:w="100"/>
              <w:bottom w:type="dxa" w:w="80"/>
              <w:right w:type="dxa" w:w="100"/>
            </w:tcMar>
            <w:vAlign w:val="center"/>
          </w:tcPr>
          <w:p>
            <w:r>
              <w:t xml:space="preserve">RSVP dashboard</w:t>
            </w:r>
          </w:p>
        </w:tc>
        <w:tc>
          <w:tcPr>
            <w:tcW w:type="dxa" w:w="6880"/>
            <w:shd w:fill="F2ECF9" w:val="clear"/>
            <w:tcMar>
              <w:top w:type="dxa" w:w="80"/>
              <w:left w:type="dxa" w:w="100"/>
              <w:bottom w:type="dxa" w:w="80"/>
              <w:right w:type="dxa" w:w="100"/>
            </w:tcMar>
            <w:vAlign w:val="center"/>
          </w:tcPr>
          <w:p>
            <w:r>
              <w:t xml:space="preserve">Live count of RSVPs, basic attendee list export.</w:t>
            </w:r>
          </w:p>
        </w:tc>
        <w:tc>
          <w:tcPr>
            <w:tcW w:type="dxa" w:w="1000"/>
            <w:shd w:fill="F2ECF9" w:val="clear"/>
            <w:tcMar>
              <w:top w:type="dxa" w:w="80"/>
              <w:left w:type="dxa" w:w="100"/>
              <w:bottom w:type="dxa" w:w="80"/>
              <w:right w:type="dxa" w:w="100"/>
            </w:tcMar>
            <w:vAlign w:val="center"/>
          </w:tcPr>
          <w:p>
            <w:r>
              <w:t xml:space="preserve">v1</w:t>
            </w:r>
          </w:p>
        </w:tc>
      </w:tr>
      <w:tr>
        <w:tc>
          <w:tcPr>
            <w:tcW w:type="dxa" w:w="2200"/>
            <w:shd w:fill="FFFFFF" w:val="clear"/>
            <w:tcMar>
              <w:top w:type="dxa" w:w="80"/>
              <w:left w:type="dxa" w:w="100"/>
              <w:bottom w:type="dxa" w:w="80"/>
              <w:right w:type="dxa" w:w="100"/>
            </w:tcMar>
            <w:vAlign w:val="center"/>
          </w:tcPr>
          <w:p>
            <w:r>
              <w:t xml:space="preserve">QR check-in scanner</w:t>
            </w:r>
          </w:p>
        </w:tc>
        <w:tc>
          <w:tcPr>
            <w:tcW w:type="dxa" w:w="6880"/>
            <w:shd w:fill="FFFFFF" w:val="clear"/>
            <w:tcMar>
              <w:top w:type="dxa" w:w="80"/>
              <w:left w:type="dxa" w:w="100"/>
              <w:bottom w:type="dxa" w:w="80"/>
              <w:right w:type="dxa" w:w="100"/>
            </w:tcMar>
            <w:vAlign w:val="center"/>
          </w:tcPr>
          <w:p>
            <w:r>
              <w:t xml:space="preserve">In-app camera scanner; validates Ed25519-signed tokens offline (§5.5), syncs and reconciles when connectivity returns.</w:t>
            </w:r>
          </w:p>
        </w:tc>
        <w:tc>
          <w:tcPr>
            <w:tcW w:type="dxa" w:w="1000"/>
            <w:shd w:fill="FFFFFF" w:val="clear"/>
            <w:tcMar>
              <w:top w:type="dxa" w:w="80"/>
              <w:left w:type="dxa" w:w="100"/>
              <w:bottom w:type="dxa" w:w="80"/>
              <w:right w:type="dxa" w:w="100"/>
            </w:tcMar>
            <w:vAlign w:val="center"/>
          </w:tcPr>
          <w:p>
            <w:r>
              <w:t xml:space="preserve">v1</w:t>
            </w:r>
          </w:p>
        </w:tc>
      </w:tr>
      <w:tr>
        <w:tc>
          <w:tcPr>
            <w:tcW w:type="dxa" w:w="2200"/>
            <w:shd w:fill="F2ECF9" w:val="clear"/>
            <w:tcMar>
              <w:top w:type="dxa" w:w="80"/>
              <w:left w:type="dxa" w:w="100"/>
              <w:bottom w:type="dxa" w:w="80"/>
              <w:right w:type="dxa" w:w="100"/>
            </w:tcMar>
            <w:vAlign w:val="center"/>
          </w:tcPr>
          <w:p>
            <w:r>
              <w:t xml:space="preserve">Paid ticketing (tiers, pricing)</w:t>
            </w:r>
          </w:p>
        </w:tc>
        <w:tc>
          <w:tcPr>
            <w:tcW w:type="dxa" w:w="6880"/>
            <w:shd w:fill="F2ECF9" w:val="clear"/>
            <w:tcMar>
              <w:top w:type="dxa" w:w="80"/>
              <w:left w:type="dxa" w:w="100"/>
              <w:bottom w:type="dxa" w:w="80"/>
              <w:right w:type="dxa" w:w="100"/>
            </w:tcMar>
            <w:vAlign w:val="center"/>
          </w:tcPr>
          <w:p>
            <w:r>
              <w:t xml:space="preserve">Regular/VIP tiers, pricing, capacity per tier.</w:t>
            </w:r>
          </w:p>
        </w:tc>
        <w:tc>
          <w:tcPr>
            <w:tcW w:type="dxa" w:w="1000"/>
            <w:shd w:fill="F2ECF9" w:val="clear"/>
            <w:tcMar>
              <w:top w:type="dxa" w:w="80"/>
              <w:left w:type="dxa" w:w="100"/>
              <w:bottom w:type="dxa" w:w="80"/>
              <w:right w:type="dxa" w:w="100"/>
            </w:tcMar>
            <w:vAlign w:val="center"/>
          </w:tcPr>
          <w:p>
            <w:r>
              <w:t xml:space="preserve">v2+</w:t>
            </w:r>
          </w:p>
        </w:tc>
      </w:tr>
      <w:tr>
        <w:tc>
          <w:tcPr>
            <w:tcW w:type="dxa" w:w="2200"/>
            <w:shd w:fill="FFFFFF" w:val="clear"/>
            <w:tcMar>
              <w:top w:type="dxa" w:w="80"/>
              <w:left w:type="dxa" w:w="100"/>
              <w:bottom w:type="dxa" w:w="80"/>
              <w:right w:type="dxa" w:w="100"/>
            </w:tcMar>
            <w:vAlign w:val="center"/>
          </w:tcPr>
          <w:p>
            <w:r>
              <w:t xml:space="preserve">Payment processor integration</w:t>
            </w:r>
          </w:p>
        </w:tc>
        <w:tc>
          <w:tcPr>
            <w:tcW w:type="dxa" w:w="6880"/>
            <w:shd w:fill="FFFFFF" w:val="clear"/>
            <w:tcMar>
              <w:top w:type="dxa" w:w="80"/>
              <w:left w:type="dxa" w:w="100"/>
              <w:bottom w:type="dxa" w:w="80"/>
              <w:right w:type="dxa" w:w="100"/>
            </w:tcMar>
            <w:vAlign w:val="center"/>
          </w:tcPr>
          <w:p>
            <w:r>
              <w:t xml:space="preserve">Paystack/Flutterwave checkout.</w:t>
            </w:r>
          </w:p>
        </w:tc>
        <w:tc>
          <w:tcPr>
            <w:tcW w:type="dxa" w:w="1000"/>
            <w:shd w:fill="FFFFFF" w:val="clear"/>
            <w:tcMar>
              <w:top w:type="dxa" w:w="80"/>
              <w:left w:type="dxa" w:w="100"/>
              <w:bottom w:type="dxa" w:w="80"/>
              <w:right w:type="dxa" w:w="100"/>
            </w:tcMar>
            <w:vAlign w:val="center"/>
          </w:tcPr>
          <w:p>
            <w:r>
              <w:t xml:space="preserve">v2+</w:t>
            </w:r>
          </w:p>
        </w:tc>
      </w:tr>
      <w:tr>
        <w:tc>
          <w:tcPr>
            <w:tcW w:type="dxa" w:w="2200"/>
            <w:shd w:fill="F2ECF9" w:val="clear"/>
            <w:tcMar>
              <w:top w:type="dxa" w:w="80"/>
              <w:left w:type="dxa" w:w="100"/>
              <w:bottom w:type="dxa" w:w="80"/>
              <w:right w:type="dxa" w:w="100"/>
            </w:tcMar>
            <w:vAlign w:val="center"/>
          </w:tcPr>
          <w:p>
            <w:r>
              <w:t xml:space="preserve">Payout management</w:t>
            </w:r>
          </w:p>
        </w:tc>
        <w:tc>
          <w:tcPr>
            <w:tcW w:type="dxa" w:w="6880"/>
            <w:shd w:fill="F2ECF9" w:val="clear"/>
            <w:tcMar>
              <w:top w:type="dxa" w:w="80"/>
              <w:left w:type="dxa" w:w="100"/>
              <w:bottom w:type="dxa" w:w="80"/>
              <w:right w:type="dxa" w:w="100"/>
            </w:tcMar>
            <w:vAlign w:val="center"/>
          </w:tcPr>
          <w:p>
            <w:r>
              <w:t xml:space="preserve">Organizer bank details, payout schedule, fee transparency.</w:t>
            </w:r>
          </w:p>
        </w:tc>
        <w:tc>
          <w:tcPr>
            <w:tcW w:type="dxa" w:w="1000"/>
            <w:shd w:fill="F2ECF9" w:val="clear"/>
            <w:tcMar>
              <w:top w:type="dxa" w:w="80"/>
              <w:left w:type="dxa" w:w="100"/>
              <w:bottom w:type="dxa" w:w="80"/>
              <w:right w:type="dxa" w:w="100"/>
            </w:tcMar>
            <w:vAlign w:val="center"/>
          </w:tcPr>
          <w:p>
            <w:r>
              <w:t xml:space="preserve">v2+</w:t>
            </w:r>
          </w:p>
        </w:tc>
      </w:tr>
      <w:tr>
        <w:tc>
          <w:tcPr>
            <w:tcW w:type="dxa" w:w="2200"/>
            <w:shd w:fill="FFFFFF" w:val="clear"/>
            <w:tcMar>
              <w:top w:type="dxa" w:w="80"/>
              <w:left w:type="dxa" w:w="100"/>
              <w:bottom w:type="dxa" w:w="80"/>
              <w:right w:type="dxa" w:w="100"/>
            </w:tcMar>
            <w:vAlign w:val="center"/>
          </w:tcPr>
          <w:p>
            <w:r>
              <w:t xml:space="preserve">Event analytics</w:t>
            </w:r>
          </w:p>
        </w:tc>
        <w:tc>
          <w:tcPr>
            <w:tcW w:type="dxa" w:w="6880"/>
            <w:shd w:fill="FFFFFF" w:val="clear"/>
            <w:tcMar>
              <w:top w:type="dxa" w:w="80"/>
              <w:left w:type="dxa" w:w="100"/>
              <w:bottom w:type="dxa" w:w="80"/>
              <w:right w:type="dxa" w:w="100"/>
            </w:tcMar>
            <w:vAlign w:val="center"/>
          </w:tcPr>
          <w:p>
            <w:r>
              <w:t xml:space="preserve">Views, RSVP conversion, check-in rate. Basic counts only in v1.</w:t>
            </w:r>
          </w:p>
        </w:tc>
        <w:tc>
          <w:tcPr>
            <w:tcW w:type="dxa" w:w="1000"/>
            <w:shd w:fill="FFFFFF" w:val="clear"/>
            <w:tcMar>
              <w:top w:type="dxa" w:w="80"/>
              <w:left w:type="dxa" w:w="100"/>
              <w:bottom w:type="dxa" w:w="80"/>
              <w:right w:type="dxa" w:w="100"/>
            </w:tcMar>
            <w:vAlign w:val="center"/>
          </w:tcPr>
          <w:p>
            <w:r>
              <w:t xml:space="preserve">v1 — limited</w:t>
            </w:r>
          </w:p>
        </w:tc>
      </w:tr>
      <w:tr>
        <w:tc>
          <w:tcPr>
            <w:tcW w:type="dxa" w:w="2200"/>
            <w:shd w:fill="F2ECF9" w:val="clear"/>
            <w:tcMar>
              <w:top w:type="dxa" w:w="80"/>
              <w:left w:type="dxa" w:w="100"/>
              <w:bottom w:type="dxa" w:w="80"/>
              <w:right w:type="dxa" w:w="100"/>
            </w:tcMar>
            <w:vAlign w:val="center"/>
          </w:tcPr>
          <w:p>
            <w:r>
              <w:t xml:space="preserve">Multi-admin club accounts</w:t>
            </w:r>
          </w:p>
        </w:tc>
        <w:tc>
          <w:tcPr>
            <w:tcW w:type="dxa" w:w="6880"/>
            <w:shd w:fill="F2ECF9" w:val="clear"/>
            <w:tcMar>
              <w:top w:type="dxa" w:w="80"/>
              <w:left w:type="dxa" w:w="100"/>
              <w:bottom w:type="dxa" w:w="80"/>
              <w:right w:type="dxa" w:w="100"/>
            </w:tcMar>
            <w:vAlign w:val="center"/>
          </w:tcPr>
          <w:p>
            <w:r>
              <w:t xml:space="preserve">Multiple students managing one club's account. Single owner_user_id per organizer in v1 — a known gap for events staffed by more than one scanner at the door.</w:t>
            </w:r>
          </w:p>
        </w:tc>
        <w:tc>
          <w:tcPr>
            <w:tcW w:type="dxa" w:w="1000"/>
            <w:shd w:fill="F2ECF9" w:val="clear"/>
            <w:tcMar>
              <w:top w:type="dxa" w:w="80"/>
              <w:left w:type="dxa" w:w="100"/>
              <w:bottom w:type="dxa" w:w="80"/>
              <w:right w:type="dxa" w:w="100"/>
            </w:tcMar>
            <w:vAlign w:val="center"/>
          </w:tcPr>
          <w:p>
            <w:r>
              <w:t xml:space="preserve">v2+</w:t>
            </w:r>
          </w:p>
        </w:tc>
      </w:tr>
    </w:tbl>
    <w:p>
      <w:pPr>
        <w:pStyle w:val="Heading2"/>
        <w:spacing w:after="120" w:before="280"/>
      </w:pPr>
      <w:r>
        <w:t xml:space="preserve">3.3 Platform / shared</w:t>
      </w:r>
    </w:p>
    <w:tbl>
      <w:tblPr>
        <w:tblW w:type="dxa" w:w="10080"/>
        <w:tblBorders>
          <w:top w:val="single" w:color="D9D2E9" w:sz="4"/>
          <w:left w:val="single" w:color="D9D2E9" w:sz="4"/>
          <w:bottom w:val="single" w:color="D9D2E9" w:sz="4"/>
          <w:right w:val="single" w:color="D9D2E9" w:sz="4"/>
          <w:insideH w:val="single" w:color="D9D2E9" w:sz="4"/>
          <w:insideV w:val="single" w:color="D9D2E9" w:sz="4"/>
        </w:tblBorders>
      </w:tblPr>
      <w:tblGrid>
        <w:gridCol w:w="2200"/>
        <w:gridCol w:w="6880"/>
        <w:gridCol w:w="1000"/>
      </w:tblGrid>
      <w:tr>
        <w:trPr>
          <w:tblHeader/>
        </w:trPr>
        <w:tc>
          <w:tcPr>
            <w:tcW w:type="dxa" w:w="2200"/>
            <w:shd w:fill="1B1330" w:val="clear"/>
            <w:tcMar>
              <w:top w:type="dxa" w:w="90"/>
              <w:left w:type="dxa" w:w="100"/>
              <w:bottom w:type="dxa" w:w="90"/>
              <w:right w:type="dxa" w:w="100"/>
            </w:tcMar>
            <w:vAlign w:val="center"/>
          </w:tcPr>
          <w:p>
            <w:r>
              <w:rPr>
                <w:b/>
                <w:bCs/>
                <w:color w:val="FFFFFF"/>
              </w:rPr>
              <w:t xml:space="preserve">Feature</w:t>
            </w:r>
          </w:p>
        </w:tc>
        <w:tc>
          <w:tcPr>
            <w:tcW w:type="dxa" w:w="6880"/>
            <w:shd w:fill="1B1330" w:val="clear"/>
            <w:tcMar>
              <w:top w:type="dxa" w:w="90"/>
              <w:left w:type="dxa" w:w="100"/>
              <w:bottom w:type="dxa" w:w="90"/>
              <w:right w:type="dxa" w:w="100"/>
            </w:tcMar>
            <w:vAlign w:val="center"/>
          </w:tcPr>
          <w:p>
            <w:r>
              <w:rPr>
                <w:b/>
                <w:bCs/>
                <w:color w:val="FFFFFF"/>
              </w:rPr>
              <w:t xml:space="preserve">Notes</w:t>
            </w:r>
          </w:p>
        </w:tc>
        <w:tc>
          <w:tcPr>
            <w:tcW w:type="dxa" w:w="1000"/>
            <w:shd w:fill="1B1330" w:val="clear"/>
            <w:tcMar>
              <w:top w:type="dxa" w:w="90"/>
              <w:left w:type="dxa" w:w="100"/>
              <w:bottom w:type="dxa" w:w="90"/>
              <w:right w:type="dxa" w:w="100"/>
            </w:tcMar>
            <w:vAlign w:val="center"/>
          </w:tcPr>
          <w:p>
            <w:r>
              <w:rPr>
                <w:b/>
                <w:bCs/>
                <w:color w:val="FFFFFF"/>
              </w:rPr>
              <w:t xml:space="preserve">Status</w:t>
            </w:r>
          </w:p>
        </w:tc>
      </w:tr>
      <w:tr>
        <w:tc>
          <w:tcPr>
            <w:tcW w:type="dxa" w:w="2200"/>
            <w:shd w:fill="FFFFFF" w:val="clear"/>
            <w:tcMar>
              <w:top w:type="dxa" w:w="80"/>
              <w:left w:type="dxa" w:w="100"/>
              <w:bottom w:type="dxa" w:w="80"/>
              <w:right w:type="dxa" w:w="100"/>
            </w:tcMar>
            <w:vAlign w:val="center"/>
          </w:tcPr>
          <w:p>
            <w:r>
              <w:t xml:space="preserve">Push notifications</w:t>
            </w:r>
          </w:p>
        </w:tc>
        <w:tc>
          <w:tcPr>
            <w:tcW w:type="dxa" w:w="6880"/>
            <w:shd w:fill="FFFFFF" w:val="clear"/>
            <w:tcMar>
              <w:top w:type="dxa" w:w="80"/>
              <w:left w:type="dxa" w:w="100"/>
              <w:bottom w:type="dxa" w:w="80"/>
              <w:right w:type="dxa" w:w="100"/>
            </w:tcMar>
            <w:vAlign w:val="center"/>
          </w:tcPr>
          <w:p>
            <w:r>
              <w:t xml:space="preserve">Event starting soon, new story from followed organizer, event cancellation.</w:t>
            </w:r>
          </w:p>
        </w:tc>
        <w:tc>
          <w:tcPr>
            <w:tcW w:type="dxa" w:w="1000"/>
            <w:shd w:fill="FFFFFF" w:val="clear"/>
            <w:tcMar>
              <w:top w:type="dxa" w:w="80"/>
              <w:left w:type="dxa" w:w="100"/>
              <w:bottom w:type="dxa" w:w="80"/>
              <w:right w:type="dxa" w:w="100"/>
            </w:tcMar>
            <w:vAlign w:val="center"/>
          </w:tcPr>
          <w:p>
            <w:r>
              <w:t xml:space="preserve">v1</w:t>
            </w:r>
          </w:p>
        </w:tc>
      </w:tr>
      <w:tr>
        <w:tc>
          <w:tcPr>
            <w:tcW w:type="dxa" w:w="2200"/>
            <w:shd w:fill="F2ECF9" w:val="clear"/>
            <w:tcMar>
              <w:top w:type="dxa" w:w="80"/>
              <w:left w:type="dxa" w:w="100"/>
              <w:bottom w:type="dxa" w:w="80"/>
              <w:right w:type="dxa" w:w="100"/>
            </w:tcMar>
            <w:vAlign w:val="center"/>
          </w:tcPr>
          <w:p>
            <w:r>
              <w:t xml:space="preserve">Multi-campus support</w:t>
            </w:r>
          </w:p>
        </w:tc>
        <w:tc>
          <w:tcPr>
            <w:tcW w:type="dxa" w:w="6880"/>
            <w:shd w:fill="F2ECF9" w:val="clear"/>
            <w:tcMar>
              <w:top w:type="dxa" w:w="80"/>
              <w:left w:type="dxa" w:w="100"/>
              <w:bottom w:type="dxa" w:w="80"/>
              <w:right w:type="dxa" w:w="100"/>
            </w:tcMar>
            <w:vAlign w:val="center"/>
          </w:tcPr>
          <w:p>
            <w:r>
              <w:t xml:space="preserve">Campus-scoping in data model, UI, and discovery.</w:t>
            </w:r>
          </w:p>
        </w:tc>
        <w:tc>
          <w:tcPr>
            <w:tcW w:type="dxa" w:w="1000"/>
            <w:shd w:fill="F2ECF9" w:val="clear"/>
            <w:tcMar>
              <w:top w:type="dxa" w:w="80"/>
              <w:left w:type="dxa" w:w="100"/>
              <w:bottom w:type="dxa" w:w="80"/>
              <w:right w:type="dxa" w:w="100"/>
            </w:tcMar>
            <w:vAlign w:val="center"/>
          </w:tcPr>
          <w:p>
            <w:r>
              <w:t xml:space="preserve">v2+</w:t>
            </w:r>
          </w:p>
        </w:tc>
      </w:tr>
      <w:tr>
        <w:tc>
          <w:tcPr>
            <w:tcW w:type="dxa" w:w="2200"/>
            <w:shd w:fill="FFFFFF" w:val="clear"/>
            <w:tcMar>
              <w:top w:type="dxa" w:w="80"/>
              <w:left w:type="dxa" w:w="100"/>
              <w:bottom w:type="dxa" w:w="80"/>
              <w:right w:type="dxa" w:w="100"/>
            </w:tcMar>
            <w:vAlign w:val="center"/>
          </w:tcPr>
          <w:p>
            <w:r>
              <w:t xml:space="preserve">Admin / moderation tooling</w:t>
            </w:r>
          </w:p>
        </w:tc>
        <w:tc>
          <w:tcPr>
            <w:tcW w:type="dxa" w:w="6880"/>
            <w:shd w:fill="FFFFFF" w:val="clear"/>
            <w:tcMar>
              <w:top w:type="dxa" w:w="80"/>
              <w:left w:type="dxa" w:w="100"/>
              <w:bottom w:type="dxa" w:w="80"/>
              <w:right w:type="dxa" w:w="100"/>
            </w:tcMar>
            <w:vAlign w:val="center"/>
          </w:tcPr>
          <w:p>
            <w:r>
              <w:t xml:space="preserve">Report event, suspend organizer, content review queue.</w:t>
            </w:r>
          </w:p>
        </w:tc>
        <w:tc>
          <w:tcPr>
            <w:tcW w:type="dxa" w:w="1000"/>
            <w:shd w:fill="FFFFFF" w:val="clear"/>
            <w:tcMar>
              <w:top w:type="dxa" w:w="80"/>
              <w:left w:type="dxa" w:w="100"/>
              <w:bottom w:type="dxa" w:w="80"/>
              <w:right w:type="dxa" w:w="100"/>
            </w:tcMar>
            <w:vAlign w:val="center"/>
          </w:tcPr>
          <w:p>
            <w:r>
              <w:t xml:space="preserve">v1 — limited</w:t>
            </w:r>
          </w:p>
        </w:tc>
      </w:tr>
      <w:tr>
        <w:tc>
          <w:tcPr>
            <w:tcW w:type="dxa" w:w="2200"/>
            <w:shd w:fill="F2ECF9" w:val="clear"/>
            <w:tcMar>
              <w:top w:type="dxa" w:w="80"/>
              <w:left w:type="dxa" w:w="100"/>
              <w:bottom w:type="dxa" w:w="80"/>
              <w:right w:type="dxa" w:w="100"/>
            </w:tcMar>
            <w:vAlign w:val="center"/>
          </w:tcPr>
          <w:p>
            <w:r>
              <w:t xml:space="preserve">Offline-tolerant check-in</w:t>
            </w:r>
          </w:p>
        </w:tc>
        <w:tc>
          <w:tcPr>
            <w:tcW w:type="dxa" w:w="6880"/>
            <w:shd w:fill="F2ECF9" w:val="clear"/>
            <w:tcMar>
              <w:top w:type="dxa" w:w="80"/>
              <w:left w:type="dxa" w:w="100"/>
              <w:bottom w:type="dxa" w:w="80"/>
              <w:right w:type="dxa" w:w="100"/>
            </w:tcMar>
            <w:vAlign w:val="center"/>
          </w:tcPr>
          <w:p>
            <w:r>
              <w:t xml:space="preserve">Moved from v2+ to v1. Scanner validates Ed25519-signed tokens on-device with no network call; scans are logged locally and synced/reconciled when connectivity returns. Replaces the v1.0 "requires live connectivity" assumption.</w:t>
            </w:r>
          </w:p>
        </w:tc>
        <w:tc>
          <w:tcPr>
            <w:tcW w:type="dxa" w:w="1000"/>
            <w:shd w:fill="F2ECF9" w:val="clear"/>
            <w:tcMar>
              <w:top w:type="dxa" w:w="80"/>
              <w:left w:type="dxa" w:w="100"/>
              <w:bottom w:type="dxa" w:w="80"/>
              <w:right w:type="dxa" w:w="100"/>
            </w:tcMar>
            <w:vAlign w:val="center"/>
          </w:tcPr>
          <w:p>
            <w:r>
              <w:t xml:space="preserve">v1</w:t>
            </w:r>
          </w:p>
        </w:tc>
      </w:tr>
    </w:tbl>
    <w:p>
      <w:pPr>
        <w:pStyle w:val="Heading1"/>
        <w:spacing w:after="160" w:before="360"/>
      </w:pPr>
      <w:r>
        <w:t xml:space="preserve">4. Core User Flows</w:t>
      </w:r>
    </w:p>
    <w:p>
      <w:pPr>
        <w:spacing w:after="160"/>
      </w:pPr>
      <w:r>
        <w:t xml:space="preserve">These are the two flows the entire v1 build exists to support. Every screen in the UX spec should trace back to a step here.</w:t>
      </w:r>
    </w:p>
    <w:p>
      <w:pPr>
        <w:pStyle w:val="Heading2"/>
        <w:spacing w:after="120" w:before="280"/>
      </w:pPr>
      <w:r>
        <w:t xml:space="preserve">4.1 Attendee flow: Discover → RSVP → Check in</w:t>
      </w:r>
    </w:p>
    <w:tbl>
      <w:tblPr>
        <w:tblW w:type="dxa" w:w="10080"/>
        <w:tblBorders>
          <w:top w:val="single" w:color="D9D2E9" w:sz="4"/>
          <w:left w:val="single" w:color="D9D2E9" w:sz="4"/>
          <w:bottom w:val="single" w:color="D9D2E9" w:sz="4"/>
          <w:right w:val="single" w:color="D9D2E9" w:sz="4"/>
          <w:insideH w:val="single" w:color="D9D2E9" w:sz="4"/>
          <w:insideV w:val="single" w:color="D9D2E9" w:sz="4"/>
        </w:tblBorders>
      </w:tblPr>
      <w:tblGrid>
        <w:gridCol w:w="420"/>
        <w:gridCol w:w="1700"/>
        <w:gridCol w:w="1900"/>
        <w:gridCol w:w="6060"/>
      </w:tblGrid>
      <w:tr>
        <w:trPr>
          <w:tblHeader/>
        </w:trPr>
        <w:tc>
          <w:tcPr>
            <w:tcW w:type="dxa" w:w="420"/>
            <w:shd w:fill="1B1330" w:val="clear"/>
            <w:tcMar>
              <w:top w:type="dxa" w:w="90"/>
              <w:left w:type="dxa" w:w="100"/>
              <w:bottom w:type="dxa" w:w="90"/>
              <w:right w:type="dxa" w:w="100"/>
            </w:tcMar>
            <w:vAlign w:val="center"/>
          </w:tcPr>
          <w:p>
            <w:r>
              <w:rPr>
                <w:b/>
                <w:bCs/>
                <w:color w:val="FFFFFF"/>
              </w:rPr>
              <w:t xml:space="preserve">#</w:t>
            </w:r>
          </w:p>
        </w:tc>
        <w:tc>
          <w:tcPr>
            <w:tcW w:type="dxa" w:w="1700"/>
            <w:shd w:fill="1B1330" w:val="clear"/>
            <w:tcMar>
              <w:top w:type="dxa" w:w="90"/>
              <w:left w:type="dxa" w:w="100"/>
              <w:bottom w:type="dxa" w:w="90"/>
              <w:right w:type="dxa" w:w="100"/>
            </w:tcMar>
            <w:vAlign w:val="center"/>
          </w:tcPr>
          <w:p>
            <w:r>
              <w:rPr>
                <w:b/>
                <w:bCs/>
                <w:color w:val="FFFFFF"/>
              </w:rPr>
              <w:t xml:space="preserve">User action</w:t>
            </w:r>
          </w:p>
        </w:tc>
        <w:tc>
          <w:tcPr>
            <w:tcW w:type="dxa" w:w="1900"/>
            <w:shd w:fill="1B1330" w:val="clear"/>
            <w:tcMar>
              <w:top w:type="dxa" w:w="90"/>
              <w:left w:type="dxa" w:w="100"/>
              <w:bottom w:type="dxa" w:w="90"/>
              <w:right w:type="dxa" w:w="100"/>
            </w:tcMar>
            <w:vAlign w:val="center"/>
          </w:tcPr>
          <w:p>
            <w:r>
              <w:rPr>
                <w:b/>
                <w:bCs/>
                <w:color w:val="FFFFFF"/>
              </w:rPr>
              <w:t xml:space="preserve">Screen / surface</w:t>
            </w:r>
          </w:p>
        </w:tc>
        <w:tc>
          <w:tcPr>
            <w:tcW w:type="dxa" w:w="6060"/>
            <w:shd w:fill="1B1330" w:val="clear"/>
            <w:tcMar>
              <w:top w:type="dxa" w:w="90"/>
              <w:left w:type="dxa" w:w="100"/>
              <w:bottom w:type="dxa" w:w="90"/>
              <w:right w:type="dxa" w:w="100"/>
            </w:tcMar>
            <w:vAlign w:val="center"/>
          </w:tcPr>
          <w:p>
            <w:r>
              <w:rPr>
                <w:b/>
                <w:bCs/>
                <w:color w:val="FFFFFF"/>
              </w:rPr>
              <w:t xml:space="preserve">System behavior</w:t>
            </w:r>
          </w:p>
        </w:tc>
      </w:tr>
      <w:tr>
        <w:tc>
          <w:tcPr>
            <w:tcW w:type="dxa" w:w="420"/>
            <w:shd w:fill="FFFFFF" w:val="clear"/>
            <w:tcMar>
              <w:top w:type="dxa" w:w="80"/>
              <w:left w:type="dxa" w:w="100"/>
              <w:bottom w:type="dxa" w:w="80"/>
              <w:right w:type="dxa" w:w="100"/>
            </w:tcMar>
            <w:vAlign w:val="center"/>
          </w:tcPr>
          <w:p>
            <w:r>
              <w:t xml:space="preserve">1</w:t>
            </w:r>
          </w:p>
        </w:tc>
        <w:tc>
          <w:tcPr>
            <w:tcW w:type="dxa" w:w="1700"/>
            <w:shd w:fill="FFFFFF" w:val="clear"/>
            <w:tcMar>
              <w:top w:type="dxa" w:w="80"/>
              <w:left w:type="dxa" w:w="100"/>
              <w:bottom w:type="dxa" w:w="80"/>
              <w:right w:type="dxa" w:w="100"/>
            </w:tcMar>
            <w:vAlign w:val="center"/>
          </w:tcPr>
          <w:p>
            <w:r>
              <w:t xml:space="preserve">Opens app</w:t>
            </w:r>
          </w:p>
        </w:tc>
        <w:tc>
          <w:tcPr>
            <w:tcW w:type="dxa" w:w="1900"/>
            <w:shd w:fill="FFFFFF" w:val="clear"/>
            <w:tcMar>
              <w:top w:type="dxa" w:w="80"/>
              <w:left w:type="dxa" w:w="100"/>
              <w:bottom w:type="dxa" w:w="80"/>
              <w:right w:type="dxa" w:w="100"/>
            </w:tcMar>
            <w:vAlign w:val="center"/>
          </w:tcPr>
          <w:p>
            <w:r>
              <w:t xml:space="preserve">Feed (home screen)</w:t>
            </w:r>
          </w:p>
        </w:tc>
        <w:tc>
          <w:tcPr>
            <w:tcW w:type="dxa" w:w="6060"/>
            <w:shd w:fill="FFFFFF" w:val="clear"/>
            <w:tcMar>
              <w:top w:type="dxa" w:w="80"/>
              <w:left w:type="dxa" w:w="100"/>
              <w:bottom w:type="dxa" w:w="80"/>
              <w:right w:type="dxa" w:w="100"/>
            </w:tcMar>
            <w:vAlign w:val="center"/>
          </w:tcPr>
          <w:p>
            <w:r>
              <w:t xml:space="preserve">Loads events ranked by recency, optionally filtered by category (§3.0); loads active Stories row at top.</w:t>
            </w:r>
          </w:p>
        </w:tc>
      </w:tr>
      <w:tr>
        <w:tc>
          <w:tcPr>
            <w:tcW w:type="dxa" w:w="420"/>
            <w:shd w:fill="F2ECF9" w:val="clear"/>
            <w:tcMar>
              <w:top w:type="dxa" w:w="80"/>
              <w:left w:type="dxa" w:w="100"/>
              <w:bottom w:type="dxa" w:w="80"/>
              <w:right w:type="dxa" w:w="100"/>
            </w:tcMar>
            <w:vAlign w:val="center"/>
          </w:tcPr>
          <w:p>
            <w:r>
              <w:t xml:space="preserve">2</w:t>
            </w:r>
          </w:p>
        </w:tc>
        <w:tc>
          <w:tcPr>
            <w:tcW w:type="dxa" w:w="1700"/>
            <w:shd w:fill="F2ECF9" w:val="clear"/>
            <w:tcMar>
              <w:top w:type="dxa" w:w="80"/>
              <w:left w:type="dxa" w:w="100"/>
              <w:bottom w:type="dxa" w:w="80"/>
              <w:right w:type="dxa" w:w="100"/>
            </w:tcMar>
            <w:vAlign w:val="center"/>
          </w:tcPr>
          <w:p>
            <w:r>
              <w:t xml:space="preserve">Taps a Story</w:t>
            </w:r>
          </w:p>
        </w:tc>
        <w:tc>
          <w:tcPr>
            <w:tcW w:type="dxa" w:w="1900"/>
            <w:shd w:fill="F2ECF9" w:val="clear"/>
            <w:tcMar>
              <w:top w:type="dxa" w:w="80"/>
              <w:left w:type="dxa" w:w="100"/>
              <w:bottom w:type="dxa" w:w="80"/>
              <w:right w:type="dxa" w:w="100"/>
            </w:tcMar>
            <w:vAlign w:val="center"/>
          </w:tcPr>
          <w:p>
            <w:r>
              <w:t xml:space="preserve">Story viewer (full-screen)</w:t>
            </w:r>
          </w:p>
        </w:tc>
        <w:tc>
          <w:tcPr>
            <w:tcW w:type="dxa" w:w="6060"/>
            <w:shd w:fill="F2ECF9" w:val="clear"/>
            <w:tcMar>
              <w:top w:type="dxa" w:w="80"/>
              <w:left w:type="dxa" w:w="100"/>
              <w:bottom w:type="dxa" w:w="80"/>
              <w:right w:type="dxa" w:w="100"/>
            </w:tcMar>
            <w:vAlign w:val="center"/>
          </w:tcPr>
          <w:p>
            <w:r>
              <w:t xml:space="preserve">Plays 24h ephemeral content; taps through to event detail if a CTA is attached.</w:t>
            </w:r>
          </w:p>
        </w:tc>
      </w:tr>
      <w:tr>
        <w:tc>
          <w:tcPr>
            <w:tcW w:type="dxa" w:w="420"/>
            <w:shd w:fill="FFFFFF" w:val="clear"/>
            <w:tcMar>
              <w:top w:type="dxa" w:w="80"/>
              <w:left w:type="dxa" w:w="100"/>
              <w:bottom w:type="dxa" w:w="80"/>
              <w:right w:type="dxa" w:w="100"/>
            </w:tcMar>
            <w:vAlign w:val="center"/>
          </w:tcPr>
          <w:p>
            <w:r>
              <w:t xml:space="preserve">3</w:t>
            </w:r>
          </w:p>
        </w:tc>
        <w:tc>
          <w:tcPr>
            <w:tcW w:type="dxa" w:w="1700"/>
            <w:shd w:fill="FFFFFF" w:val="clear"/>
            <w:tcMar>
              <w:top w:type="dxa" w:w="80"/>
              <w:left w:type="dxa" w:w="100"/>
              <w:bottom w:type="dxa" w:w="80"/>
              <w:right w:type="dxa" w:w="100"/>
            </w:tcMar>
            <w:vAlign w:val="center"/>
          </w:tcPr>
          <w:p>
            <w:r>
              <w:t xml:space="preserve">Taps an event card</w:t>
            </w:r>
          </w:p>
        </w:tc>
        <w:tc>
          <w:tcPr>
            <w:tcW w:type="dxa" w:w="1900"/>
            <w:shd w:fill="FFFFFF" w:val="clear"/>
            <w:tcMar>
              <w:top w:type="dxa" w:w="80"/>
              <w:left w:type="dxa" w:w="100"/>
              <w:bottom w:type="dxa" w:w="80"/>
              <w:right w:type="dxa" w:w="100"/>
            </w:tcMar>
            <w:vAlign w:val="center"/>
          </w:tcPr>
          <w:p>
            <w:r>
              <w:t xml:space="preserve">Event detail page</w:t>
            </w:r>
          </w:p>
        </w:tc>
        <w:tc>
          <w:tcPr>
            <w:tcW w:type="dxa" w:w="6060"/>
            <w:shd w:fill="FFFFFF" w:val="clear"/>
            <w:tcMar>
              <w:top w:type="dxa" w:w="80"/>
              <w:left w:type="dxa" w:w="100"/>
              <w:bottom w:type="dxa" w:w="80"/>
              <w:right w:type="dxa" w:w="100"/>
            </w:tcMar>
            <w:vAlign w:val="center"/>
          </w:tcPr>
          <w:p>
            <w:r>
              <w:t xml:space="preserve">Shows full description, time, location, category, host profile, live RSVP count.</w:t>
            </w:r>
          </w:p>
        </w:tc>
      </w:tr>
      <w:tr>
        <w:tc>
          <w:tcPr>
            <w:tcW w:type="dxa" w:w="420"/>
            <w:shd w:fill="F2ECF9" w:val="clear"/>
            <w:tcMar>
              <w:top w:type="dxa" w:w="80"/>
              <w:left w:type="dxa" w:w="100"/>
              <w:bottom w:type="dxa" w:w="80"/>
              <w:right w:type="dxa" w:w="100"/>
            </w:tcMar>
            <w:vAlign w:val="center"/>
          </w:tcPr>
          <w:p>
            <w:r>
              <w:t xml:space="preserve">4</w:t>
            </w:r>
          </w:p>
        </w:tc>
        <w:tc>
          <w:tcPr>
            <w:tcW w:type="dxa" w:w="1700"/>
            <w:shd w:fill="F2ECF9" w:val="clear"/>
            <w:tcMar>
              <w:top w:type="dxa" w:w="80"/>
              <w:left w:type="dxa" w:w="100"/>
              <w:bottom w:type="dxa" w:w="80"/>
              <w:right w:type="dxa" w:w="100"/>
            </w:tcMar>
            <w:vAlign w:val="center"/>
          </w:tcPr>
          <w:p>
            <w:r>
              <w:t xml:space="preserve">Taps "RSVP"</w:t>
            </w:r>
          </w:p>
        </w:tc>
        <w:tc>
          <w:tcPr>
            <w:tcW w:type="dxa" w:w="1900"/>
            <w:shd w:fill="F2ECF9" w:val="clear"/>
            <w:tcMar>
              <w:top w:type="dxa" w:w="80"/>
              <w:left w:type="dxa" w:w="100"/>
              <w:bottom w:type="dxa" w:w="80"/>
              <w:right w:type="dxa" w:w="100"/>
            </w:tcMar>
            <w:vAlign w:val="center"/>
          </w:tcPr>
          <w:p>
            <w:r>
              <w:t xml:space="preserve">Event detail page</w:t>
            </w:r>
          </w:p>
        </w:tc>
        <w:tc>
          <w:tcPr>
            <w:tcW w:type="dxa" w:w="6060"/>
            <w:shd w:fill="F2ECF9" w:val="clear"/>
            <w:tcMar>
              <w:top w:type="dxa" w:w="80"/>
              <w:left w:type="dxa" w:w="100"/>
              <w:bottom w:type="dxa" w:w="80"/>
              <w:right w:type="dxa" w:w="100"/>
            </w:tcMar>
            <w:vAlign w:val="center"/>
          </w:tcPr>
          <w:p>
            <w:r>
              <w:t xml:space="preserve">Confirms attendance synchronously (&lt; 1 sec, §5.2); generates a unique Ed25519-signed QR token tied to (user, event); adds event to "My Events."</w:t>
            </w:r>
          </w:p>
        </w:tc>
      </w:tr>
      <w:tr>
        <w:tc>
          <w:tcPr>
            <w:tcW w:type="dxa" w:w="420"/>
            <w:shd w:fill="FFFFFF" w:val="clear"/>
            <w:tcMar>
              <w:top w:type="dxa" w:w="80"/>
              <w:left w:type="dxa" w:w="100"/>
              <w:bottom w:type="dxa" w:w="80"/>
              <w:right w:type="dxa" w:w="100"/>
            </w:tcMar>
            <w:vAlign w:val="center"/>
          </w:tcPr>
          <w:p>
            <w:r>
              <w:t xml:space="preserve">5</w:t>
            </w:r>
          </w:p>
        </w:tc>
        <w:tc>
          <w:tcPr>
            <w:tcW w:type="dxa" w:w="1700"/>
            <w:shd w:fill="FFFFFF" w:val="clear"/>
            <w:tcMar>
              <w:top w:type="dxa" w:w="80"/>
              <w:left w:type="dxa" w:w="100"/>
              <w:bottom w:type="dxa" w:w="80"/>
              <w:right w:type="dxa" w:w="100"/>
            </w:tcMar>
            <w:vAlign w:val="center"/>
          </w:tcPr>
          <w:p>
            <w:r>
              <w:t xml:space="preserve">Gets reminder notification</w:t>
            </w:r>
          </w:p>
        </w:tc>
        <w:tc>
          <w:tcPr>
            <w:tcW w:type="dxa" w:w="1900"/>
            <w:shd w:fill="FFFFFF" w:val="clear"/>
            <w:tcMar>
              <w:top w:type="dxa" w:w="80"/>
              <w:left w:type="dxa" w:w="100"/>
              <w:bottom w:type="dxa" w:w="80"/>
              <w:right w:type="dxa" w:w="100"/>
            </w:tcMar>
            <w:vAlign w:val="center"/>
          </w:tcPr>
          <w:p>
            <w:r>
              <w:t xml:space="preserve">Push notification</w:t>
            </w:r>
          </w:p>
        </w:tc>
        <w:tc>
          <w:tcPr>
            <w:tcW w:type="dxa" w:w="6060"/>
            <w:shd w:fill="FFFFFF" w:val="clear"/>
            <w:tcMar>
              <w:top w:type="dxa" w:w="80"/>
              <w:left w:type="dxa" w:w="100"/>
              <w:bottom w:type="dxa" w:w="80"/>
              <w:right w:type="dxa" w:w="100"/>
            </w:tcMar>
            <w:vAlign w:val="center"/>
          </w:tcPr>
          <w:p>
            <w:r>
              <w:t xml:space="preserve">Sent ~30 min before event start to all RSVP'd attendees.</w:t>
            </w:r>
          </w:p>
        </w:tc>
      </w:tr>
      <w:tr>
        <w:tc>
          <w:tcPr>
            <w:tcW w:type="dxa" w:w="420"/>
            <w:shd w:fill="F2ECF9" w:val="clear"/>
            <w:tcMar>
              <w:top w:type="dxa" w:w="80"/>
              <w:left w:type="dxa" w:w="100"/>
              <w:bottom w:type="dxa" w:w="80"/>
              <w:right w:type="dxa" w:w="100"/>
            </w:tcMar>
            <w:vAlign w:val="center"/>
          </w:tcPr>
          <w:p>
            <w:r>
              <w:t xml:space="preserve">6</w:t>
            </w:r>
          </w:p>
        </w:tc>
        <w:tc>
          <w:tcPr>
            <w:tcW w:type="dxa" w:w="1700"/>
            <w:shd w:fill="F2ECF9" w:val="clear"/>
            <w:tcMar>
              <w:top w:type="dxa" w:w="80"/>
              <w:left w:type="dxa" w:w="100"/>
              <w:bottom w:type="dxa" w:w="80"/>
              <w:right w:type="dxa" w:w="100"/>
            </w:tcMar>
            <w:vAlign w:val="center"/>
          </w:tcPr>
          <w:p>
            <w:r>
              <w:t xml:space="preserve">Arrives at event, opens QR code</w:t>
            </w:r>
          </w:p>
        </w:tc>
        <w:tc>
          <w:tcPr>
            <w:tcW w:type="dxa" w:w="1900"/>
            <w:shd w:fill="F2ECF9" w:val="clear"/>
            <w:tcMar>
              <w:top w:type="dxa" w:w="80"/>
              <w:left w:type="dxa" w:w="100"/>
              <w:bottom w:type="dxa" w:w="80"/>
              <w:right w:type="dxa" w:w="100"/>
            </w:tcMar>
            <w:vAlign w:val="center"/>
          </w:tcPr>
          <w:p>
            <w:r>
              <w:t xml:space="preserve">My Events → ticket view</w:t>
            </w:r>
          </w:p>
        </w:tc>
        <w:tc>
          <w:tcPr>
            <w:tcW w:type="dxa" w:w="6060"/>
            <w:shd w:fill="F2ECF9" w:val="clear"/>
            <w:tcMar>
              <w:top w:type="dxa" w:w="80"/>
              <w:left w:type="dxa" w:w="100"/>
              <w:bottom w:type="dxa" w:w="80"/>
              <w:right w:type="dxa" w:w="100"/>
            </w:tcMar>
            <w:vAlign w:val="center"/>
          </w:tcPr>
          <w:p>
            <w:r>
              <w:t xml:space="preserve">Displays QR code; works fully offline, both to display and to be validated by the organizer's scanner.</w:t>
            </w:r>
          </w:p>
        </w:tc>
      </w:tr>
      <w:tr>
        <w:tc>
          <w:tcPr>
            <w:tcW w:type="dxa" w:w="420"/>
            <w:shd w:fill="FFFFFF" w:val="clear"/>
            <w:tcMar>
              <w:top w:type="dxa" w:w="80"/>
              <w:left w:type="dxa" w:w="100"/>
              <w:bottom w:type="dxa" w:w="80"/>
              <w:right w:type="dxa" w:w="100"/>
            </w:tcMar>
            <w:vAlign w:val="center"/>
          </w:tcPr>
          <w:p>
            <w:r>
              <w:t xml:space="preserve">7</w:t>
            </w:r>
          </w:p>
        </w:tc>
        <w:tc>
          <w:tcPr>
            <w:tcW w:type="dxa" w:w="1700"/>
            <w:shd w:fill="FFFFFF" w:val="clear"/>
            <w:tcMar>
              <w:top w:type="dxa" w:w="80"/>
              <w:left w:type="dxa" w:w="100"/>
              <w:bottom w:type="dxa" w:w="80"/>
              <w:right w:type="dxa" w:w="100"/>
            </w:tcMar>
            <w:vAlign w:val="center"/>
          </w:tcPr>
          <w:p>
            <w:r>
              <w:t xml:space="preserve">Organizer scans code</w:t>
            </w:r>
          </w:p>
        </w:tc>
        <w:tc>
          <w:tcPr>
            <w:tcW w:type="dxa" w:w="1900"/>
            <w:shd w:fill="FFFFFF" w:val="clear"/>
            <w:tcMar>
              <w:top w:type="dxa" w:w="80"/>
              <w:left w:type="dxa" w:w="100"/>
              <w:bottom w:type="dxa" w:w="80"/>
              <w:right w:type="dxa" w:w="100"/>
            </w:tcMar>
            <w:vAlign w:val="center"/>
          </w:tcPr>
          <w:p>
            <w:r>
              <w:t xml:space="preserve">Organizer's scanner</w:t>
            </w:r>
          </w:p>
        </w:tc>
        <w:tc>
          <w:tcPr>
            <w:tcW w:type="dxa" w:w="6060"/>
            <w:shd w:fill="FFFFFF" w:val="clear"/>
            <w:tcMar>
              <w:top w:type="dxa" w:w="80"/>
              <w:left w:type="dxa" w:w="100"/>
              <w:bottom w:type="dxa" w:w="80"/>
              <w:right w:type="dxa" w:w="100"/>
            </w:tcMar>
            <w:vAlign w:val="center"/>
          </w:tcPr>
          <w:p>
            <w:r>
              <w:t xml:space="preserve">Verifies the token's signature on-device; marks attendee as checked in locally; flags duplicate scans for post-event review rather than blocking in real time (§5.5).</w:t>
            </w:r>
          </w:p>
        </w:tc>
      </w:tr>
    </w:tbl>
    <w:p>
      <w:pPr>
        <w:spacing w:after="160"/>
      </w:pPr>
      <w:r>
        <w:rPr>
          <w:b/>
          <w:bCs/>
        </w:rPr>
        <w:t xml:space="preserve">Edge cases to design for:</w:t>
      </w:r>
    </w:p>
    <w:p>
      <w:pPr>
        <w:pStyle w:val="ListParagraph"/>
        <w:numPr>
          <w:ilvl w:val="0"/>
          <w:numId w:val="2"/>
        </w:numPr>
        <w:spacing w:after="80"/>
      </w:pPr>
      <w:r>
        <w:t xml:space="preserve">Event reaches capacity — RSVP button shows "Full" against events.capacity as the single source of truth (§3.2); waitlist behavior is still open (§7.3).</w:t>
      </w:r>
    </w:p>
    <w:p>
      <w:pPr>
        <w:pStyle w:val="ListParagraph"/>
        <w:numPr>
          <w:ilvl w:val="0"/>
          <w:numId w:val="2"/>
        </w:numPr>
        <w:spacing w:after="80"/>
      </w:pPr>
      <w:r>
        <w:t xml:space="preserve">User RSVPs to two overlapping events — no system conflict block in v1, this is a soft social problem, not a hard rule.</w:t>
      </w:r>
    </w:p>
    <w:p>
      <w:pPr>
        <w:pStyle w:val="ListParagraph"/>
        <w:numPr>
          <w:ilvl w:val="0"/>
          <w:numId w:val="2"/>
        </w:numPr>
        <w:spacing w:after="80"/>
      </w:pPr>
      <w:r>
        <w:t xml:space="preserve">QR code screenshot shared with a friend — v1 does not prevent this; every scan is logged and duplicates are surfaced to the organizer after the event (§5.5), not blocked at the door.</w:t>
      </w:r>
    </w:p>
    <w:p>
      <w:pPr>
        <w:pStyle w:val="ListParagraph"/>
        <w:numPr>
          <w:ilvl w:val="0"/>
          <w:numId w:val="2"/>
        </w:numPr>
        <w:spacing w:after="80"/>
      </w:pPr>
      <w:r>
        <w:t xml:space="preserve">User RSVPs then the event is cancelled — must trigger a push notification and remove from My Events.</w:t>
      </w:r>
    </w:p>
    <w:p>
      <w:pPr>
        <w:pStyle w:val="Heading2"/>
        <w:spacing w:after="120" w:before="280"/>
      </w:pPr>
      <w:r>
        <w:t xml:space="preserve">4.2 Organizer flow: Create → Publish → Manage → Check in</w:t>
      </w:r>
    </w:p>
    <w:tbl>
      <w:tblPr>
        <w:tblW w:type="dxa" w:w="10080"/>
        <w:tblBorders>
          <w:top w:val="single" w:color="D9D2E9" w:sz="4"/>
          <w:left w:val="single" w:color="D9D2E9" w:sz="4"/>
          <w:bottom w:val="single" w:color="D9D2E9" w:sz="4"/>
          <w:right w:val="single" w:color="D9D2E9" w:sz="4"/>
          <w:insideH w:val="single" w:color="D9D2E9" w:sz="4"/>
          <w:insideV w:val="single" w:color="D9D2E9" w:sz="4"/>
        </w:tblBorders>
      </w:tblPr>
      <w:tblGrid>
        <w:gridCol w:w="420"/>
        <w:gridCol w:w="1900"/>
        <w:gridCol w:w="1700"/>
        <w:gridCol w:w="6060"/>
      </w:tblGrid>
      <w:tr>
        <w:trPr>
          <w:tblHeader/>
        </w:trPr>
        <w:tc>
          <w:tcPr>
            <w:tcW w:type="dxa" w:w="420"/>
            <w:shd w:fill="1B1330" w:val="clear"/>
            <w:tcMar>
              <w:top w:type="dxa" w:w="90"/>
              <w:left w:type="dxa" w:w="100"/>
              <w:bottom w:type="dxa" w:w="90"/>
              <w:right w:type="dxa" w:w="100"/>
            </w:tcMar>
            <w:vAlign w:val="center"/>
          </w:tcPr>
          <w:p>
            <w:r>
              <w:rPr>
                <w:b/>
                <w:bCs/>
                <w:color w:val="FFFFFF"/>
              </w:rPr>
              <w:t xml:space="preserve">#</w:t>
            </w:r>
          </w:p>
        </w:tc>
        <w:tc>
          <w:tcPr>
            <w:tcW w:type="dxa" w:w="1900"/>
            <w:shd w:fill="1B1330" w:val="clear"/>
            <w:tcMar>
              <w:top w:type="dxa" w:w="90"/>
              <w:left w:type="dxa" w:w="100"/>
              <w:bottom w:type="dxa" w:w="90"/>
              <w:right w:type="dxa" w:w="100"/>
            </w:tcMar>
            <w:vAlign w:val="center"/>
          </w:tcPr>
          <w:p>
            <w:r>
              <w:rPr>
                <w:b/>
                <w:bCs/>
                <w:color w:val="FFFFFF"/>
              </w:rPr>
              <w:t xml:space="preserve">User action</w:t>
            </w:r>
          </w:p>
        </w:tc>
        <w:tc>
          <w:tcPr>
            <w:tcW w:type="dxa" w:w="1700"/>
            <w:shd w:fill="1B1330" w:val="clear"/>
            <w:tcMar>
              <w:top w:type="dxa" w:w="90"/>
              <w:left w:type="dxa" w:w="100"/>
              <w:bottom w:type="dxa" w:w="90"/>
              <w:right w:type="dxa" w:w="100"/>
            </w:tcMar>
            <w:vAlign w:val="center"/>
          </w:tcPr>
          <w:p>
            <w:r>
              <w:rPr>
                <w:b/>
                <w:bCs/>
                <w:color w:val="FFFFFF"/>
              </w:rPr>
              <w:t xml:space="preserve">Screen / surface</w:t>
            </w:r>
          </w:p>
        </w:tc>
        <w:tc>
          <w:tcPr>
            <w:tcW w:type="dxa" w:w="6060"/>
            <w:shd w:fill="1B1330" w:val="clear"/>
            <w:tcMar>
              <w:top w:type="dxa" w:w="90"/>
              <w:left w:type="dxa" w:w="100"/>
              <w:bottom w:type="dxa" w:w="90"/>
              <w:right w:type="dxa" w:w="100"/>
            </w:tcMar>
            <w:vAlign w:val="center"/>
          </w:tcPr>
          <w:p>
            <w:r>
              <w:rPr>
                <w:b/>
                <w:bCs/>
                <w:color w:val="FFFFFF"/>
              </w:rPr>
              <w:t xml:space="preserve">System behavior</w:t>
            </w:r>
          </w:p>
        </w:tc>
      </w:tr>
      <w:tr>
        <w:tc>
          <w:tcPr>
            <w:tcW w:type="dxa" w:w="420"/>
            <w:shd w:fill="FFFFFF" w:val="clear"/>
            <w:tcMar>
              <w:top w:type="dxa" w:w="80"/>
              <w:left w:type="dxa" w:w="100"/>
              <w:bottom w:type="dxa" w:w="80"/>
              <w:right w:type="dxa" w:w="100"/>
            </w:tcMar>
            <w:vAlign w:val="center"/>
          </w:tcPr>
          <w:p>
            <w:r>
              <w:t xml:space="preserve">1</w:t>
            </w:r>
          </w:p>
        </w:tc>
        <w:tc>
          <w:tcPr>
            <w:tcW w:type="dxa" w:w="1900"/>
            <w:shd w:fill="FFFFFF" w:val="clear"/>
            <w:tcMar>
              <w:top w:type="dxa" w:w="80"/>
              <w:left w:type="dxa" w:w="100"/>
              <w:bottom w:type="dxa" w:w="80"/>
              <w:right w:type="dxa" w:w="100"/>
            </w:tcMar>
            <w:vAlign w:val="center"/>
          </w:tcPr>
          <w:p>
            <w:r>
              <w:t xml:space="preserve">Creates/opens organizer account</w:t>
            </w:r>
          </w:p>
        </w:tc>
        <w:tc>
          <w:tcPr>
            <w:tcW w:type="dxa" w:w="1700"/>
            <w:shd w:fill="FFFFFF" w:val="clear"/>
            <w:tcMar>
              <w:top w:type="dxa" w:w="80"/>
              <w:left w:type="dxa" w:w="100"/>
              <w:bottom w:type="dxa" w:w="80"/>
              <w:right w:type="dxa" w:w="100"/>
            </w:tcMar>
            <w:vAlign w:val="center"/>
          </w:tcPr>
          <w:p>
            <w:r>
              <w:t xml:space="preserve">Organizer onboarding</w:t>
            </w:r>
          </w:p>
        </w:tc>
        <w:tc>
          <w:tcPr>
            <w:tcW w:type="dxa" w:w="6060"/>
            <w:shd w:fill="FFFFFF" w:val="clear"/>
            <w:tcMar>
              <w:top w:type="dxa" w:w="80"/>
              <w:left w:type="dxa" w:w="100"/>
              <w:bottom w:type="dxa" w:w="80"/>
              <w:right w:type="dxa" w:w="100"/>
            </w:tcMar>
            <w:vAlign w:val="center"/>
          </w:tcPr>
          <w:p>
            <w:r>
              <w:t xml:space="preserve">Requires club/organization verification (manual review in v1).</w:t>
            </w:r>
          </w:p>
        </w:tc>
      </w:tr>
      <w:tr>
        <w:tc>
          <w:tcPr>
            <w:tcW w:type="dxa" w:w="420"/>
            <w:shd w:fill="F2ECF9" w:val="clear"/>
            <w:tcMar>
              <w:top w:type="dxa" w:w="80"/>
              <w:left w:type="dxa" w:w="100"/>
              <w:bottom w:type="dxa" w:w="80"/>
              <w:right w:type="dxa" w:w="100"/>
            </w:tcMar>
            <w:vAlign w:val="center"/>
          </w:tcPr>
          <w:p>
            <w:r>
              <w:t xml:space="preserve">2</w:t>
            </w:r>
          </w:p>
        </w:tc>
        <w:tc>
          <w:tcPr>
            <w:tcW w:type="dxa" w:w="1900"/>
            <w:shd w:fill="F2ECF9" w:val="clear"/>
            <w:tcMar>
              <w:top w:type="dxa" w:w="80"/>
              <w:left w:type="dxa" w:w="100"/>
              <w:bottom w:type="dxa" w:w="80"/>
              <w:right w:type="dxa" w:w="100"/>
            </w:tcMar>
            <w:vAlign w:val="center"/>
          </w:tcPr>
          <w:p>
            <w:r>
              <w:t xml:space="preserve">Taps "Create event"</w:t>
            </w:r>
          </w:p>
        </w:tc>
        <w:tc>
          <w:tcPr>
            <w:tcW w:type="dxa" w:w="1700"/>
            <w:shd w:fill="F2ECF9" w:val="clear"/>
            <w:tcMar>
              <w:top w:type="dxa" w:w="80"/>
              <w:left w:type="dxa" w:w="100"/>
              <w:bottom w:type="dxa" w:w="80"/>
              <w:right w:type="dxa" w:w="100"/>
            </w:tcMar>
            <w:vAlign w:val="center"/>
          </w:tcPr>
          <w:p>
            <w:r>
              <w:t xml:space="preserve">Event creation form</w:t>
            </w:r>
          </w:p>
        </w:tc>
        <w:tc>
          <w:tcPr>
            <w:tcW w:type="dxa" w:w="6060"/>
            <w:shd w:fill="F2ECF9" w:val="clear"/>
            <w:tcMar>
              <w:top w:type="dxa" w:w="80"/>
              <w:left w:type="dxa" w:w="100"/>
              <w:bottom w:type="dxa" w:w="80"/>
              <w:right w:type="dxa" w:w="100"/>
            </w:tcMar>
            <w:vAlign w:val="center"/>
          </w:tcPr>
          <w:p>
            <w:r>
              <w:t xml:space="preserve">Title, description, category (§3.0, required), cover image, date/time, location, capacity — all required to publish.</w:t>
            </w:r>
          </w:p>
        </w:tc>
      </w:tr>
      <w:tr>
        <w:tc>
          <w:tcPr>
            <w:tcW w:type="dxa" w:w="420"/>
            <w:shd w:fill="FFFFFF" w:val="clear"/>
            <w:tcMar>
              <w:top w:type="dxa" w:w="80"/>
              <w:left w:type="dxa" w:w="100"/>
              <w:bottom w:type="dxa" w:w="80"/>
              <w:right w:type="dxa" w:w="100"/>
            </w:tcMar>
            <w:vAlign w:val="center"/>
          </w:tcPr>
          <w:p>
            <w:r>
              <w:t xml:space="preserve">3</w:t>
            </w:r>
          </w:p>
        </w:tc>
        <w:tc>
          <w:tcPr>
            <w:tcW w:type="dxa" w:w="1900"/>
            <w:shd w:fill="FFFFFF" w:val="clear"/>
            <w:tcMar>
              <w:top w:type="dxa" w:w="80"/>
              <w:left w:type="dxa" w:w="100"/>
              <w:bottom w:type="dxa" w:w="80"/>
              <w:right w:type="dxa" w:w="100"/>
            </w:tcMar>
            <w:vAlign w:val="center"/>
          </w:tcPr>
          <w:p>
            <w:r>
              <w:t xml:space="preserve">Publishes event</w:t>
            </w:r>
          </w:p>
        </w:tc>
        <w:tc>
          <w:tcPr>
            <w:tcW w:type="dxa" w:w="1700"/>
            <w:shd w:fill="FFFFFF" w:val="clear"/>
            <w:tcMar>
              <w:top w:type="dxa" w:w="80"/>
              <w:left w:type="dxa" w:w="100"/>
              <w:bottom w:type="dxa" w:w="80"/>
              <w:right w:type="dxa" w:w="100"/>
            </w:tcMar>
            <w:vAlign w:val="center"/>
          </w:tcPr>
          <w:p>
            <w:r>
              <w:t xml:space="preserve">Event creation form</w:t>
            </w:r>
          </w:p>
        </w:tc>
        <w:tc>
          <w:tcPr>
            <w:tcW w:type="dxa" w:w="6060"/>
            <w:shd w:fill="FFFFFF" w:val="clear"/>
            <w:tcMar>
              <w:top w:type="dxa" w:w="80"/>
              <w:left w:type="dxa" w:w="100"/>
              <w:bottom w:type="dxa" w:w="80"/>
              <w:right w:type="dxa" w:w="100"/>
            </w:tcMar>
            <w:vAlign w:val="center"/>
          </w:tcPr>
          <w:p>
            <w:r>
              <w:t xml:space="preserve">Event goes live in the feed immediately; appears in followers' feeds first.</w:t>
            </w:r>
          </w:p>
        </w:tc>
      </w:tr>
      <w:tr>
        <w:tc>
          <w:tcPr>
            <w:tcW w:type="dxa" w:w="420"/>
            <w:shd w:fill="F2ECF9" w:val="clear"/>
            <w:tcMar>
              <w:top w:type="dxa" w:w="80"/>
              <w:left w:type="dxa" w:w="100"/>
              <w:bottom w:type="dxa" w:w="80"/>
              <w:right w:type="dxa" w:w="100"/>
            </w:tcMar>
            <w:vAlign w:val="center"/>
          </w:tcPr>
          <w:p>
            <w:r>
              <w:t xml:space="preserve">4</w:t>
            </w:r>
          </w:p>
        </w:tc>
        <w:tc>
          <w:tcPr>
            <w:tcW w:type="dxa" w:w="1900"/>
            <w:shd w:fill="F2ECF9" w:val="clear"/>
            <w:tcMar>
              <w:top w:type="dxa" w:w="80"/>
              <w:left w:type="dxa" w:w="100"/>
              <w:bottom w:type="dxa" w:w="80"/>
              <w:right w:type="dxa" w:w="100"/>
            </w:tcMar>
            <w:vAlign w:val="center"/>
          </w:tcPr>
          <w:p>
            <w:r>
              <w:t xml:space="preserve">Posts a Story</w:t>
            </w:r>
          </w:p>
        </w:tc>
        <w:tc>
          <w:tcPr>
            <w:tcW w:type="dxa" w:w="1700"/>
            <w:shd w:fill="F2ECF9" w:val="clear"/>
            <w:tcMar>
              <w:top w:type="dxa" w:w="80"/>
              <w:left w:type="dxa" w:w="100"/>
              <w:bottom w:type="dxa" w:w="80"/>
              <w:right w:type="dxa" w:w="100"/>
            </w:tcMar>
            <w:vAlign w:val="center"/>
          </w:tcPr>
          <w:p>
            <w:r>
              <w:t xml:space="preserve">Story composer</w:t>
            </w:r>
          </w:p>
        </w:tc>
        <w:tc>
          <w:tcPr>
            <w:tcW w:type="dxa" w:w="6060"/>
            <w:shd w:fill="F2ECF9" w:val="clear"/>
            <w:tcMar>
              <w:top w:type="dxa" w:w="80"/>
              <w:left w:type="dxa" w:w="100"/>
              <w:bottom w:type="dxa" w:w="80"/>
              <w:right w:type="dxa" w:w="100"/>
            </w:tcMar>
            <w:vAlign w:val="center"/>
          </w:tcPr>
          <w:p>
            <w:r>
              <w:t xml:space="preserve">Attaches to the live event; visible in Stories row for 24 hours.</w:t>
            </w:r>
          </w:p>
        </w:tc>
      </w:tr>
      <w:tr>
        <w:tc>
          <w:tcPr>
            <w:tcW w:type="dxa" w:w="420"/>
            <w:shd w:fill="FFFFFF" w:val="clear"/>
            <w:tcMar>
              <w:top w:type="dxa" w:w="80"/>
              <w:left w:type="dxa" w:w="100"/>
              <w:bottom w:type="dxa" w:w="80"/>
              <w:right w:type="dxa" w:w="100"/>
            </w:tcMar>
            <w:vAlign w:val="center"/>
          </w:tcPr>
          <w:p>
            <w:r>
              <w:t xml:space="preserve">5</w:t>
            </w:r>
          </w:p>
        </w:tc>
        <w:tc>
          <w:tcPr>
            <w:tcW w:type="dxa" w:w="1900"/>
            <w:shd w:fill="FFFFFF" w:val="clear"/>
            <w:tcMar>
              <w:top w:type="dxa" w:w="80"/>
              <w:left w:type="dxa" w:w="100"/>
              <w:bottom w:type="dxa" w:w="80"/>
              <w:right w:type="dxa" w:w="100"/>
            </w:tcMar>
            <w:vAlign w:val="center"/>
          </w:tcPr>
          <w:p>
            <w:r>
              <w:t xml:space="preserve">Monitors RSVPs</w:t>
            </w:r>
          </w:p>
        </w:tc>
        <w:tc>
          <w:tcPr>
            <w:tcW w:type="dxa" w:w="1700"/>
            <w:shd w:fill="FFFFFF" w:val="clear"/>
            <w:tcMar>
              <w:top w:type="dxa" w:w="80"/>
              <w:left w:type="dxa" w:w="100"/>
              <w:bottom w:type="dxa" w:w="80"/>
              <w:right w:type="dxa" w:w="100"/>
            </w:tcMar>
            <w:vAlign w:val="center"/>
          </w:tcPr>
          <w:p>
            <w:r>
              <w:t xml:space="preserve">Organizer dashboard</w:t>
            </w:r>
          </w:p>
        </w:tc>
        <w:tc>
          <w:tcPr>
            <w:tcW w:type="dxa" w:w="6060"/>
            <w:shd w:fill="FFFFFF" w:val="clear"/>
            <w:tcMar>
              <w:top w:type="dxa" w:w="80"/>
              <w:left w:type="dxa" w:w="100"/>
              <w:bottom w:type="dxa" w:w="80"/>
              <w:right w:type="dxa" w:w="100"/>
            </w:tcMar>
            <w:vAlign w:val="center"/>
          </w:tcPr>
          <w:p>
            <w:r>
              <w:t xml:space="preserve">Live count updates; basic attendee list visible and exportable.</w:t>
            </w:r>
          </w:p>
        </w:tc>
      </w:tr>
      <w:tr>
        <w:tc>
          <w:tcPr>
            <w:tcW w:type="dxa" w:w="420"/>
            <w:shd w:fill="F2ECF9" w:val="clear"/>
            <w:tcMar>
              <w:top w:type="dxa" w:w="80"/>
              <w:left w:type="dxa" w:w="100"/>
              <w:bottom w:type="dxa" w:w="80"/>
              <w:right w:type="dxa" w:w="100"/>
            </w:tcMar>
            <w:vAlign w:val="center"/>
          </w:tcPr>
          <w:p>
            <w:r>
              <w:t xml:space="preserve">6</w:t>
            </w:r>
          </w:p>
        </w:tc>
        <w:tc>
          <w:tcPr>
            <w:tcW w:type="dxa" w:w="1900"/>
            <w:shd w:fill="F2ECF9" w:val="clear"/>
            <w:tcMar>
              <w:top w:type="dxa" w:w="80"/>
              <w:left w:type="dxa" w:w="100"/>
              <w:bottom w:type="dxa" w:w="80"/>
              <w:right w:type="dxa" w:w="100"/>
            </w:tcMar>
            <w:vAlign w:val="center"/>
          </w:tcPr>
          <w:p>
            <w:r>
              <w:t xml:space="preserve">Opens scanner at the door</w:t>
            </w:r>
          </w:p>
        </w:tc>
        <w:tc>
          <w:tcPr>
            <w:tcW w:type="dxa" w:w="1700"/>
            <w:shd w:fill="F2ECF9" w:val="clear"/>
            <w:tcMar>
              <w:top w:type="dxa" w:w="80"/>
              <w:left w:type="dxa" w:w="100"/>
              <w:bottom w:type="dxa" w:w="80"/>
              <w:right w:type="dxa" w:w="100"/>
            </w:tcMar>
            <w:vAlign w:val="center"/>
          </w:tcPr>
          <w:p>
            <w:r>
              <w:t xml:space="preserve">Check-in scanner</w:t>
            </w:r>
          </w:p>
        </w:tc>
        <w:tc>
          <w:tcPr>
            <w:tcW w:type="dxa" w:w="6060"/>
            <w:shd w:fill="F2ECF9" w:val="clear"/>
            <w:tcMar>
              <w:top w:type="dxa" w:w="80"/>
              <w:left w:type="dxa" w:w="100"/>
              <w:bottom w:type="dxa" w:w="80"/>
              <w:right w:type="dxa" w:w="100"/>
            </w:tcMar>
            <w:vAlign w:val="center"/>
          </w:tcPr>
          <w:p>
            <w:r>
              <w:t xml:space="preserve">Camera-based QR scan; instant valid/invalid feedback works with or without connectivity (§3.3); running checked-in count.</w:t>
            </w:r>
          </w:p>
        </w:tc>
      </w:tr>
      <w:tr>
        <w:tc>
          <w:tcPr>
            <w:tcW w:type="dxa" w:w="420"/>
            <w:shd w:fill="FFFFFF" w:val="clear"/>
            <w:tcMar>
              <w:top w:type="dxa" w:w="80"/>
              <w:left w:type="dxa" w:w="100"/>
              <w:bottom w:type="dxa" w:w="80"/>
              <w:right w:type="dxa" w:w="100"/>
            </w:tcMar>
            <w:vAlign w:val="center"/>
          </w:tcPr>
          <w:p>
            <w:r>
              <w:t xml:space="preserve">7</w:t>
            </w:r>
          </w:p>
        </w:tc>
        <w:tc>
          <w:tcPr>
            <w:tcW w:type="dxa" w:w="1900"/>
            <w:shd w:fill="FFFFFF" w:val="clear"/>
            <w:tcMar>
              <w:top w:type="dxa" w:w="80"/>
              <w:left w:type="dxa" w:w="100"/>
              <w:bottom w:type="dxa" w:w="80"/>
              <w:right w:type="dxa" w:w="100"/>
            </w:tcMar>
            <w:vAlign w:val="center"/>
          </w:tcPr>
          <w:p>
            <w:r>
              <w:t xml:space="preserve">Reviews post-event stats</w:t>
            </w:r>
          </w:p>
        </w:tc>
        <w:tc>
          <w:tcPr>
            <w:tcW w:type="dxa" w:w="1700"/>
            <w:shd w:fill="FFFFFF" w:val="clear"/>
            <w:tcMar>
              <w:top w:type="dxa" w:w="80"/>
              <w:left w:type="dxa" w:w="100"/>
              <w:bottom w:type="dxa" w:w="80"/>
              <w:right w:type="dxa" w:w="100"/>
            </w:tcMar>
            <w:vAlign w:val="center"/>
          </w:tcPr>
          <w:p>
            <w:r>
              <w:t xml:space="preserve">Organizer dashboard</w:t>
            </w:r>
          </w:p>
        </w:tc>
        <w:tc>
          <w:tcPr>
            <w:tcW w:type="dxa" w:w="6060"/>
            <w:shd w:fill="FFFFFF" w:val="clear"/>
            <w:tcMar>
              <w:top w:type="dxa" w:w="80"/>
              <w:left w:type="dxa" w:w="100"/>
              <w:bottom w:type="dxa" w:w="80"/>
              <w:right w:type="dxa" w:w="100"/>
            </w:tcMar>
            <w:vAlign w:val="center"/>
          </w:tcPr>
          <w:p>
            <w:r>
              <w:t xml:space="preserve">Final RSVP count, check-in count, check-in rate, any flagged duplicate scans.</w:t>
            </w:r>
          </w:p>
        </w:tc>
      </w:tr>
    </w:tbl>
    <w:p>
      <w:pPr>
        <w:spacing w:after="160"/>
      </w:pPr>
      <w:r>
        <w:rPr>
          <w:b/>
          <w:bCs/>
        </w:rPr>
        <w:t xml:space="preserve">Edge cases to design for:</w:t>
      </w:r>
    </w:p>
    <w:p>
      <w:pPr>
        <w:pStyle w:val="ListParagraph"/>
        <w:numPr>
          <w:ilvl w:val="0"/>
          <w:numId w:val="2"/>
        </w:numPr>
        <w:spacing w:after="80"/>
      </w:pPr>
      <w:r>
        <w:t xml:space="preserve">Organizer wants to edit event after publishing — needs to notify existing RSVPs of material changes (time/location).</w:t>
      </w:r>
    </w:p>
    <w:p>
      <w:pPr>
        <w:pStyle w:val="ListParagraph"/>
        <w:numPr>
          <w:ilvl w:val="0"/>
          <w:numId w:val="2"/>
        </w:numPr>
        <w:spacing w:after="80"/>
      </w:pPr>
      <w:r>
        <w:t xml:space="preserve">Organizer wants to cancel an event — must cascade a notification to every RSVP'd attendee.</w:t>
      </w:r>
    </w:p>
    <w:p>
      <w:pPr>
        <w:pStyle w:val="ListParagraph"/>
        <w:numPr>
          <w:ilvl w:val="0"/>
          <w:numId w:val="2"/>
        </w:numPr>
        <w:spacing w:after="80"/>
      </w:pPr>
      <w:r>
        <w:t xml:space="preserve">Unverified account tries to publish — should be blocked with a clear "verification pending" state, not a silent failure.</w:t>
      </w:r>
    </w:p>
    <w:p>
      <w:pPr>
        <w:pStyle w:val="Heading1"/>
        <w:spacing w:after="160" w:before="360"/>
      </w:pPr>
      <w:r>
        <w:t xml:space="preserve">5. Non-Functional Requirements</w:t>
      </w:r>
    </w:p>
    <w:p>
      <w:pPr>
        <w:spacing w:after="160"/>
      </w:pPr>
      <w:r>
        <w:t xml:space="preserve">v1 is scoped for a single campus, so these targets are deliberately modest — sized for University of Ibadan's population, not for multi-campus scale. Revisit before any multi-campus rollout.</w:t>
      </w:r>
    </w:p>
    <w:p>
      <w:pPr>
        <w:pStyle w:val="Heading2"/>
        <w:spacing w:after="120" w:before="280"/>
      </w:pPr>
      <w:r>
        <w:t xml:space="preserve">5.1 Concurrency &amp; load</w:t>
      </w:r>
    </w:p>
    <w:tbl>
      <w:tblPr>
        <w:tblW w:type="dxa" w:w="10080"/>
        <w:tblBorders>
          <w:top w:val="single" w:color="D9D2E9" w:sz="4"/>
          <w:left w:val="single" w:color="D9D2E9" w:sz="4"/>
          <w:bottom w:val="single" w:color="D9D2E9" w:sz="4"/>
          <w:right w:val="single" w:color="D9D2E9" w:sz="4"/>
          <w:insideH w:val="single" w:color="D9D2E9" w:sz="4"/>
          <w:insideV w:val="single" w:color="D9D2E9" w:sz="4"/>
        </w:tblBorders>
      </w:tblPr>
      <w:tblGrid>
        <w:gridCol w:w="2000"/>
        <w:gridCol w:w="1700"/>
        <w:gridCol w:w="6380"/>
      </w:tblGrid>
      <w:tr>
        <w:trPr>
          <w:tblHeader/>
        </w:trPr>
        <w:tc>
          <w:tcPr>
            <w:tcW w:type="dxa" w:w="2000"/>
            <w:shd w:fill="1B1330" w:val="clear"/>
            <w:tcMar>
              <w:top w:type="dxa" w:w="90"/>
              <w:left w:type="dxa" w:w="100"/>
              <w:bottom w:type="dxa" w:w="90"/>
              <w:right w:type="dxa" w:w="100"/>
            </w:tcMar>
            <w:vAlign w:val="center"/>
          </w:tcPr>
          <w:p>
            <w:r>
              <w:rPr>
                <w:b/>
                <w:bCs/>
                <w:color w:val="FFFFFF"/>
              </w:rPr>
              <w:t xml:space="preserve">Dimension</w:t>
            </w:r>
          </w:p>
        </w:tc>
        <w:tc>
          <w:tcPr>
            <w:tcW w:type="dxa" w:w="1700"/>
            <w:shd w:fill="1B1330" w:val="clear"/>
            <w:tcMar>
              <w:top w:type="dxa" w:w="90"/>
              <w:left w:type="dxa" w:w="100"/>
              <w:bottom w:type="dxa" w:w="90"/>
              <w:right w:type="dxa" w:w="100"/>
            </w:tcMar>
            <w:vAlign w:val="center"/>
          </w:tcPr>
          <w:p>
            <w:r>
              <w:rPr>
                <w:b/>
                <w:bCs/>
                <w:color w:val="FFFFFF"/>
              </w:rPr>
              <w:t xml:space="preserve">Target</w:t>
            </w:r>
          </w:p>
        </w:tc>
        <w:tc>
          <w:tcPr>
            <w:tcW w:type="dxa" w:w="6380"/>
            <w:shd w:fill="1B1330" w:val="clear"/>
            <w:tcMar>
              <w:top w:type="dxa" w:w="90"/>
              <w:left w:type="dxa" w:w="100"/>
              <w:bottom w:type="dxa" w:w="90"/>
              <w:right w:type="dxa" w:w="100"/>
            </w:tcMar>
            <w:vAlign w:val="center"/>
          </w:tcPr>
          <w:p>
            <w:r>
              <w:rPr>
                <w:b/>
                <w:bCs/>
                <w:color w:val="FFFFFF"/>
              </w:rPr>
              <w:t xml:space="preserve">Rationale / notes</w:t>
            </w:r>
          </w:p>
        </w:tc>
      </w:tr>
      <w:tr>
        <w:tc>
          <w:tcPr>
            <w:tcW w:type="dxa" w:w="2000"/>
            <w:shd w:fill="FFFFFF" w:val="clear"/>
            <w:tcMar>
              <w:top w:type="dxa" w:w="80"/>
              <w:left w:type="dxa" w:w="100"/>
              <w:bottom w:type="dxa" w:w="80"/>
              <w:right w:type="dxa" w:w="100"/>
            </w:tcMar>
            <w:vAlign w:val="center"/>
          </w:tcPr>
          <w:p>
            <w:r>
              <w:t xml:space="preserve">Baseline concurrent users</w:t>
            </w:r>
          </w:p>
        </w:tc>
        <w:tc>
          <w:tcPr>
            <w:tcW w:type="dxa" w:w="1700"/>
            <w:shd w:fill="FFFFFF" w:val="clear"/>
            <w:tcMar>
              <w:top w:type="dxa" w:w="80"/>
              <w:left w:type="dxa" w:w="100"/>
              <w:bottom w:type="dxa" w:w="80"/>
              <w:right w:type="dxa" w:w="100"/>
            </w:tcMar>
            <w:vAlign w:val="center"/>
          </w:tcPr>
          <w:p>
            <w:r>
              <w:t xml:space="preserve">500–1,000</w:t>
            </w:r>
          </w:p>
        </w:tc>
        <w:tc>
          <w:tcPr>
            <w:tcW w:type="dxa" w:w="6380"/>
            <w:shd w:fill="FFFFFF" w:val="clear"/>
            <w:tcMar>
              <w:top w:type="dxa" w:w="80"/>
              <w:left w:type="dxa" w:w="100"/>
              <w:bottom w:type="dxa" w:w="80"/>
              <w:right w:type="dxa" w:w="100"/>
            </w:tcMar>
            <w:vAlign w:val="center"/>
          </w:tcPr>
          <w:p>
            <w:r>
              <w:t xml:space="preserve">Realistic ceiling for daily active use across a ~33,000-student campus at this stage.</w:t>
            </w:r>
          </w:p>
        </w:tc>
      </w:tr>
      <w:tr>
        <w:tc>
          <w:tcPr>
            <w:tcW w:type="dxa" w:w="2000"/>
            <w:shd w:fill="F2ECF9" w:val="clear"/>
            <w:tcMar>
              <w:top w:type="dxa" w:w="80"/>
              <w:left w:type="dxa" w:w="100"/>
              <w:bottom w:type="dxa" w:w="80"/>
              <w:right w:type="dxa" w:w="100"/>
            </w:tcMar>
            <w:vAlign w:val="center"/>
          </w:tcPr>
          <w:p>
            <w:r>
              <w:t xml:space="preserve">Peak concurrent users</w:t>
            </w:r>
          </w:p>
        </w:tc>
        <w:tc>
          <w:tcPr>
            <w:tcW w:type="dxa" w:w="1700"/>
            <w:shd w:fill="F2ECF9" w:val="clear"/>
            <w:tcMar>
              <w:top w:type="dxa" w:w="80"/>
              <w:left w:type="dxa" w:w="100"/>
              <w:bottom w:type="dxa" w:w="80"/>
              <w:right w:type="dxa" w:w="100"/>
            </w:tcMar>
            <w:vAlign w:val="center"/>
          </w:tcPr>
          <w:p>
            <w:r>
              <w:t xml:space="preserve">3,000–5,000</w:t>
            </w:r>
          </w:p>
        </w:tc>
        <w:tc>
          <w:tcPr>
            <w:tcW w:type="dxa" w:w="6380"/>
            <w:shd w:fill="F2ECF9" w:val="clear"/>
            <w:tcMar>
              <w:top w:type="dxa" w:w="80"/>
              <w:left w:type="dxa" w:w="100"/>
              <w:bottom w:type="dxa" w:w="80"/>
              <w:right w:type="dxa" w:w="100"/>
            </w:tcMar>
            <w:vAlign w:val="center"/>
          </w:tcPr>
          <w:p>
            <w:r>
              <w:t xml:space="preserve">A major event (Hall Week, a large concert) publishing or trending can spike feed traffic sharply in a short window.</w:t>
            </w:r>
          </w:p>
        </w:tc>
      </w:tr>
      <w:tr>
        <w:tc>
          <w:tcPr>
            <w:tcW w:type="dxa" w:w="2000"/>
            <w:shd w:fill="FFFFFF" w:val="clear"/>
            <w:tcMar>
              <w:top w:type="dxa" w:w="80"/>
              <w:left w:type="dxa" w:w="100"/>
              <w:bottom w:type="dxa" w:w="80"/>
              <w:right w:type="dxa" w:w="100"/>
            </w:tcMar>
            <w:vAlign w:val="center"/>
          </w:tcPr>
          <w:p>
            <w:r>
              <w:t xml:space="preserve">RSVP burst handling</w:t>
            </w:r>
          </w:p>
        </w:tc>
        <w:tc>
          <w:tcPr>
            <w:tcW w:type="dxa" w:w="1700"/>
            <w:shd w:fill="FFFFFF" w:val="clear"/>
            <w:tcMar>
              <w:top w:type="dxa" w:w="80"/>
              <w:left w:type="dxa" w:w="100"/>
              <w:bottom w:type="dxa" w:w="80"/>
              <w:right w:type="dxa" w:w="100"/>
            </w:tcMar>
            <w:vAlign w:val="center"/>
          </w:tcPr>
          <w:p>
            <w:r>
              <w:t xml:space="preserve">200 RSVPs/min sustained</w:t>
            </w:r>
          </w:p>
        </w:tc>
        <w:tc>
          <w:tcPr>
            <w:tcW w:type="dxa" w:w="6380"/>
            <w:shd w:fill="FFFFFF" w:val="clear"/>
            <w:tcMar>
              <w:top w:type="dxa" w:w="80"/>
              <w:left w:type="dxa" w:w="100"/>
              <w:bottom w:type="dxa" w:w="80"/>
              <w:right w:type="dxa" w:w="100"/>
            </w:tcMar>
            <w:vAlign w:val="center"/>
          </w:tcPr>
          <w:p>
            <w:r>
              <w:t xml:space="preserve">Popular events can see a rush of RSVPs right after a Story drop or push notification. At ~3.3 writes/sec this is well within a single Postgres primary's capacity handled synchronously — do not route this through a queue, which would violate the &lt; 1 sec RSVP target below.</w:t>
            </w:r>
          </w:p>
        </w:tc>
      </w:tr>
      <w:tr>
        <w:tc>
          <w:tcPr>
            <w:tcW w:type="dxa" w:w="2000"/>
            <w:shd w:fill="F2ECF9" w:val="clear"/>
            <w:tcMar>
              <w:top w:type="dxa" w:w="80"/>
              <w:left w:type="dxa" w:w="100"/>
              <w:bottom w:type="dxa" w:w="80"/>
              <w:right w:type="dxa" w:w="100"/>
            </w:tcMar>
            <w:vAlign w:val="center"/>
          </w:tcPr>
          <w:p>
            <w:r>
              <w:t xml:space="preserve">Check-in scanner throughput</w:t>
            </w:r>
          </w:p>
        </w:tc>
        <w:tc>
          <w:tcPr>
            <w:tcW w:type="dxa" w:w="1700"/>
            <w:shd w:fill="F2ECF9" w:val="clear"/>
            <w:tcMar>
              <w:top w:type="dxa" w:w="80"/>
              <w:left w:type="dxa" w:w="100"/>
              <w:bottom w:type="dxa" w:w="80"/>
              <w:right w:type="dxa" w:w="100"/>
            </w:tcMar>
            <w:vAlign w:val="center"/>
          </w:tcPr>
          <w:p>
            <w:r>
              <w:t xml:space="preserve">1 scan every 1–2 sec per door</w:t>
            </w:r>
          </w:p>
        </w:tc>
        <w:tc>
          <w:tcPr>
            <w:tcW w:type="dxa" w:w="6380"/>
            <w:shd w:fill="F2ECF9" w:val="clear"/>
            <w:tcMar>
              <w:top w:type="dxa" w:w="80"/>
              <w:left w:type="dxa" w:w="100"/>
              <w:bottom w:type="dxa" w:w="80"/>
              <w:right w:type="dxa" w:w="100"/>
            </w:tcMar>
            <w:vAlign w:val="center"/>
          </w:tcPr>
          <w:p>
            <w:r>
              <w:t xml:space="preserve">A door with a queue needs scan validation to feel instant. Social/Party category events (§3.0) are the binding case; Academic/Conference events are far below this ceiling.</w:t>
            </w:r>
          </w:p>
        </w:tc>
      </w:tr>
    </w:tbl>
    <w:p>
      <w:pPr>
        <w:pStyle w:val="Heading2"/>
        <w:spacing w:after="120" w:before="280"/>
      </w:pPr>
      <w:r>
        <w:t xml:space="preserve">5.2 Performance</w:t>
      </w:r>
    </w:p>
    <w:tbl>
      <w:tblPr>
        <w:tblW w:type="dxa" w:w="10080"/>
        <w:tblBorders>
          <w:top w:val="single" w:color="D9D2E9" w:sz="4"/>
          <w:left w:val="single" w:color="D9D2E9" w:sz="4"/>
          <w:bottom w:val="single" w:color="D9D2E9" w:sz="4"/>
          <w:right w:val="single" w:color="D9D2E9" w:sz="4"/>
          <w:insideH w:val="single" w:color="D9D2E9" w:sz="4"/>
          <w:insideV w:val="single" w:color="D9D2E9" w:sz="4"/>
        </w:tblBorders>
      </w:tblPr>
      <w:tblGrid>
        <w:gridCol w:w="2000"/>
        <w:gridCol w:w="1700"/>
        <w:gridCol w:w="6380"/>
      </w:tblGrid>
      <w:tr>
        <w:trPr>
          <w:tblHeader/>
        </w:trPr>
        <w:tc>
          <w:tcPr>
            <w:tcW w:type="dxa" w:w="2000"/>
            <w:shd w:fill="1B1330" w:val="clear"/>
            <w:tcMar>
              <w:top w:type="dxa" w:w="90"/>
              <w:left w:type="dxa" w:w="100"/>
              <w:bottom w:type="dxa" w:w="90"/>
              <w:right w:type="dxa" w:w="100"/>
            </w:tcMar>
            <w:vAlign w:val="center"/>
          </w:tcPr>
          <w:p>
            <w:r>
              <w:rPr>
                <w:b/>
                <w:bCs/>
                <w:color w:val="FFFFFF"/>
              </w:rPr>
              <w:t xml:space="preserve">Dimension</w:t>
            </w:r>
          </w:p>
        </w:tc>
        <w:tc>
          <w:tcPr>
            <w:tcW w:type="dxa" w:w="1700"/>
            <w:shd w:fill="1B1330" w:val="clear"/>
            <w:tcMar>
              <w:top w:type="dxa" w:w="90"/>
              <w:left w:type="dxa" w:w="100"/>
              <w:bottom w:type="dxa" w:w="90"/>
              <w:right w:type="dxa" w:w="100"/>
            </w:tcMar>
            <w:vAlign w:val="center"/>
          </w:tcPr>
          <w:p>
            <w:r>
              <w:rPr>
                <w:b/>
                <w:bCs/>
                <w:color w:val="FFFFFF"/>
              </w:rPr>
              <w:t xml:space="preserve">Target</w:t>
            </w:r>
          </w:p>
        </w:tc>
        <w:tc>
          <w:tcPr>
            <w:tcW w:type="dxa" w:w="6380"/>
            <w:shd w:fill="1B1330" w:val="clear"/>
            <w:tcMar>
              <w:top w:type="dxa" w:w="90"/>
              <w:left w:type="dxa" w:w="100"/>
              <w:bottom w:type="dxa" w:w="90"/>
              <w:right w:type="dxa" w:w="100"/>
            </w:tcMar>
            <w:vAlign w:val="center"/>
          </w:tcPr>
          <w:p>
            <w:r>
              <w:rPr>
                <w:b/>
                <w:bCs/>
                <w:color w:val="FFFFFF"/>
              </w:rPr>
              <w:t xml:space="preserve">Rationale / notes</w:t>
            </w:r>
          </w:p>
        </w:tc>
      </w:tr>
      <w:tr>
        <w:tc>
          <w:tcPr>
            <w:tcW w:type="dxa" w:w="2000"/>
            <w:shd w:fill="FFFFFF" w:val="clear"/>
            <w:tcMar>
              <w:top w:type="dxa" w:w="80"/>
              <w:left w:type="dxa" w:w="100"/>
              <w:bottom w:type="dxa" w:w="80"/>
              <w:right w:type="dxa" w:w="100"/>
            </w:tcMar>
            <w:vAlign w:val="center"/>
          </w:tcPr>
          <w:p>
            <w:r>
              <w:t xml:space="preserve">Feed load time (cold start)</w:t>
            </w:r>
          </w:p>
        </w:tc>
        <w:tc>
          <w:tcPr>
            <w:tcW w:type="dxa" w:w="1700"/>
            <w:shd w:fill="FFFFFF" w:val="clear"/>
            <w:tcMar>
              <w:top w:type="dxa" w:w="80"/>
              <w:left w:type="dxa" w:w="100"/>
              <w:bottom w:type="dxa" w:w="80"/>
              <w:right w:type="dxa" w:w="100"/>
            </w:tcMar>
            <w:vAlign w:val="center"/>
          </w:tcPr>
          <w:p>
            <w:r>
              <w:t xml:space="preserve">&lt; 2.5 sec</w:t>
            </w:r>
          </w:p>
        </w:tc>
        <w:tc>
          <w:tcPr>
            <w:tcW w:type="dxa" w:w="6380"/>
            <w:shd w:fill="FFFFFF" w:val="clear"/>
            <w:tcMar>
              <w:top w:type="dxa" w:w="80"/>
              <w:left w:type="dxa" w:w="100"/>
              <w:bottom w:type="dxa" w:w="80"/>
              <w:right w:type="dxa" w:w="100"/>
            </w:tcMar>
            <w:vAlign w:val="center"/>
          </w:tcPr>
          <w:p>
            <w:r>
              <w:t xml:space="preserve">First impression of the app; slower than this reads as broken, not just slow.</w:t>
            </w:r>
          </w:p>
        </w:tc>
      </w:tr>
      <w:tr>
        <w:tc>
          <w:tcPr>
            <w:tcW w:type="dxa" w:w="2000"/>
            <w:shd w:fill="F2ECF9" w:val="clear"/>
            <w:tcMar>
              <w:top w:type="dxa" w:w="80"/>
              <w:left w:type="dxa" w:w="100"/>
              <w:bottom w:type="dxa" w:w="80"/>
              <w:right w:type="dxa" w:w="100"/>
            </w:tcMar>
            <w:vAlign w:val="center"/>
          </w:tcPr>
          <w:p>
            <w:r>
              <w:t xml:space="preserve">Feed scroll / pagination</w:t>
            </w:r>
          </w:p>
        </w:tc>
        <w:tc>
          <w:tcPr>
            <w:tcW w:type="dxa" w:w="1700"/>
            <w:shd w:fill="F2ECF9" w:val="clear"/>
            <w:tcMar>
              <w:top w:type="dxa" w:w="80"/>
              <w:left w:type="dxa" w:w="100"/>
              <w:bottom w:type="dxa" w:w="80"/>
              <w:right w:type="dxa" w:w="100"/>
            </w:tcMar>
            <w:vAlign w:val="center"/>
          </w:tcPr>
          <w:p>
            <w:r>
              <w:t xml:space="preserve">&lt; 500 ms per page</w:t>
            </w:r>
          </w:p>
        </w:tc>
        <w:tc>
          <w:tcPr>
            <w:tcW w:type="dxa" w:w="6380"/>
            <w:shd w:fill="F2ECF9" w:val="clear"/>
            <w:tcMar>
              <w:top w:type="dxa" w:w="80"/>
              <w:left w:type="dxa" w:w="100"/>
              <w:bottom w:type="dxa" w:w="80"/>
              <w:right w:type="dxa" w:w="100"/>
            </w:tcMar>
            <w:vAlign w:val="center"/>
          </w:tcPr>
          <w:p>
            <w:r>
              <w:t xml:space="preserve">Feed browsing should feel as responsive as Instagram, not like a paginated website.</w:t>
            </w:r>
          </w:p>
        </w:tc>
      </w:tr>
      <w:tr>
        <w:tc>
          <w:tcPr>
            <w:tcW w:type="dxa" w:w="2000"/>
            <w:shd w:fill="FFFFFF" w:val="clear"/>
            <w:tcMar>
              <w:top w:type="dxa" w:w="80"/>
              <w:left w:type="dxa" w:w="100"/>
              <w:bottom w:type="dxa" w:w="80"/>
              <w:right w:type="dxa" w:w="100"/>
            </w:tcMar>
            <w:vAlign w:val="center"/>
          </w:tcPr>
          <w:p>
            <w:r>
              <w:t xml:space="preserve">Story load time</w:t>
            </w:r>
          </w:p>
        </w:tc>
        <w:tc>
          <w:tcPr>
            <w:tcW w:type="dxa" w:w="1700"/>
            <w:shd w:fill="FFFFFF" w:val="clear"/>
            <w:tcMar>
              <w:top w:type="dxa" w:w="80"/>
              <w:left w:type="dxa" w:w="100"/>
              <w:bottom w:type="dxa" w:w="80"/>
              <w:right w:type="dxa" w:w="100"/>
            </w:tcMar>
            <w:vAlign w:val="center"/>
          </w:tcPr>
          <w:p>
            <w:r>
              <w:t xml:space="preserve">&lt; 1 sec per story</w:t>
            </w:r>
          </w:p>
        </w:tc>
        <w:tc>
          <w:tcPr>
            <w:tcW w:type="dxa" w:w="6380"/>
            <w:shd w:fill="FFFFFF" w:val="clear"/>
            <w:tcMar>
              <w:top w:type="dxa" w:w="80"/>
              <w:left w:type="dxa" w:w="100"/>
              <w:bottom w:type="dxa" w:w="80"/>
              <w:right w:type="dxa" w:w="100"/>
            </w:tcMar>
            <w:vAlign w:val="center"/>
          </w:tcPr>
          <w:p>
            <w:r>
              <w:t xml:space="preserve">Stories are meant to be consumed in rapid succession; any stutter breaks the format.</w:t>
            </w:r>
          </w:p>
        </w:tc>
      </w:tr>
      <w:tr>
        <w:tc>
          <w:tcPr>
            <w:tcW w:type="dxa" w:w="2000"/>
            <w:shd w:fill="F2ECF9" w:val="clear"/>
            <w:tcMar>
              <w:top w:type="dxa" w:w="80"/>
              <w:left w:type="dxa" w:w="100"/>
              <w:bottom w:type="dxa" w:w="80"/>
              <w:right w:type="dxa" w:w="100"/>
            </w:tcMar>
            <w:vAlign w:val="center"/>
          </w:tcPr>
          <w:p>
            <w:r>
              <w:t xml:space="preserve">RSVP confirmation</w:t>
            </w:r>
          </w:p>
        </w:tc>
        <w:tc>
          <w:tcPr>
            <w:tcW w:type="dxa" w:w="1700"/>
            <w:shd w:fill="F2ECF9" w:val="clear"/>
            <w:tcMar>
              <w:top w:type="dxa" w:w="80"/>
              <w:left w:type="dxa" w:w="100"/>
              <w:bottom w:type="dxa" w:w="80"/>
              <w:right w:type="dxa" w:w="100"/>
            </w:tcMar>
            <w:vAlign w:val="center"/>
          </w:tcPr>
          <w:p>
            <w:r>
              <w:t xml:space="preserve">&lt; 1 sec</w:t>
            </w:r>
          </w:p>
        </w:tc>
        <w:tc>
          <w:tcPr>
            <w:tcW w:type="dxa" w:w="6380"/>
            <w:shd w:fill="F2ECF9" w:val="clear"/>
            <w:tcMar>
              <w:top w:type="dxa" w:w="80"/>
              <w:left w:type="dxa" w:w="100"/>
              <w:bottom w:type="dxa" w:w="80"/>
              <w:right w:type="dxa" w:w="100"/>
            </w:tcMar>
            <w:vAlign w:val="center"/>
          </w:tcPr>
          <w:p>
            <w:r>
              <w:t xml:space="preserve">Needs to feel instant — this is the core conversion action of the app. Enforced synchronously (§5.1).</w:t>
            </w:r>
          </w:p>
        </w:tc>
      </w:tr>
      <w:tr>
        <w:tc>
          <w:tcPr>
            <w:tcW w:type="dxa" w:w="2000"/>
            <w:shd w:fill="FFFFFF" w:val="clear"/>
            <w:tcMar>
              <w:top w:type="dxa" w:w="80"/>
              <w:left w:type="dxa" w:w="100"/>
              <w:bottom w:type="dxa" w:w="80"/>
              <w:right w:type="dxa" w:w="100"/>
            </w:tcMar>
            <w:vAlign w:val="center"/>
          </w:tcPr>
          <w:p>
            <w:r>
              <w:t xml:space="preserve">QR check-in validation</w:t>
            </w:r>
          </w:p>
        </w:tc>
        <w:tc>
          <w:tcPr>
            <w:tcW w:type="dxa" w:w="1700"/>
            <w:shd w:fill="FFFFFF" w:val="clear"/>
            <w:tcMar>
              <w:top w:type="dxa" w:w="80"/>
              <w:left w:type="dxa" w:w="100"/>
              <w:bottom w:type="dxa" w:w="80"/>
              <w:right w:type="dxa" w:w="100"/>
            </w:tcMar>
            <w:vAlign w:val="center"/>
          </w:tcPr>
          <w:p>
            <w:r>
              <w:t xml:space="preserve">&lt; 500 ms, on-device</w:t>
            </w:r>
          </w:p>
        </w:tc>
        <w:tc>
          <w:tcPr>
            <w:tcW w:type="dxa" w:w="6380"/>
            <w:shd w:fill="FFFFFF" w:val="clear"/>
            <w:tcMar>
              <w:top w:type="dxa" w:w="80"/>
              <w:left w:type="dxa" w:w="100"/>
              <w:bottom w:type="dxa" w:w="80"/>
              <w:right w:type="dxa" w:w="100"/>
            </w:tcMar>
            <w:vAlign w:val="center"/>
          </w:tcPr>
          <w:p>
            <w:r>
              <w:t xml:space="preserve">Now a local signature check against an Ed25519 public key (§5.5), not a round trip — faster and no longer dependent on venue WiFi/data quality.</w:t>
            </w:r>
          </w:p>
        </w:tc>
      </w:tr>
    </w:tbl>
    <w:p>
      <w:pPr>
        <w:pStyle w:val="Heading2"/>
        <w:spacing w:after="120" w:before="280"/>
      </w:pPr>
      <w:r>
        <w:t xml:space="preserve">5.3 Availability &amp; reliability</w:t>
      </w:r>
    </w:p>
    <w:tbl>
      <w:tblPr>
        <w:tblW w:type="dxa" w:w="10080"/>
        <w:tblBorders>
          <w:top w:val="single" w:color="D9D2E9" w:sz="4"/>
          <w:left w:val="single" w:color="D9D2E9" w:sz="4"/>
          <w:bottom w:val="single" w:color="D9D2E9" w:sz="4"/>
          <w:right w:val="single" w:color="D9D2E9" w:sz="4"/>
          <w:insideH w:val="single" w:color="D9D2E9" w:sz="4"/>
          <w:insideV w:val="single" w:color="D9D2E9" w:sz="4"/>
        </w:tblBorders>
      </w:tblPr>
      <w:tblGrid>
        <w:gridCol w:w="2000"/>
        <w:gridCol w:w="2400"/>
        <w:gridCol w:w="5680"/>
      </w:tblGrid>
      <w:tr>
        <w:trPr>
          <w:tblHeader/>
        </w:trPr>
        <w:tc>
          <w:tcPr>
            <w:tcW w:type="dxa" w:w="2000"/>
            <w:shd w:fill="1B1330" w:val="clear"/>
            <w:tcMar>
              <w:top w:type="dxa" w:w="90"/>
              <w:left w:type="dxa" w:w="100"/>
              <w:bottom w:type="dxa" w:w="90"/>
              <w:right w:type="dxa" w:w="100"/>
            </w:tcMar>
            <w:vAlign w:val="center"/>
          </w:tcPr>
          <w:p>
            <w:r>
              <w:rPr>
                <w:b/>
                <w:bCs/>
                <w:color w:val="FFFFFF"/>
              </w:rPr>
              <w:t xml:space="preserve">Dimension</w:t>
            </w:r>
          </w:p>
        </w:tc>
        <w:tc>
          <w:tcPr>
            <w:tcW w:type="dxa" w:w="2400"/>
            <w:shd w:fill="1B1330" w:val="clear"/>
            <w:tcMar>
              <w:top w:type="dxa" w:w="90"/>
              <w:left w:type="dxa" w:w="100"/>
              <w:bottom w:type="dxa" w:w="90"/>
              <w:right w:type="dxa" w:w="100"/>
            </w:tcMar>
            <w:vAlign w:val="center"/>
          </w:tcPr>
          <w:p>
            <w:r>
              <w:rPr>
                <w:b/>
                <w:bCs/>
                <w:color w:val="FFFFFF"/>
              </w:rPr>
              <w:t xml:space="preserve">Target</w:t>
            </w:r>
          </w:p>
        </w:tc>
        <w:tc>
          <w:tcPr>
            <w:tcW w:type="dxa" w:w="5680"/>
            <w:shd w:fill="1B1330" w:val="clear"/>
            <w:tcMar>
              <w:top w:type="dxa" w:w="90"/>
              <w:left w:type="dxa" w:w="100"/>
              <w:bottom w:type="dxa" w:w="90"/>
              <w:right w:type="dxa" w:w="100"/>
            </w:tcMar>
            <w:vAlign w:val="center"/>
          </w:tcPr>
          <w:p>
            <w:r>
              <w:rPr>
                <w:b/>
                <w:bCs/>
                <w:color w:val="FFFFFF"/>
              </w:rPr>
              <w:t xml:space="preserve">Rationale / notes</w:t>
            </w:r>
          </w:p>
        </w:tc>
      </w:tr>
      <w:tr>
        <w:tc>
          <w:tcPr>
            <w:tcW w:type="dxa" w:w="2000"/>
            <w:shd w:fill="FFFFFF" w:val="clear"/>
            <w:tcMar>
              <w:top w:type="dxa" w:w="80"/>
              <w:left w:type="dxa" w:w="100"/>
              <w:bottom w:type="dxa" w:w="80"/>
              <w:right w:type="dxa" w:w="100"/>
            </w:tcMar>
            <w:vAlign w:val="center"/>
          </w:tcPr>
          <w:p>
            <w:r>
              <w:t xml:space="preserve">Platform uptime target</w:t>
            </w:r>
          </w:p>
        </w:tc>
        <w:tc>
          <w:tcPr>
            <w:tcW w:type="dxa" w:w="2400"/>
            <w:shd w:fill="FFFFFF" w:val="clear"/>
            <w:tcMar>
              <w:top w:type="dxa" w:w="80"/>
              <w:left w:type="dxa" w:w="100"/>
              <w:bottom w:type="dxa" w:w="80"/>
              <w:right w:type="dxa" w:w="100"/>
            </w:tcMar>
            <w:vAlign w:val="center"/>
          </w:tcPr>
          <w:p>
            <w:r>
              <w:t xml:space="preserve">99.5%</w:t>
            </w:r>
          </w:p>
        </w:tc>
        <w:tc>
          <w:tcPr>
            <w:tcW w:type="dxa" w:w="5680"/>
            <w:shd w:fill="FFFFFF" w:val="clear"/>
            <w:tcMar>
              <w:top w:type="dxa" w:w="80"/>
              <w:left w:type="dxa" w:w="100"/>
              <w:bottom w:type="dxa" w:w="80"/>
              <w:right w:type="dxa" w:w="100"/>
            </w:tcMar>
            <w:vAlign w:val="center"/>
          </w:tcPr>
          <w:p>
            <w:r>
              <w:t xml:space="preserve">~3.6 hrs/month allowed downtime. Not a payments platform yet, so this is more relaxed than a fintech SLA.</w:t>
            </w:r>
          </w:p>
        </w:tc>
      </w:tr>
      <w:tr>
        <w:tc>
          <w:tcPr>
            <w:tcW w:type="dxa" w:w="2000"/>
            <w:shd w:fill="F2ECF9" w:val="clear"/>
            <w:tcMar>
              <w:top w:type="dxa" w:w="80"/>
              <w:left w:type="dxa" w:w="100"/>
              <w:bottom w:type="dxa" w:w="80"/>
              <w:right w:type="dxa" w:w="100"/>
            </w:tcMar>
            <w:vAlign w:val="center"/>
          </w:tcPr>
          <w:p>
            <w:r>
              <w:t xml:space="preserve">Check-in scanner uptime</w:t>
            </w:r>
          </w:p>
        </w:tc>
        <w:tc>
          <w:tcPr>
            <w:tcW w:type="dxa" w:w="2400"/>
            <w:shd w:fill="F2ECF9" w:val="clear"/>
            <w:tcMar>
              <w:top w:type="dxa" w:w="80"/>
              <w:left w:type="dxa" w:w="100"/>
              <w:bottom w:type="dxa" w:w="80"/>
              <w:right w:type="dxa" w:w="100"/>
            </w:tcMar>
            <w:vAlign w:val="center"/>
          </w:tcPr>
          <w:p>
            <w:r>
              <w:t xml:space="preserve">Functions with zero backend dependency during the event itself</w:t>
            </w:r>
          </w:p>
        </w:tc>
        <w:tc>
          <w:tcPr>
            <w:tcW w:type="dxa" w:w="5680"/>
            <w:shd w:fill="F2ECF9" w:val="clear"/>
            <w:tcMar>
              <w:top w:type="dxa" w:w="80"/>
              <w:left w:type="dxa" w:w="100"/>
              <w:bottom w:type="dxa" w:w="80"/>
              <w:right w:type="dxa" w:w="100"/>
            </w:tcMar>
            <w:vAlign w:val="center"/>
          </w:tcPr>
          <w:p>
            <w:r>
              <w:t xml:space="preserve">Offline-tolerant validation (§3.3) means scanner uptime is no longer bounded by platform uptime — only sync/reconciliation after the fact depends on connectivity.</w:t>
            </w:r>
          </w:p>
        </w:tc>
      </w:tr>
      <w:tr>
        <w:tc>
          <w:tcPr>
            <w:tcW w:type="dxa" w:w="2000"/>
            <w:shd w:fill="FFFFFF" w:val="clear"/>
            <w:tcMar>
              <w:top w:type="dxa" w:w="80"/>
              <w:left w:type="dxa" w:w="100"/>
              <w:bottom w:type="dxa" w:w="80"/>
              <w:right w:type="dxa" w:w="100"/>
            </w:tcMar>
            <w:vAlign w:val="center"/>
          </w:tcPr>
          <w:p>
            <w:r>
              <w:t xml:space="preserve">Data durability</w:t>
            </w:r>
          </w:p>
        </w:tc>
        <w:tc>
          <w:tcPr>
            <w:tcW w:type="dxa" w:w="2400"/>
            <w:shd w:fill="FFFFFF" w:val="clear"/>
            <w:tcMar>
              <w:top w:type="dxa" w:w="80"/>
              <w:left w:type="dxa" w:w="100"/>
              <w:bottom w:type="dxa" w:w="80"/>
              <w:right w:type="dxa" w:w="100"/>
            </w:tcMar>
            <w:vAlign w:val="center"/>
          </w:tcPr>
          <w:p>
            <w:r>
              <w:t xml:space="preserve">No RSVP or event data loss</w:t>
            </w:r>
          </w:p>
        </w:tc>
        <w:tc>
          <w:tcPr>
            <w:tcW w:type="dxa" w:w="5680"/>
            <w:shd w:fill="FFFFFF" w:val="clear"/>
            <w:tcMar>
              <w:top w:type="dxa" w:w="80"/>
              <w:left w:type="dxa" w:w="100"/>
              <w:bottom w:type="dxa" w:w="80"/>
              <w:right w:type="dxa" w:w="100"/>
            </w:tcMar>
            <w:vAlign w:val="center"/>
          </w:tcPr>
          <w:p>
            <w:r>
              <w:t xml:space="preserve">An RSVP or a published event disappearing is a trust-breaking bug, not a minor one.</w:t>
            </w:r>
          </w:p>
        </w:tc>
      </w:tr>
    </w:tbl>
    <w:p>
      <w:pPr>
        <w:pStyle w:val="Heading2"/>
        <w:spacing w:after="120" w:before="280"/>
      </w:pPr>
      <w:r>
        <w:t xml:space="preserve">5.4 Device &amp; network constraints</w:t>
      </w:r>
    </w:p>
    <w:p>
      <w:pPr>
        <w:pStyle w:val="ListParagraph"/>
        <w:numPr>
          <w:ilvl w:val="0"/>
          <w:numId w:val="2"/>
        </w:numPr>
        <w:spacing w:after="80"/>
      </w:pPr>
      <w:r>
        <w:t xml:space="preserve">Design for mid-range Android devices as the primary target, not flagship iPhones — matches realistic student device ownership.</w:t>
      </w:r>
    </w:p>
    <w:p>
      <w:pPr>
        <w:pStyle w:val="ListParagraph"/>
        <w:numPr>
          <w:ilvl w:val="0"/>
          <w:numId w:val="2"/>
        </w:numPr>
        <w:spacing w:after="80"/>
      </w:pPr>
      <w:r>
        <w:t xml:space="preserve">Campus WiFi and mobile data can be inconsistent, especially in high-density areas during a live event. This is no longer a check-in scanner risk (§3.3, §5.5 resolve it); it still affects feed load and Story upload, which should degrade gracefully rather than assume good connectivity.</w:t>
      </w:r>
    </w:p>
    <w:p>
      <w:pPr>
        <w:pStyle w:val="ListParagraph"/>
        <w:numPr>
          <w:ilvl w:val="0"/>
          <w:numId w:val="2"/>
        </w:numPr>
        <w:spacing w:after="80"/>
      </w:pPr>
      <w:r>
        <w:t xml:space="preserve">Feed and Story media should be compressed/optimized aggressively — this is a data-cost-sensitive user base.</w:t>
      </w:r>
    </w:p>
    <w:p>
      <w:pPr>
        <w:pStyle w:val="Heading2"/>
        <w:spacing w:after="120" w:before="280"/>
      </w:pPr>
      <w:r>
        <w:t xml:space="preserve">5.5 Security &amp; privacy</w:t>
      </w:r>
    </w:p>
    <w:p>
      <w:pPr>
        <w:pStyle w:val="ListParagraph"/>
        <w:numPr>
          <w:ilvl w:val="0"/>
          <w:numId w:val="2"/>
        </w:numPr>
        <w:spacing w:after="80"/>
      </w:pPr>
      <w:r>
        <w:t xml:space="preserve">Student verification data (email, ID upload) is personal data under the Nigeria Data Protection Act (NDPA) starting in v1, not only once payments are introduced in v2. Handle per standard data-privacy practice — access controls, retention limits, and a defined deletion path — from launch.</w:t>
      </w:r>
    </w:p>
    <w:p>
      <w:pPr>
        <w:pStyle w:val="ListParagraph"/>
        <w:numPr>
          <w:ilvl w:val="0"/>
          <w:numId w:val="2"/>
        </w:numPr>
        <w:spacing w:after="80"/>
      </w:pPr>
      <w:r>
        <w:t xml:space="preserve">QR check-in tokens are signed with Ed25519 (asymmetric): the private key signs at RSVP time on the server; the public key ships in the scanner app and verifies offline. This replaces the earlier "single-use or time-boxed" language, which was not achievable under an offline check-in model — see the Decisions Log.</w:t>
      </w:r>
    </w:p>
    <w:p>
      <w:pPr>
        <w:pStyle w:val="ListParagraph"/>
        <w:numPr>
          <w:ilvl w:val="0"/>
          <w:numId w:val="2"/>
        </w:numPr>
        <w:spacing w:after="80"/>
      </w:pPr>
      <w:r>
        <w:t xml:space="preserve">Screenshot-sharing mitigation in v1 is detection, not prevention: every scan is logged with a timestamp and device id, and duplicate or suspicious scans are surfaced to the organizer in the post-event dashboard (§4.2 step 7). This is an accepted v1 limitation, not a solved problem — see §7.1.</w:t>
      </w:r>
    </w:p>
    <w:p>
      <w:pPr>
        <w:pStyle w:val="ListParagraph"/>
        <w:numPr>
          <w:ilvl w:val="0"/>
          <w:numId w:val="2"/>
        </w:numPr>
        <w:spacing w:after="80"/>
      </w:pPr>
      <w:r>
        <w:t xml:space="preserve">No payment data exists in v1's scope — this significantly reduces v1's compliance surface versus v2, but does not exempt v1 from NDPA obligations around identity data.</w:t>
      </w:r>
    </w:p>
    <w:p>
      <w:pPr>
        <w:pStyle w:val="Heading1"/>
        <w:spacing w:after="160" w:before="360"/>
      </w:pPr>
      <w:r>
        <w:t xml:space="preserve">6. Success Metrics</w:t>
      </w:r>
    </w:p>
    <w:p>
      <w:pPr>
        <w:pStyle w:val="Heading2"/>
        <w:spacing w:after="120" w:before="280"/>
      </w:pPr>
      <w:r>
        <w:t xml:space="preserve">6.1 North star metric</w:t>
      </w:r>
    </w:p>
    <w:p>
      <w:pPr>
        <w:spacing w:after="160"/>
      </w:pPr>
      <w:r>
        <w:rPr>
          <w:i/>
          <w:iCs/>
        </w:rPr>
        <w:t xml:space="preserve">Weekly RSVP'd attendees who check in at the event ("shown-up attendance"). This is deliberately not signups or downloads — it's the one number that proves the discovery-to-attendance loop is actually working, not just that people installed the app.</w:t>
      </w:r>
    </w:p>
    <w:p>
      <w:pPr>
        <w:pStyle w:val="Heading2"/>
        <w:spacing w:after="120" w:before="280"/>
      </w:pPr>
      <w:r>
        <w:t xml:space="preserve">6.2 Attendee-side KPIs</w:t>
      </w:r>
    </w:p>
    <w:tbl>
      <w:tblPr>
        <w:tblW w:type="dxa" w:w="10080"/>
        <w:tblBorders>
          <w:top w:val="single" w:color="D9D2E9" w:sz="4"/>
          <w:left w:val="single" w:color="D9D2E9" w:sz="4"/>
          <w:bottom w:val="single" w:color="D9D2E9" w:sz="4"/>
          <w:right w:val="single" w:color="D9D2E9" w:sz="4"/>
          <w:insideH w:val="single" w:color="D9D2E9" w:sz="4"/>
          <w:insideV w:val="single" w:color="D9D2E9" w:sz="4"/>
        </w:tblBorders>
      </w:tblPr>
      <w:tblGrid>
        <w:gridCol w:w="2200"/>
        <w:gridCol w:w="1500"/>
        <w:gridCol w:w="6380"/>
      </w:tblGrid>
      <w:tr>
        <w:trPr>
          <w:tblHeader/>
        </w:trPr>
        <w:tc>
          <w:tcPr>
            <w:tcW w:type="dxa" w:w="2200"/>
            <w:shd w:fill="1B1330" w:val="clear"/>
            <w:tcMar>
              <w:top w:type="dxa" w:w="90"/>
              <w:left w:type="dxa" w:w="100"/>
              <w:bottom w:type="dxa" w:w="90"/>
              <w:right w:type="dxa" w:w="100"/>
            </w:tcMar>
            <w:vAlign w:val="center"/>
          </w:tcPr>
          <w:p>
            <w:r>
              <w:rPr>
                <w:b/>
                <w:bCs/>
                <w:color w:val="FFFFFF"/>
              </w:rPr>
              <w:t xml:space="preserve">Metric</w:t>
            </w:r>
          </w:p>
        </w:tc>
        <w:tc>
          <w:tcPr>
            <w:tcW w:type="dxa" w:w="1500"/>
            <w:shd w:fill="1B1330" w:val="clear"/>
            <w:tcMar>
              <w:top w:type="dxa" w:w="90"/>
              <w:left w:type="dxa" w:w="100"/>
              <w:bottom w:type="dxa" w:w="90"/>
              <w:right w:type="dxa" w:w="100"/>
            </w:tcMar>
            <w:vAlign w:val="center"/>
          </w:tcPr>
          <w:p>
            <w:r>
              <w:rPr>
                <w:b/>
                <w:bCs/>
                <w:color w:val="FFFFFF"/>
              </w:rPr>
              <w:t xml:space="preserve">v1 target</w:t>
            </w:r>
          </w:p>
        </w:tc>
        <w:tc>
          <w:tcPr>
            <w:tcW w:type="dxa" w:w="6380"/>
            <w:shd w:fill="1B1330" w:val="clear"/>
            <w:tcMar>
              <w:top w:type="dxa" w:w="90"/>
              <w:left w:type="dxa" w:w="100"/>
              <w:bottom w:type="dxa" w:w="90"/>
              <w:right w:type="dxa" w:w="100"/>
            </w:tcMar>
            <w:vAlign w:val="center"/>
          </w:tcPr>
          <w:p>
            <w:r>
              <w:rPr>
                <w:b/>
                <w:bCs/>
                <w:color w:val="FFFFFF"/>
              </w:rPr>
              <w:t xml:space="preserve">Why it matters</w:t>
            </w:r>
          </w:p>
        </w:tc>
      </w:tr>
      <w:tr>
        <w:tc>
          <w:tcPr>
            <w:tcW w:type="dxa" w:w="2200"/>
            <w:shd w:fill="FFFFFF" w:val="clear"/>
            <w:tcMar>
              <w:top w:type="dxa" w:w="80"/>
              <w:left w:type="dxa" w:w="100"/>
              <w:bottom w:type="dxa" w:w="80"/>
              <w:right w:type="dxa" w:w="100"/>
            </w:tcMar>
            <w:vAlign w:val="center"/>
          </w:tcPr>
          <w:p>
            <w:r>
              <w:t xml:space="preserve">Weekly active users (WAU)</w:t>
            </w:r>
          </w:p>
        </w:tc>
        <w:tc>
          <w:tcPr>
            <w:tcW w:type="dxa" w:w="1500"/>
            <w:shd w:fill="FFFFFF" w:val="clear"/>
            <w:tcMar>
              <w:top w:type="dxa" w:w="80"/>
              <w:left w:type="dxa" w:w="100"/>
              <w:bottom w:type="dxa" w:w="80"/>
              <w:right w:type="dxa" w:w="100"/>
            </w:tcMar>
            <w:vAlign w:val="center"/>
          </w:tcPr>
          <w:p>
            <w:r>
              <w:t xml:space="preserve">8,000+</w:t>
            </w:r>
          </w:p>
        </w:tc>
        <w:tc>
          <w:tcPr>
            <w:tcW w:type="dxa" w:w="6380"/>
            <w:shd w:fill="FFFFFF" w:val="clear"/>
            <w:tcMar>
              <w:top w:type="dxa" w:w="80"/>
              <w:left w:type="dxa" w:w="100"/>
              <w:bottom w:type="dxa" w:w="80"/>
              <w:right w:type="dxa" w:w="100"/>
            </w:tcMar>
            <w:vAlign w:val="center"/>
          </w:tcPr>
          <w:p>
            <w:r>
              <w:t xml:space="preserve">~25% of UI's ~33,000 students engaging weekly is a credible bar for a single-campus social app at this stage.</w:t>
            </w:r>
          </w:p>
        </w:tc>
      </w:tr>
      <w:tr>
        <w:tc>
          <w:tcPr>
            <w:tcW w:type="dxa" w:w="2200"/>
            <w:shd w:fill="F2ECF9" w:val="clear"/>
            <w:tcMar>
              <w:top w:type="dxa" w:w="80"/>
              <w:left w:type="dxa" w:w="100"/>
              <w:bottom w:type="dxa" w:w="80"/>
              <w:right w:type="dxa" w:w="100"/>
            </w:tcMar>
            <w:vAlign w:val="center"/>
          </w:tcPr>
          <w:p>
            <w:r>
              <w:t xml:space="preserve">RSVP → check-in conversion</w:t>
            </w:r>
          </w:p>
        </w:tc>
        <w:tc>
          <w:tcPr>
            <w:tcW w:type="dxa" w:w="1500"/>
            <w:shd w:fill="F2ECF9" w:val="clear"/>
            <w:tcMar>
              <w:top w:type="dxa" w:w="80"/>
              <w:left w:type="dxa" w:w="100"/>
              <w:bottom w:type="dxa" w:w="80"/>
              <w:right w:type="dxa" w:w="100"/>
            </w:tcMar>
            <w:vAlign w:val="center"/>
          </w:tcPr>
          <w:p>
            <w:r>
              <w:t xml:space="preserve">≥ 60%</w:t>
            </w:r>
          </w:p>
        </w:tc>
        <w:tc>
          <w:tcPr>
            <w:tcW w:type="dxa" w:w="6380"/>
            <w:shd w:fill="F2ECF9" w:val="clear"/>
            <w:tcMar>
              <w:top w:type="dxa" w:w="80"/>
              <w:left w:type="dxa" w:w="100"/>
              <w:bottom w:type="dxa" w:w="80"/>
              <w:right w:type="dxa" w:w="100"/>
            </w:tcMar>
            <w:vAlign w:val="center"/>
          </w:tcPr>
          <w:p>
            <w:r>
              <w:t xml:space="preserve">The gap between RSVP and showing up is the truest signal of whether the feed is surfacing events people actually want.</w:t>
            </w:r>
          </w:p>
        </w:tc>
      </w:tr>
      <w:tr>
        <w:tc>
          <w:tcPr>
            <w:tcW w:type="dxa" w:w="2200"/>
            <w:shd w:fill="FFFFFF" w:val="clear"/>
            <w:tcMar>
              <w:top w:type="dxa" w:w="80"/>
              <w:left w:type="dxa" w:w="100"/>
              <w:bottom w:type="dxa" w:w="80"/>
              <w:right w:type="dxa" w:w="100"/>
            </w:tcMar>
            <w:vAlign w:val="center"/>
          </w:tcPr>
          <w:p>
            <w:r>
              <w:t xml:space="preserve">Stories viewed per session</w:t>
            </w:r>
          </w:p>
        </w:tc>
        <w:tc>
          <w:tcPr>
            <w:tcW w:type="dxa" w:w="1500"/>
            <w:shd w:fill="FFFFFF" w:val="clear"/>
            <w:tcMar>
              <w:top w:type="dxa" w:w="80"/>
              <w:left w:type="dxa" w:w="100"/>
              <w:bottom w:type="dxa" w:w="80"/>
              <w:right w:type="dxa" w:w="100"/>
            </w:tcMar>
            <w:vAlign w:val="center"/>
          </w:tcPr>
          <w:p>
            <w:r>
              <w:t xml:space="preserve">3+</w:t>
            </w:r>
          </w:p>
        </w:tc>
        <w:tc>
          <w:tcPr>
            <w:tcW w:type="dxa" w:w="6380"/>
            <w:shd w:fill="FFFFFF" w:val="clear"/>
            <w:tcMar>
              <w:top w:type="dxa" w:w="80"/>
              <w:left w:type="dxa" w:w="100"/>
              <w:bottom w:type="dxa" w:w="80"/>
              <w:right w:type="dxa" w:w="100"/>
            </w:tcMar>
            <w:vAlign w:val="center"/>
          </w:tcPr>
          <w:p>
            <w:r>
              <w:t xml:space="preserve">Validates that Stories are doing their job as the primary discovery surface, not a novelty feature nobody opens.</w:t>
            </w:r>
          </w:p>
        </w:tc>
      </w:tr>
      <w:tr>
        <w:tc>
          <w:tcPr>
            <w:tcW w:type="dxa" w:w="2200"/>
            <w:shd w:fill="F2ECF9" w:val="clear"/>
            <w:tcMar>
              <w:top w:type="dxa" w:w="80"/>
              <w:left w:type="dxa" w:w="100"/>
              <w:bottom w:type="dxa" w:w="80"/>
              <w:right w:type="dxa" w:w="100"/>
            </w:tcMar>
            <w:vAlign w:val="center"/>
          </w:tcPr>
          <w:p>
            <w:r>
              <w:t xml:space="preserve">D7 retention</w:t>
            </w:r>
          </w:p>
        </w:tc>
        <w:tc>
          <w:tcPr>
            <w:tcW w:type="dxa" w:w="1500"/>
            <w:shd w:fill="F2ECF9" w:val="clear"/>
            <w:tcMar>
              <w:top w:type="dxa" w:w="80"/>
              <w:left w:type="dxa" w:w="100"/>
              <w:bottom w:type="dxa" w:w="80"/>
              <w:right w:type="dxa" w:w="100"/>
            </w:tcMar>
            <w:vAlign w:val="center"/>
          </w:tcPr>
          <w:p>
            <w:r>
              <w:t xml:space="preserve">≥ 35%</w:t>
            </w:r>
          </w:p>
        </w:tc>
        <w:tc>
          <w:tcPr>
            <w:tcW w:type="dxa" w:w="6380"/>
            <w:shd w:fill="F2ECF9" w:val="clear"/>
            <w:tcMar>
              <w:top w:type="dxa" w:w="80"/>
              <w:left w:type="dxa" w:w="100"/>
              <w:bottom w:type="dxa" w:w="80"/>
              <w:right w:type="dxa" w:w="100"/>
            </w:tcMar>
            <w:vAlign w:val="center"/>
          </w:tcPr>
          <w:p>
            <w:r>
              <w:t xml:space="preserve">Campus event apps live or die on habitual reopening — a student who doesn't come back in week one won't be there for Hall Week.</w:t>
            </w:r>
          </w:p>
        </w:tc>
      </w:tr>
    </w:tbl>
    <w:p>
      <w:pPr>
        <w:pStyle w:val="Heading2"/>
        <w:spacing w:after="120" w:before="280"/>
      </w:pPr>
      <w:r>
        <w:t xml:space="preserve">6.3 Organizer-side KPIs</w:t>
      </w:r>
    </w:p>
    <w:tbl>
      <w:tblPr>
        <w:tblW w:type="dxa" w:w="10080"/>
        <w:tblBorders>
          <w:top w:val="single" w:color="D9D2E9" w:sz="4"/>
          <w:left w:val="single" w:color="D9D2E9" w:sz="4"/>
          <w:bottom w:val="single" w:color="D9D2E9" w:sz="4"/>
          <w:right w:val="single" w:color="D9D2E9" w:sz="4"/>
          <w:insideH w:val="single" w:color="D9D2E9" w:sz="4"/>
          <w:insideV w:val="single" w:color="D9D2E9" w:sz="4"/>
        </w:tblBorders>
      </w:tblPr>
      <w:tblGrid>
        <w:gridCol w:w="2200"/>
        <w:gridCol w:w="1500"/>
        <w:gridCol w:w="6380"/>
      </w:tblGrid>
      <w:tr>
        <w:trPr>
          <w:tblHeader/>
        </w:trPr>
        <w:tc>
          <w:tcPr>
            <w:tcW w:type="dxa" w:w="2200"/>
            <w:shd w:fill="1B1330" w:val="clear"/>
            <w:tcMar>
              <w:top w:type="dxa" w:w="90"/>
              <w:left w:type="dxa" w:w="100"/>
              <w:bottom w:type="dxa" w:w="90"/>
              <w:right w:type="dxa" w:w="100"/>
            </w:tcMar>
            <w:vAlign w:val="center"/>
          </w:tcPr>
          <w:p>
            <w:r>
              <w:rPr>
                <w:b/>
                <w:bCs/>
                <w:color w:val="FFFFFF"/>
              </w:rPr>
              <w:t xml:space="preserve">Metric</w:t>
            </w:r>
          </w:p>
        </w:tc>
        <w:tc>
          <w:tcPr>
            <w:tcW w:type="dxa" w:w="1500"/>
            <w:shd w:fill="1B1330" w:val="clear"/>
            <w:tcMar>
              <w:top w:type="dxa" w:w="90"/>
              <w:left w:type="dxa" w:w="100"/>
              <w:bottom w:type="dxa" w:w="90"/>
              <w:right w:type="dxa" w:w="100"/>
            </w:tcMar>
            <w:vAlign w:val="center"/>
          </w:tcPr>
          <w:p>
            <w:r>
              <w:rPr>
                <w:b/>
                <w:bCs/>
                <w:color w:val="FFFFFF"/>
              </w:rPr>
              <w:t xml:space="preserve">v1 target</w:t>
            </w:r>
          </w:p>
        </w:tc>
        <w:tc>
          <w:tcPr>
            <w:tcW w:type="dxa" w:w="6380"/>
            <w:shd w:fill="1B1330" w:val="clear"/>
            <w:tcMar>
              <w:top w:type="dxa" w:w="90"/>
              <w:left w:type="dxa" w:w="100"/>
              <w:bottom w:type="dxa" w:w="90"/>
              <w:right w:type="dxa" w:w="100"/>
            </w:tcMar>
            <w:vAlign w:val="center"/>
          </w:tcPr>
          <w:p>
            <w:r>
              <w:rPr>
                <w:b/>
                <w:bCs/>
                <w:color w:val="FFFFFF"/>
              </w:rPr>
              <w:t xml:space="preserve">Why it matters</w:t>
            </w:r>
          </w:p>
        </w:tc>
      </w:tr>
      <w:tr>
        <w:tc>
          <w:tcPr>
            <w:tcW w:type="dxa" w:w="2200"/>
            <w:shd w:fill="FFFFFF" w:val="clear"/>
            <w:tcMar>
              <w:top w:type="dxa" w:w="80"/>
              <w:left w:type="dxa" w:w="100"/>
              <w:bottom w:type="dxa" w:w="80"/>
              <w:right w:type="dxa" w:w="100"/>
            </w:tcMar>
            <w:vAlign w:val="center"/>
          </w:tcPr>
          <w:p>
            <w:r>
              <w:t xml:space="preserve">Verified organizer accounts</w:t>
            </w:r>
          </w:p>
        </w:tc>
        <w:tc>
          <w:tcPr>
            <w:tcW w:type="dxa" w:w="1500"/>
            <w:shd w:fill="FFFFFF" w:val="clear"/>
            <w:tcMar>
              <w:top w:type="dxa" w:w="80"/>
              <w:left w:type="dxa" w:w="100"/>
              <w:bottom w:type="dxa" w:w="80"/>
              <w:right w:type="dxa" w:w="100"/>
            </w:tcMar>
            <w:vAlign w:val="center"/>
          </w:tcPr>
          <w:p>
            <w:r>
              <w:t xml:space="preserve">150+</w:t>
            </w:r>
          </w:p>
        </w:tc>
        <w:tc>
          <w:tcPr>
            <w:tcW w:type="dxa" w:w="6380"/>
            <w:shd w:fill="FFFFFF" w:val="clear"/>
            <w:tcMar>
              <w:top w:type="dxa" w:w="80"/>
              <w:left w:type="dxa" w:w="100"/>
              <w:bottom w:type="dxa" w:w="80"/>
              <w:right w:type="dxa" w:w="100"/>
            </w:tcMar>
            <w:vAlign w:val="center"/>
          </w:tcPr>
          <w:p>
            <w:r>
              <w:t xml:space="preserve">Rough proxy for meaningful coverage of UI's faculty associations, hall committees, and clubs.</w:t>
            </w:r>
          </w:p>
        </w:tc>
      </w:tr>
      <w:tr>
        <w:tc>
          <w:tcPr>
            <w:tcW w:type="dxa" w:w="2200"/>
            <w:shd w:fill="F2ECF9" w:val="clear"/>
            <w:tcMar>
              <w:top w:type="dxa" w:w="80"/>
              <w:left w:type="dxa" w:w="100"/>
              <w:bottom w:type="dxa" w:w="80"/>
              <w:right w:type="dxa" w:w="100"/>
            </w:tcMar>
            <w:vAlign w:val="center"/>
          </w:tcPr>
          <w:p>
            <w:r>
              <w:t xml:space="preserve">Events published per week</w:t>
            </w:r>
          </w:p>
        </w:tc>
        <w:tc>
          <w:tcPr>
            <w:tcW w:type="dxa" w:w="1500"/>
            <w:shd w:fill="F2ECF9" w:val="clear"/>
            <w:tcMar>
              <w:top w:type="dxa" w:w="80"/>
              <w:left w:type="dxa" w:w="100"/>
              <w:bottom w:type="dxa" w:w="80"/>
              <w:right w:type="dxa" w:w="100"/>
            </w:tcMar>
            <w:vAlign w:val="center"/>
          </w:tcPr>
          <w:p>
            <w:r>
              <w:t xml:space="preserve">40+</w:t>
            </w:r>
          </w:p>
        </w:tc>
        <w:tc>
          <w:tcPr>
            <w:tcW w:type="dxa" w:w="6380"/>
            <w:shd w:fill="F2ECF9" w:val="clear"/>
            <w:tcMar>
              <w:top w:type="dxa" w:w="80"/>
              <w:left w:type="dxa" w:w="100"/>
              <w:bottom w:type="dxa" w:w="80"/>
              <w:right w:type="dxa" w:w="100"/>
            </w:tcMar>
            <w:vAlign w:val="center"/>
          </w:tcPr>
          <w:p>
            <w:r>
              <w:t xml:space="preserve">Needs to be high enough that the feed feels alive on any given day, not sparse. Cuts across all categories in §3.0.</w:t>
            </w:r>
          </w:p>
        </w:tc>
      </w:tr>
      <w:tr>
        <w:tc>
          <w:tcPr>
            <w:tcW w:type="dxa" w:w="2200"/>
            <w:shd w:fill="FFFFFF" w:val="clear"/>
            <w:tcMar>
              <w:top w:type="dxa" w:w="80"/>
              <w:left w:type="dxa" w:w="100"/>
              <w:bottom w:type="dxa" w:w="80"/>
              <w:right w:type="dxa" w:w="100"/>
            </w:tcMar>
            <w:vAlign w:val="center"/>
          </w:tcPr>
          <w:p>
            <w:r>
              <w:t xml:space="preserve">Organizer week-2 retention</w:t>
            </w:r>
          </w:p>
        </w:tc>
        <w:tc>
          <w:tcPr>
            <w:tcW w:type="dxa" w:w="1500"/>
            <w:shd w:fill="FFFFFF" w:val="clear"/>
            <w:tcMar>
              <w:top w:type="dxa" w:w="80"/>
              <w:left w:type="dxa" w:w="100"/>
              <w:bottom w:type="dxa" w:w="80"/>
              <w:right w:type="dxa" w:w="100"/>
            </w:tcMar>
            <w:vAlign w:val="center"/>
          </w:tcPr>
          <w:p>
            <w:r>
              <w:t xml:space="preserve">≥ 50%</w:t>
            </w:r>
          </w:p>
        </w:tc>
        <w:tc>
          <w:tcPr>
            <w:tcW w:type="dxa" w:w="6380"/>
            <w:shd w:fill="FFFFFF" w:val="clear"/>
            <w:tcMar>
              <w:top w:type="dxa" w:w="80"/>
              <w:left w:type="dxa" w:w="100"/>
              <w:bottom w:type="dxa" w:w="80"/>
              <w:right w:type="dxa" w:w="100"/>
            </w:tcMar>
            <w:vAlign w:val="center"/>
          </w:tcPr>
          <w:p>
            <w:r>
              <w:t xml:space="preserve">An organizer who publishes once and never returns hasn't found the tool valuable.</w:t>
            </w:r>
          </w:p>
        </w:tc>
      </w:tr>
      <w:tr>
        <w:tc>
          <w:tcPr>
            <w:tcW w:type="dxa" w:w="2200"/>
            <w:shd w:fill="F2ECF9" w:val="clear"/>
            <w:tcMar>
              <w:top w:type="dxa" w:w="80"/>
              <w:left w:type="dxa" w:w="100"/>
              <w:bottom w:type="dxa" w:w="80"/>
              <w:right w:type="dxa" w:w="100"/>
            </w:tcMar>
            <w:vAlign w:val="center"/>
          </w:tcPr>
          <w:p>
            <w:r>
              <w:t xml:space="preserve">Avg. RSVPs per published event</w:t>
            </w:r>
          </w:p>
        </w:tc>
        <w:tc>
          <w:tcPr>
            <w:tcW w:type="dxa" w:w="1500"/>
            <w:shd w:fill="F2ECF9" w:val="clear"/>
            <w:tcMar>
              <w:top w:type="dxa" w:w="80"/>
              <w:left w:type="dxa" w:w="100"/>
              <w:bottom w:type="dxa" w:w="80"/>
              <w:right w:type="dxa" w:w="100"/>
            </w:tcMar>
            <w:vAlign w:val="center"/>
          </w:tcPr>
          <w:p>
            <w:r>
              <w:t xml:space="preserve">Trending up</w:t>
            </w:r>
          </w:p>
        </w:tc>
        <w:tc>
          <w:tcPr>
            <w:tcW w:type="dxa" w:w="6380"/>
            <w:shd w:fill="F2ECF9" w:val="clear"/>
            <w:tcMar>
              <w:top w:type="dxa" w:w="80"/>
              <w:left w:type="dxa" w:w="100"/>
              <w:bottom w:type="dxa" w:w="80"/>
              <w:right w:type="dxa" w:w="100"/>
            </w:tcMar>
            <w:vAlign w:val="center"/>
          </w:tcPr>
          <w:p>
            <w:r>
              <w:t xml:space="preserve">Directly reflects whether organizers are getting the payoff (better turnout) that justifies using the app over WhatsApp/Instagram.</w:t>
            </w:r>
          </w:p>
        </w:tc>
      </w:tr>
    </w:tbl>
    <w:p>
      <w:pPr>
        <w:pStyle w:val="Heading2"/>
        <w:spacing w:after="120" w:before="280"/>
      </w:pPr>
      <w:r>
        <w:t xml:space="preserve">6.4 Launch health checkpoints</w:t>
      </w:r>
    </w:p>
    <w:p>
      <w:pPr>
        <w:spacing w:after="160"/>
      </w:pPr>
      <w:r>
        <w:t xml:space="preserve">Rough gates to sanity-check v1 is on track — not contractual targets, but the points at which the team should pause and ask "is this working?" rather than push forward on assumption.</w:t>
      </w:r>
    </w:p>
    <w:p>
      <w:pPr>
        <w:pStyle w:val="ListParagraph"/>
        <w:numPr>
          <w:ilvl w:val="0"/>
          <w:numId w:val="2"/>
        </w:numPr>
        <w:spacing w:after="80"/>
      </w:pPr>
      <w:r>
        <w:t xml:space="preserve">30 days: organizer-side supply exists — enough verified organizers and published events across categories that the feed doesn't look empty to a new attendee.</w:t>
      </w:r>
    </w:p>
    <w:p>
      <w:pPr>
        <w:pStyle w:val="ListParagraph"/>
        <w:numPr>
          <w:ilvl w:val="0"/>
          <w:numId w:val="2"/>
        </w:numPr>
        <w:spacing w:after="80"/>
      </w:pPr>
      <w:r>
        <w:t xml:space="preserve">60 days: attendee-side pull is visible — RSVP → check-in conversion and D7 retention are trending toward target, not flat.</w:t>
      </w:r>
    </w:p>
    <w:p>
      <w:pPr>
        <w:pStyle w:val="ListParagraph"/>
        <w:numPr>
          <w:ilvl w:val="0"/>
          <w:numId w:val="2"/>
        </w:numPr>
        <w:spacing w:after="80"/>
      </w:pPr>
      <w:r>
        <w:t xml:space="preserve">90 days: the loop is self-sustaining — organizers are returning because RSVPs demonstrably beat their WhatsApp/Instagram baseline, without manual outreach from the CampusPulse team.</w:t>
      </w:r>
    </w:p>
    <w:p>
      <w:pPr>
        <w:pStyle w:val="Heading1"/>
        <w:spacing w:after="160" w:before="360"/>
      </w:pPr>
      <w:r>
        <w:t xml:space="preserve">7. Risks &amp; Open Questions</w:t>
      </w:r>
    </w:p>
    <w:p>
      <w:pPr>
        <w:pStyle w:val="Heading2"/>
        <w:spacing w:after="120" w:before="280"/>
      </w:pPr>
      <w:r>
        <w:t xml:space="preserve">7.1 Product risks</w:t>
      </w:r>
    </w:p>
    <w:tbl>
      <w:tblPr>
        <w:tblW w:type="dxa" w:w="10080"/>
        <w:tblBorders>
          <w:top w:val="single" w:color="D9D2E9" w:sz="4"/>
          <w:left w:val="single" w:color="D9D2E9" w:sz="4"/>
          <w:bottom w:val="single" w:color="D9D2E9" w:sz="4"/>
          <w:right w:val="single" w:color="D9D2E9" w:sz="4"/>
          <w:insideH w:val="single" w:color="D9D2E9" w:sz="4"/>
          <w:insideV w:val="single" w:color="D9D2E9" w:sz="4"/>
        </w:tblBorders>
      </w:tblPr>
      <w:tblGrid>
        <w:gridCol w:w="1900"/>
        <w:gridCol w:w="2400"/>
        <w:gridCol w:w="5780"/>
      </w:tblGrid>
      <w:tr>
        <w:trPr>
          <w:tblHeader/>
        </w:trPr>
        <w:tc>
          <w:tcPr>
            <w:tcW w:type="dxa" w:w="1900"/>
            <w:shd w:fill="1B1330" w:val="clear"/>
            <w:tcMar>
              <w:top w:type="dxa" w:w="90"/>
              <w:left w:type="dxa" w:w="100"/>
              <w:bottom w:type="dxa" w:w="90"/>
              <w:right w:type="dxa" w:w="100"/>
            </w:tcMar>
            <w:vAlign w:val="center"/>
          </w:tcPr>
          <w:p>
            <w:r>
              <w:rPr>
                <w:b/>
                <w:bCs/>
                <w:color w:val="FFFFFF"/>
              </w:rPr>
              <w:t xml:space="preserve">Risk</w:t>
            </w:r>
          </w:p>
        </w:tc>
        <w:tc>
          <w:tcPr>
            <w:tcW w:type="dxa" w:w="2400"/>
            <w:shd w:fill="1B1330" w:val="clear"/>
            <w:tcMar>
              <w:top w:type="dxa" w:w="90"/>
              <w:left w:type="dxa" w:w="100"/>
              <w:bottom w:type="dxa" w:w="90"/>
              <w:right w:type="dxa" w:w="100"/>
            </w:tcMar>
            <w:vAlign w:val="center"/>
          </w:tcPr>
          <w:p>
            <w:r>
              <w:rPr>
                <w:b/>
                <w:bCs/>
                <w:color w:val="FFFFFF"/>
              </w:rPr>
              <w:t xml:space="preserve">Why it matters</w:t>
            </w:r>
          </w:p>
        </w:tc>
        <w:tc>
          <w:tcPr>
            <w:tcW w:type="dxa" w:w="5780"/>
            <w:shd w:fill="1B1330" w:val="clear"/>
            <w:tcMar>
              <w:top w:type="dxa" w:w="90"/>
              <w:left w:type="dxa" w:w="100"/>
              <w:bottom w:type="dxa" w:w="90"/>
              <w:right w:type="dxa" w:w="100"/>
            </w:tcMar>
            <w:vAlign w:val="center"/>
          </w:tcPr>
          <w:p>
            <w:r>
              <w:rPr>
                <w:b/>
                <w:bCs/>
                <w:color w:val="FFFFFF"/>
              </w:rPr>
              <w:t xml:space="preserve">Mitigation for v1</w:t>
            </w:r>
          </w:p>
        </w:tc>
      </w:tr>
      <w:tr>
        <w:tc>
          <w:tcPr>
            <w:tcW w:type="dxa" w:w="1900"/>
            <w:shd w:fill="FFFFFF" w:val="clear"/>
            <w:tcMar>
              <w:top w:type="dxa" w:w="80"/>
              <w:left w:type="dxa" w:w="100"/>
              <w:bottom w:type="dxa" w:w="80"/>
              <w:right w:type="dxa" w:w="100"/>
            </w:tcMar>
            <w:vAlign w:val="center"/>
          </w:tcPr>
          <w:p>
            <w:r>
              <w:t xml:space="preserve">Cold-start / two-sided bootstrap</w:t>
            </w:r>
          </w:p>
        </w:tc>
        <w:tc>
          <w:tcPr>
            <w:tcW w:type="dxa" w:w="2400"/>
            <w:shd w:fill="FFFFFF" w:val="clear"/>
            <w:tcMar>
              <w:top w:type="dxa" w:w="80"/>
              <w:left w:type="dxa" w:w="100"/>
              <w:bottom w:type="dxa" w:w="80"/>
              <w:right w:type="dxa" w:w="100"/>
            </w:tcMar>
            <w:vAlign w:val="center"/>
          </w:tcPr>
          <w:p>
            <w:r>
              <w:t xml:space="preserve">A feed with no events looks dead to attendees; an app with no attendees looks pointless to organizers.</w:t>
            </w:r>
          </w:p>
        </w:tc>
        <w:tc>
          <w:tcPr>
            <w:tcW w:type="dxa" w:w="5780"/>
            <w:shd w:fill="FFFFFF" w:val="clear"/>
            <w:tcMar>
              <w:top w:type="dxa" w:w="80"/>
              <w:left w:type="dxa" w:w="100"/>
              <w:bottom w:type="dxa" w:w="80"/>
              <w:right w:type="dxa" w:w="100"/>
            </w:tcMar>
            <w:vAlign w:val="center"/>
          </w:tcPr>
          <w:p>
            <w:r>
              <w:t xml:space="preserve">Manually recruit and onboard a critical mass of organizers across categories (§3.0) before public attendee launch, so the feed has real content on day one.</w:t>
            </w:r>
          </w:p>
        </w:tc>
      </w:tr>
      <w:tr>
        <w:tc>
          <w:tcPr>
            <w:tcW w:type="dxa" w:w="1900"/>
            <w:shd w:fill="F2ECF9" w:val="clear"/>
            <w:tcMar>
              <w:top w:type="dxa" w:w="80"/>
              <w:left w:type="dxa" w:w="100"/>
              <w:bottom w:type="dxa" w:w="80"/>
              <w:right w:type="dxa" w:w="100"/>
            </w:tcMar>
            <w:vAlign w:val="center"/>
          </w:tcPr>
          <w:p>
            <w:r>
              <w:t xml:space="preserve">Organizer verification friction</w:t>
            </w:r>
          </w:p>
        </w:tc>
        <w:tc>
          <w:tcPr>
            <w:tcW w:type="dxa" w:w="2400"/>
            <w:shd w:fill="F2ECF9" w:val="clear"/>
            <w:tcMar>
              <w:top w:type="dxa" w:w="80"/>
              <w:left w:type="dxa" w:w="100"/>
              <w:bottom w:type="dxa" w:w="80"/>
              <w:right w:type="dxa" w:w="100"/>
            </w:tcMar>
            <w:vAlign w:val="center"/>
          </w:tcPr>
          <w:p>
            <w:r>
              <w:t xml:space="preserve">Manual review (§3.2) doesn't scale past a handful of organizers and could bottleneck launch if under-resourced.</w:t>
            </w:r>
          </w:p>
        </w:tc>
        <w:tc>
          <w:tcPr>
            <w:tcW w:type="dxa" w:w="5780"/>
            <w:shd w:fill="F2ECF9" w:val="clear"/>
            <w:tcMar>
              <w:top w:type="dxa" w:w="80"/>
              <w:left w:type="dxa" w:w="100"/>
              <w:bottom w:type="dxa" w:w="80"/>
              <w:right w:type="dxa" w:w="100"/>
            </w:tcMar>
            <w:vAlign w:val="center"/>
          </w:tcPr>
          <w:p>
            <w:r>
              <w:t xml:space="preserve">Scope manual review tightly to UI-affiliated emails/known student leadership lists for v1; revisit if verification queue becomes a launch blocker.</w:t>
            </w:r>
          </w:p>
        </w:tc>
      </w:tr>
      <w:tr>
        <w:tc>
          <w:tcPr>
            <w:tcW w:type="dxa" w:w="1900"/>
            <w:shd w:fill="FFFFFF" w:val="clear"/>
            <w:tcMar>
              <w:top w:type="dxa" w:w="80"/>
              <w:left w:type="dxa" w:w="100"/>
              <w:bottom w:type="dxa" w:w="80"/>
              <w:right w:type="dxa" w:w="100"/>
            </w:tcMar>
            <w:vAlign w:val="center"/>
          </w:tcPr>
          <w:p>
            <w:r>
              <w:t xml:space="preserve">QR screenshot sharing</w:t>
            </w:r>
          </w:p>
        </w:tc>
        <w:tc>
          <w:tcPr>
            <w:tcW w:type="dxa" w:w="2400"/>
            <w:shd w:fill="FFFFFF" w:val="clear"/>
            <w:tcMar>
              <w:top w:type="dxa" w:w="80"/>
              <w:left w:type="dxa" w:w="100"/>
              <w:bottom w:type="dxa" w:w="80"/>
              <w:right w:type="dxa" w:w="100"/>
            </w:tcMar>
            <w:vAlign w:val="center"/>
          </w:tcPr>
          <w:p>
            <w:r>
              <w:t xml:space="preserve">A screenshotted QR code can be forwarded to someone who never RSVP'd, undermining headcount accuracy — the core value prop for organizers.</w:t>
            </w:r>
          </w:p>
        </w:tc>
        <w:tc>
          <w:tcPr>
            <w:tcW w:type="dxa" w:w="5780"/>
            <w:shd w:fill="FFFFFF" w:val="clear"/>
            <w:tcMar>
              <w:top w:type="dxa" w:w="80"/>
              <w:left w:type="dxa" w:w="100"/>
              <w:bottom w:type="dxa" w:w="80"/>
              <w:right w:type="dxa" w:w="100"/>
            </w:tcMar>
            <w:vAlign w:val="center"/>
          </w:tcPr>
          <w:p>
            <w:r>
              <w:t xml:space="preserve">Detection over prevention: every scan logged, duplicates surfaced post-event (§5.5). Accepted v1 limitation, not a solved problem.</w:t>
            </w:r>
          </w:p>
        </w:tc>
      </w:tr>
      <w:tr>
        <w:tc>
          <w:tcPr>
            <w:tcW w:type="dxa" w:w="1900"/>
            <w:shd w:fill="F2ECF9" w:val="clear"/>
            <w:tcMar>
              <w:top w:type="dxa" w:w="80"/>
              <w:left w:type="dxa" w:w="100"/>
              <w:bottom w:type="dxa" w:w="80"/>
              <w:right w:type="dxa" w:w="100"/>
            </w:tcMar>
            <w:vAlign w:val="center"/>
          </w:tcPr>
          <w:p>
            <w:r>
              <w:t xml:space="preserve">Event quality / spam</w:t>
            </w:r>
          </w:p>
        </w:tc>
        <w:tc>
          <w:tcPr>
            <w:tcW w:type="dxa" w:w="2400"/>
            <w:shd w:fill="F2ECF9" w:val="clear"/>
            <w:tcMar>
              <w:top w:type="dxa" w:w="80"/>
              <w:left w:type="dxa" w:w="100"/>
              <w:bottom w:type="dxa" w:w="80"/>
              <w:right w:type="dxa" w:w="100"/>
            </w:tcMar>
            <w:vAlign w:val="center"/>
          </w:tcPr>
          <w:p>
            <w:r>
              <w:t xml:space="preserve">No content moderation beyond "partial" admin tooling (§3.3) means low-quality or fake events could erode trust in the feed early.</w:t>
            </w:r>
          </w:p>
        </w:tc>
        <w:tc>
          <w:tcPr>
            <w:tcW w:type="dxa" w:w="5780"/>
            <w:shd w:fill="F2ECF9" w:val="clear"/>
            <w:tcMar>
              <w:top w:type="dxa" w:w="80"/>
              <w:left w:type="dxa" w:w="100"/>
              <w:bottom w:type="dxa" w:w="80"/>
              <w:right w:type="dxa" w:w="100"/>
            </w:tcMar>
            <w:vAlign w:val="center"/>
          </w:tcPr>
          <w:p>
            <w:r>
              <w:t xml:space="preserve">Verified-organizer-only publishing in v1 limits who can post; full moderation queue is deferred, tracked as a v3 gap (§9).</w:t>
            </w:r>
          </w:p>
        </w:tc>
      </w:tr>
    </w:tbl>
    <w:p>
      <w:pPr>
        <w:pStyle w:val="Heading2"/>
        <w:spacing w:after="120" w:before="280"/>
      </w:pPr>
      <w:r>
        <w:t xml:space="preserve">7.2 Technical risks</w:t>
      </w:r>
    </w:p>
    <w:tbl>
      <w:tblPr>
        <w:tblW w:type="dxa" w:w="10080"/>
        <w:tblBorders>
          <w:top w:val="single" w:color="D9D2E9" w:sz="4"/>
          <w:left w:val="single" w:color="D9D2E9" w:sz="4"/>
          <w:bottom w:val="single" w:color="D9D2E9" w:sz="4"/>
          <w:right w:val="single" w:color="D9D2E9" w:sz="4"/>
          <w:insideH w:val="single" w:color="D9D2E9" w:sz="4"/>
          <w:insideV w:val="single" w:color="D9D2E9" w:sz="4"/>
        </w:tblBorders>
      </w:tblPr>
      <w:tblGrid>
        <w:gridCol w:w="2100"/>
        <w:gridCol w:w="2600"/>
        <w:gridCol w:w="5380"/>
      </w:tblGrid>
      <w:tr>
        <w:trPr>
          <w:tblHeader/>
        </w:trPr>
        <w:tc>
          <w:tcPr>
            <w:tcW w:type="dxa" w:w="2100"/>
            <w:shd w:fill="1B1330" w:val="clear"/>
            <w:tcMar>
              <w:top w:type="dxa" w:w="90"/>
              <w:left w:type="dxa" w:w="100"/>
              <w:bottom w:type="dxa" w:w="90"/>
              <w:right w:type="dxa" w:w="100"/>
            </w:tcMar>
            <w:vAlign w:val="center"/>
          </w:tcPr>
          <w:p>
            <w:r>
              <w:rPr>
                <w:b/>
                <w:bCs/>
                <w:color w:val="FFFFFF"/>
              </w:rPr>
              <w:t xml:space="preserve">Risk</w:t>
            </w:r>
          </w:p>
        </w:tc>
        <w:tc>
          <w:tcPr>
            <w:tcW w:type="dxa" w:w="2600"/>
            <w:shd w:fill="1B1330" w:val="clear"/>
            <w:tcMar>
              <w:top w:type="dxa" w:w="90"/>
              <w:left w:type="dxa" w:w="100"/>
              <w:bottom w:type="dxa" w:w="90"/>
              <w:right w:type="dxa" w:w="100"/>
            </w:tcMar>
            <w:vAlign w:val="center"/>
          </w:tcPr>
          <w:p>
            <w:r>
              <w:rPr>
                <w:b/>
                <w:bCs/>
                <w:color w:val="FFFFFF"/>
              </w:rPr>
              <w:t xml:space="preserve">Why it matters</w:t>
            </w:r>
          </w:p>
        </w:tc>
        <w:tc>
          <w:tcPr>
            <w:tcW w:type="dxa" w:w="5380"/>
            <w:shd w:fill="1B1330" w:val="clear"/>
            <w:tcMar>
              <w:top w:type="dxa" w:w="90"/>
              <w:left w:type="dxa" w:w="100"/>
              <w:bottom w:type="dxa" w:w="90"/>
              <w:right w:type="dxa" w:w="100"/>
            </w:tcMar>
            <w:vAlign w:val="center"/>
          </w:tcPr>
          <w:p>
            <w:r>
              <w:rPr>
                <w:b/>
                <w:bCs/>
                <w:color w:val="FFFFFF"/>
              </w:rPr>
              <w:t xml:space="preserve">Mitigation for v1</w:t>
            </w:r>
          </w:p>
        </w:tc>
      </w:tr>
      <w:tr>
        <w:tc>
          <w:tcPr>
            <w:tcW w:type="dxa" w:w="2100"/>
            <w:shd w:fill="FFFFFF" w:val="clear"/>
            <w:tcMar>
              <w:top w:type="dxa" w:w="80"/>
              <w:left w:type="dxa" w:w="100"/>
              <w:bottom w:type="dxa" w:w="80"/>
              <w:right w:type="dxa" w:w="100"/>
            </w:tcMar>
            <w:vAlign w:val="center"/>
          </w:tcPr>
          <w:p>
            <w:r>
              <w:t xml:space="preserve">Feed ranking simplification</w:t>
            </w:r>
          </w:p>
        </w:tc>
        <w:tc>
          <w:tcPr>
            <w:tcW w:type="dxa" w:w="2600"/>
            <w:shd w:fill="FFFFFF" w:val="clear"/>
            <w:tcMar>
              <w:top w:type="dxa" w:w="80"/>
              <w:left w:type="dxa" w:w="100"/>
              <w:bottom w:type="dxa" w:w="80"/>
              <w:right w:type="dxa" w:w="100"/>
            </w:tcMar>
            <w:vAlign w:val="center"/>
          </w:tcPr>
          <w:p>
            <w:r>
              <w:t xml:space="preserve">Proximity ranking is dropped from v1 (§3.0, §3.1) since events.location has no coordinates and single-campus distances are all short. Pure recency + follow-graph is a simpler model than v1.0 originally specified.</w:t>
            </w:r>
          </w:p>
        </w:tc>
        <w:tc>
          <w:tcPr>
            <w:tcW w:type="dxa" w:w="5380"/>
            <w:shd w:fill="FFFFFF" w:val="clear"/>
            <w:tcMar>
              <w:top w:type="dxa" w:w="80"/>
              <w:left w:type="dxa" w:w="100"/>
              <w:bottom w:type="dxa" w:w="80"/>
              <w:right w:type="dxa" w:w="100"/>
            </w:tcMar>
            <w:vAlign w:val="center"/>
          </w:tcPr>
          <w:p>
            <w:r>
              <w:t xml:space="preserve">Ship recency-weighted ranking only; revisit personalization/ML ranking, and coordinates-based proximity if it's ever needed, in v2+.</w:t>
            </w:r>
          </w:p>
        </w:tc>
      </w:tr>
      <w:tr>
        <w:tc>
          <w:tcPr>
            <w:tcW w:type="dxa" w:w="2100"/>
            <w:shd w:fill="F2ECF9" w:val="clear"/>
            <w:tcMar>
              <w:top w:type="dxa" w:w="80"/>
              <w:left w:type="dxa" w:w="100"/>
              <w:bottom w:type="dxa" w:w="80"/>
              <w:right w:type="dxa" w:w="100"/>
            </w:tcMar>
            <w:vAlign w:val="center"/>
          </w:tcPr>
          <w:p>
            <w:r>
              <w:t xml:space="preserve">Offline sync/reconciliation correctness</w:t>
            </w:r>
          </w:p>
        </w:tc>
        <w:tc>
          <w:tcPr>
            <w:tcW w:type="dxa" w:w="2600"/>
            <w:shd w:fill="F2ECF9" w:val="clear"/>
            <w:tcMar>
              <w:top w:type="dxa" w:w="80"/>
              <w:left w:type="dxa" w:w="100"/>
              <w:bottom w:type="dxa" w:w="80"/>
              <w:right w:type="dxa" w:w="100"/>
            </w:tcMar>
            <w:vAlign w:val="center"/>
          </w:tcPr>
          <w:p>
            <w:r>
              <w:t xml:space="preserve">Moving check-in to an offline-first model (§3.3) shifts risk from "scanner needs a network" to "local and server state must reconcile correctly" — duplicate or lost scans during sync are the new failure mode.</w:t>
            </w:r>
          </w:p>
        </w:tc>
        <w:tc>
          <w:tcPr>
            <w:tcW w:type="dxa" w:w="5380"/>
            <w:shd w:fill="F2ECF9" w:val="clear"/>
            <w:tcMar>
              <w:top w:type="dxa" w:w="80"/>
              <w:left w:type="dxa" w:w="100"/>
              <w:bottom w:type="dxa" w:w="80"/>
              <w:right w:type="dxa" w:w="100"/>
            </w:tcMar>
            <w:vAlign w:val="center"/>
          </w:tcPr>
          <w:p>
            <w:r>
              <w:t xml:space="preserve">Build reconciliation logic and duplicate-scan surfacing (§5.5, §4.2 step 7) as core v1 work, not a stretch goal; test sync under real venue network dropout conditions before launch.</w:t>
            </w:r>
          </w:p>
        </w:tc>
      </w:tr>
      <w:tr>
        <w:tc>
          <w:tcPr>
            <w:tcW w:type="dxa" w:w="2100"/>
            <w:shd w:fill="FFFFFF" w:val="clear"/>
            <w:tcMar>
              <w:top w:type="dxa" w:w="80"/>
              <w:left w:type="dxa" w:w="100"/>
              <w:bottom w:type="dxa" w:w="80"/>
              <w:right w:type="dxa" w:w="100"/>
            </w:tcMar>
            <w:vAlign w:val="center"/>
          </w:tcPr>
          <w:p>
            <w:r>
              <w:t xml:space="preserve">Key management for Ed25519 tokens</w:t>
            </w:r>
          </w:p>
        </w:tc>
        <w:tc>
          <w:tcPr>
            <w:tcW w:type="dxa" w:w="2600"/>
            <w:shd w:fill="FFFFFF" w:val="clear"/>
            <w:tcMar>
              <w:top w:type="dxa" w:w="80"/>
              <w:left w:type="dxa" w:w="100"/>
              <w:bottom w:type="dxa" w:w="80"/>
              <w:right w:type="dxa" w:w="100"/>
            </w:tcMar>
            <w:vAlign w:val="center"/>
          </w:tcPr>
          <w:p>
            <w:r>
              <w:t xml:space="preserve">If the server's private signing key is compromised, an attacker can mint valid tickets for any event.</w:t>
            </w:r>
          </w:p>
        </w:tc>
        <w:tc>
          <w:tcPr>
            <w:tcW w:type="dxa" w:w="5380"/>
            <w:shd w:fill="FFFFFF" w:val="clear"/>
            <w:tcMar>
              <w:top w:type="dxa" w:w="80"/>
              <w:left w:type="dxa" w:w="100"/>
              <w:bottom w:type="dxa" w:w="80"/>
              <w:right w:type="dxa" w:w="100"/>
            </w:tcMar>
            <w:vAlign w:val="center"/>
          </w:tcPr>
          <w:p>
            <w:r>
              <w:t xml:space="preserve">Standard key-management practice (secrets manager, rotation plan with a key_id field in the token payload) — this is now a v1 requirement, not deferred, since v1 depends on the signing scheme working correctly from day one.</w:t>
            </w:r>
          </w:p>
        </w:tc>
      </w:tr>
    </w:tbl>
    <w:p>
      <w:pPr>
        <w:pStyle w:val="Heading2"/>
        <w:spacing w:after="120" w:before="280"/>
      </w:pPr>
      <w:r>
        <w:t xml:space="preserve">7.3 Open questions</w:t>
      </w:r>
    </w:p>
    <w:p>
      <w:pPr>
        <w:spacing w:after="160"/>
      </w:pPr>
      <w:r>
        <w:t xml:space="preserve">These need an answer before or during build — flagged here rather than silently assumed.</w:t>
      </w:r>
    </w:p>
    <w:p>
      <w:pPr>
        <w:pStyle w:val="ListParagraph"/>
        <w:numPr>
          <w:ilvl w:val="0"/>
          <w:numId w:val="2"/>
        </w:numPr>
        <w:spacing w:after="80"/>
      </w:pPr>
      <w:r>
        <w:t xml:space="preserve">Waitlist behavior: when an event hits capacity, does RSVP close outright or open a waitlist? (§4.1 flags this as undecided.)</w:t>
      </w:r>
    </w:p>
    <w:p>
      <w:pPr>
        <w:pStyle w:val="ListParagraph"/>
        <w:numPr>
          <w:ilvl w:val="0"/>
          <w:numId w:val="2"/>
        </w:numPr>
        <w:spacing w:after="80"/>
      </w:pPr>
      <w:r>
        <w:t xml:space="preserve">Student verification fallback: what's the actual manual-ID-upload review process, who staffs it, and where are uploaded documents stored (§3.1, marked "v1 — limited")?</w:t>
      </w:r>
    </w:p>
    <w:p>
      <w:pPr>
        <w:pStyle w:val="ListParagraph"/>
        <w:numPr>
          <w:ilvl w:val="0"/>
          <w:numId w:val="2"/>
        </w:numPr>
        <w:spacing w:after="80"/>
      </w:pPr>
      <w:r>
        <w:t xml:space="preserve">Content moderation ownership: who reviews reported events/organizers day-to-day given moderation tooling is only partial in v1 (§3.3)?</w:t>
      </w:r>
    </w:p>
    <w:p>
      <w:pPr>
        <w:pStyle w:val="ListParagraph"/>
        <w:numPr>
          <w:ilvl w:val="0"/>
          <w:numId w:val="2"/>
        </w:numPr>
        <w:spacing w:after="80"/>
      </w:pPr>
      <w:r>
        <w:t xml:space="preserve">Notification volume: what's the cap on push notifications per user per day before Stories + reminders + follows start to feel like spam?</w:t>
      </w:r>
    </w:p>
    <w:p>
      <w:pPr>
        <w:pStyle w:val="ListParagraph"/>
        <w:numPr>
          <w:ilvl w:val="0"/>
          <w:numId w:val="2"/>
        </w:numPr>
        <w:spacing w:after="80"/>
      </w:pPr>
      <w:r>
        <w:t xml:space="preserve">Overlapping RSVPs: confirmed as a non-blocking soft problem in v1 (§4.1) — worth a lightweight "you also RSVP'd to X at the same time" nudge, or truly leave as-is?</w:t>
      </w:r>
    </w:p>
    <w:p>
      <w:pPr>
        <w:pStyle w:val="ListParagraph"/>
        <w:numPr>
          <w:ilvl w:val="0"/>
          <w:numId w:val="2"/>
        </w:numPr>
        <w:spacing w:after="80"/>
      </w:pPr>
      <w:r>
        <w:t xml:space="preserve">@stu.ui.edu.ng coverage: does every student actually get this email address issued, or is manual review the primary verification path for a meaningful share of students? Changes how §7.1's verification-friction risk should be resourced.</w:t>
      </w:r>
    </w:p>
    <w:p>
      <w:pPr>
        <w:pStyle w:val="Heading1"/>
        <w:spacing w:after="160" w:before="360"/>
      </w:pPr>
      <w:r>
        <w:t xml:space="preserve">8. v1.5 Roadmap — Event Groups &amp; Creative Credits</w:t>
      </w:r>
    </w:p>
    <w:p>
      <w:pPr>
        <w:spacing w:after="160"/>
      </w:pPr>
      <w:r>
        <w:t xml:space="preserve">Both items below are small, additive, and do not block or delay v1 launch (§3, §6.4). They ship immediately after v1 stabilizes, ahead of the heavier v2 work in §9.</w:t>
      </w:r>
    </w:p>
    <w:p>
      <w:pPr>
        <w:pStyle w:val="Heading2"/>
        <w:spacing w:after="120" w:before="280"/>
      </w:pPr>
      <w:r>
        <w:t xml:space="preserve">8.1 Event Groups (formerly "Spark Groups")</w:t>
      </w:r>
    </w:p>
    <w:p>
      <w:pPr>
        <w:spacing w:after="160"/>
      </w:pPr>
      <w:r>
        <w:t xml:space="preserve">Not a WhatsApp API integration — Meta's Groups API caps participants at 8 per group, which cannot support an event's worth of attendees, and unofficial third-party providers risk the organizer's number being banned. The v1.5 version instead gates a link the organizer creates themselves: events.group_invite_url is only shown in-app to attendees who have RSVP'd, which is strictly more access control than exists today, where a forwarded link has no gate at all.</w:t>
      </w:r>
    </w:p>
    <w:p>
      <w:pPr>
        <w:pStyle w:val="ListParagraph"/>
        <w:numPr>
          <w:ilvl w:val="0"/>
          <w:numId w:val="2"/>
        </w:numPr>
        <w:spacing w:after="80"/>
      </w:pPr>
      <w:r>
        <w:t xml:space="preserve">Organizer pastes their own WhatsApp (or other platform) group link when creating or editing an event.</w:t>
      </w:r>
    </w:p>
    <w:p>
      <w:pPr>
        <w:pStyle w:val="ListParagraph"/>
        <w:numPr>
          <w:ilvl w:val="0"/>
          <w:numId w:val="2"/>
        </w:numPr>
        <w:spacing w:after="80"/>
      </w:pPr>
      <w:r>
        <w:t xml:space="preserve">Link is visible in the event detail page only after the viewer has RSVP'd.</w:t>
      </w:r>
    </w:p>
    <w:p>
      <w:pPr>
        <w:pStyle w:val="ListParagraph"/>
        <w:numPr>
          <w:ilvl w:val="0"/>
          <w:numId w:val="2"/>
        </w:numPr>
        <w:spacing w:after="80"/>
      </w:pPr>
      <w:r>
        <w:t xml:space="preserve">"Auto-disband" is a scheduled nudge to the organizer (e.g., "your Hall Week group is 2 weeks old — revoke the link?"), not an automated action — CampusPulse has no ability to close a WhatsApp group it didn't create.</w:t>
      </w:r>
    </w:p>
    <w:p>
      <w:pPr>
        <w:spacing w:after="160"/>
      </w:pPr>
      <w:r>
        <w:t xml:space="preserve">In-app event chat (full control, no phone-number exposure, feeds the social graph directly) is a v2/v3 candidate, not v1.5 — it requires real infrastructure (WebSocket layer, moderation, abuse reporting) that should only be built once link-gating shows organizers actually use groups.</w:t>
      </w:r>
    </w:p>
    <w:p>
      <w:pPr>
        <w:pStyle w:val="Heading2"/>
        <w:spacing w:after="120" w:before="280"/>
      </w:pPr>
      <w:r>
        <w:t xml:space="preserve">8.2 Creative Credits</w:t>
      </w:r>
    </w:p>
    <w:p>
      <w:pPr>
        <w:spacing w:after="160"/>
      </w:pPr>
      <w:r>
        <w:t xml:space="preserve">Directly addresses the cold-start risk in §7.1: a DJ, MC, or photographer credited on past events has a verified performance history that exists only on CampusPulse, backed by real check-in counts — and has every incentive to push their next booking onto the platform and share their own profile to their own audience. This is supply-side acquisition the current organizer-recruitment plan doesn't otherwise get.</w:t>
      </w:r>
    </w:p>
    <w:p>
      <w:pPr>
        <w:pStyle w:val="ListParagraph"/>
        <w:numPr>
          <w:ilvl w:val="0"/>
          <w:numId w:val="2"/>
        </w:numPr>
        <w:spacing w:after="80"/>
      </w:pPr>
      <w:r>
        <w:t xml:space="preserve">New entities: creatives (profile) and event_credits (event_id, credited_user_id, role, status: pending/accepted, confirmed_at).</w:t>
      </w:r>
    </w:p>
    <w:p>
      <w:pPr>
        <w:pStyle w:val="ListParagraph"/>
        <w:numPr>
          <w:ilvl w:val="0"/>
          <w:numId w:val="2"/>
        </w:numPr>
        <w:spacing w:after="80"/>
      </w:pPr>
      <w:r>
        <w:t xml:space="preserve">Two-sided confirmation is non-negotiable: the organizer adds a credit, the credited person accepts it. Without this, credits can be falsely claimed or applied to someone who wasn't involved, and the credential becomes worthless the first time that happens.</w:t>
      </w:r>
    </w:p>
    <w:p>
      <w:pPr>
        <w:pStyle w:val="ListParagraph"/>
        <w:numPr>
          <w:ilvl w:val="0"/>
          <w:numId w:val="2"/>
        </w:numPr>
        <w:spacing w:after="80"/>
      </w:pPr>
      <w:r>
        <w:t xml:space="preserve">v1.5 scope is deliberately minimal: credit tags on events plus a public creative profile page listing credited events and verified attendance counts. No booking marketplace, no in-app messaging, no ratings — those are v3 candidates once there's evidence creatives and organizers actually use credits.</w:t>
      </w:r>
    </w:p>
    <w:p>
      <w:pPr>
        <w:pStyle w:val="Heading1"/>
        <w:spacing w:after="160" w:before="360"/>
      </w:pPr>
      <w:r>
        <w:t xml:space="preserve">9. v2+ Roadmap</w:t>
      </w:r>
    </w:p>
    <w:p>
      <w:pPr>
        <w:spacing w:after="160"/>
      </w:pPr>
      <w:r>
        <w:t xml:space="preserve">Sequenced by dependency, not just priority — payments and multi-campus in particular are gated on v1 actually proving the core loop (§6.4).</w:t>
      </w:r>
    </w:p>
    <w:tbl>
      <w:tblPr>
        <w:tblW w:type="dxa" w:w="10080"/>
        <w:tblBorders>
          <w:top w:val="single" w:color="D9D2E9" w:sz="4"/>
          <w:left w:val="single" w:color="D9D2E9" w:sz="4"/>
          <w:bottom w:val="single" w:color="D9D2E9" w:sz="4"/>
          <w:right w:val="single" w:color="D9D2E9" w:sz="4"/>
          <w:insideH w:val="single" w:color="D9D2E9" w:sz="4"/>
          <w:insideV w:val="single" w:color="D9D2E9" w:sz="4"/>
        </w:tblBorders>
      </w:tblPr>
      <w:tblGrid>
        <w:gridCol w:w="900"/>
        <w:gridCol w:w="2900"/>
        <w:gridCol w:w="6280"/>
      </w:tblGrid>
      <w:tr>
        <w:trPr>
          <w:tblHeader/>
        </w:trPr>
        <w:tc>
          <w:tcPr>
            <w:tcW w:type="dxa" w:w="900"/>
            <w:shd w:fill="1B1330" w:val="clear"/>
            <w:tcMar>
              <w:top w:type="dxa" w:w="90"/>
              <w:left w:type="dxa" w:w="100"/>
              <w:bottom w:type="dxa" w:w="90"/>
              <w:right w:type="dxa" w:w="100"/>
            </w:tcMar>
            <w:vAlign w:val="center"/>
          </w:tcPr>
          <w:p>
            <w:r>
              <w:rPr>
                <w:b/>
                <w:bCs/>
                <w:color w:val="FFFFFF"/>
              </w:rPr>
              <w:t xml:space="preserve">Phase</w:t>
            </w:r>
          </w:p>
        </w:tc>
        <w:tc>
          <w:tcPr>
            <w:tcW w:type="dxa" w:w="2900"/>
            <w:shd w:fill="1B1330" w:val="clear"/>
            <w:tcMar>
              <w:top w:type="dxa" w:w="90"/>
              <w:left w:type="dxa" w:w="100"/>
              <w:bottom w:type="dxa" w:w="90"/>
              <w:right w:type="dxa" w:w="100"/>
            </w:tcMar>
            <w:vAlign w:val="center"/>
          </w:tcPr>
          <w:p>
            <w:r>
              <w:rPr>
                <w:b/>
                <w:bCs/>
                <w:color w:val="FFFFFF"/>
              </w:rPr>
              <w:t xml:space="preserve">Capability</w:t>
            </w:r>
          </w:p>
        </w:tc>
        <w:tc>
          <w:tcPr>
            <w:tcW w:type="dxa" w:w="6280"/>
            <w:shd w:fill="1B1330" w:val="clear"/>
            <w:tcMar>
              <w:top w:type="dxa" w:w="90"/>
              <w:left w:type="dxa" w:w="100"/>
              <w:bottom w:type="dxa" w:w="90"/>
              <w:right w:type="dxa" w:w="100"/>
            </w:tcMar>
            <w:vAlign w:val="center"/>
          </w:tcPr>
          <w:p>
            <w:r>
              <w:rPr>
                <w:b/>
                <w:bCs/>
                <w:color w:val="FFFFFF"/>
              </w:rPr>
              <w:t xml:space="preserve">Depends on</w:t>
            </w:r>
          </w:p>
        </w:tc>
      </w:tr>
      <w:tr>
        <w:tc>
          <w:tcPr>
            <w:tcW w:type="dxa" w:w="900"/>
            <w:shd w:fill="FFFFFF" w:val="clear"/>
            <w:tcMar>
              <w:top w:type="dxa" w:w="80"/>
              <w:left w:type="dxa" w:w="100"/>
              <w:bottom w:type="dxa" w:w="80"/>
              <w:right w:type="dxa" w:w="100"/>
            </w:tcMar>
            <w:vAlign w:val="center"/>
          </w:tcPr>
          <w:p>
            <w:r>
              <w:t xml:space="preserve">v2</w:t>
            </w:r>
          </w:p>
        </w:tc>
        <w:tc>
          <w:tcPr>
            <w:tcW w:type="dxa" w:w="2900"/>
            <w:shd w:fill="FFFFFF" w:val="clear"/>
            <w:tcMar>
              <w:top w:type="dxa" w:w="80"/>
              <w:left w:type="dxa" w:w="100"/>
              <w:bottom w:type="dxa" w:w="80"/>
              <w:right w:type="dxa" w:w="100"/>
            </w:tcMar>
            <w:vAlign w:val="center"/>
          </w:tcPr>
          <w:p>
            <w:r>
              <w:t xml:space="preserve">Paid ticketing (tiers, pricing, Paystack/Flutterwave checkout, organizer payouts)</w:t>
            </w:r>
          </w:p>
        </w:tc>
        <w:tc>
          <w:tcPr>
            <w:tcW w:type="dxa" w:w="6280"/>
            <w:shd w:fill="FFFFFF" w:val="clear"/>
            <w:tcMar>
              <w:top w:type="dxa" w:w="80"/>
              <w:left w:type="dxa" w:w="100"/>
              <w:bottom w:type="dxa" w:w="80"/>
              <w:right w:type="dxa" w:w="100"/>
            </w:tcMar>
            <w:vAlign w:val="center"/>
          </w:tcPr>
          <w:p>
            <w:r>
              <w:t xml:space="preserve">v1 discovery + RSVP loop validated; introduces PCI/payment-compliance scope deferred out of v1 (§5.5). Legal checklist referenced in v1.0 §8 is still outstanding and should be attached before this phase is scoped in detail.</w:t>
            </w:r>
          </w:p>
        </w:tc>
      </w:tr>
      <w:tr>
        <w:tc>
          <w:tcPr>
            <w:tcW w:type="dxa" w:w="900"/>
            <w:shd w:fill="F2ECF9" w:val="clear"/>
            <w:tcMar>
              <w:top w:type="dxa" w:w="80"/>
              <w:left w:type="dxa" w:w="100"/>
              <w:bottom w:type="dxa" w:w="80"/>
              <w:right w:type="dxa" w:w="100"/>
            </w:tcMar>
            <w:vAlign w:val="center"/>
          </w:tcPr>
          <w:p>
            <w:r>
              <w:t xml:space="preserve">v2</w:t>
            </w:r>
          </w:p>
        </w:tc>
        <w:tc>
          <w:tcPr>
            <w:tcW w:type="dxa" w:w="2900"/>
            <w:shd w:fill="F2ECF9" w:val="clear"/>
            <w:tcMar>
              <w:top w:type="dxa" w:w="80"/>
              <w:left w:type="dxa" w:w="100"/>
              <w:bottom w:type="dxa" w:w="80"/>
              <w:right w:type="dxa" w:w="100"/>
            </w:tcMar>
            <w:vAlign w:val="center"/>
          </w:tcPr>
          <w:p>
            <w:r>
              <w:t xml:space="preserve">Structured venue data + proximity ranking</w:t>
            </w:r>
          </w:p>
        </w:tc>
        <w:tc>
          <w:tcPr>
            <w:tcW w:type="dxa" w:w="6280"/>
            <w:shd w:fill="F2ECF9" w:val="clear"/>
            <w:tcMar>
              <w:top w:type="dxa" w:w="80"/>
              <w:left w:type="dxa" w:w="100"/>
              <w:bottom w:type="dxa" w:w="80"/>
              <w:right w:type="dxa" w:w="100"/>
            </w:tcMar>
            <w:vAlign w:val="center"/>
          </w:tcPr>
          <w:p>
            <w:r>
              <w:t xml:space="preserve">Only worth building if multi-campus (below) makes distance meaningful again — not needed at single-campus scale (§7.2).</w:t>
            </w:r>
          </w:p>
        </w:tc>
      </w:tr>
      <w:tr>
        <w:tc>
          <w:tcPr>
            <w:tcW w:type="dxa" w:w="900"/>
            <w:shd w:fill="FFFFFF" w:val="clear"/>
            <w:tcMar>
              <w:top w:type="dxa" w:w="80"/>
              <w:left w:type="dxa" w:w="100"/>
              <w:bottom w:type="dxa" w:w="80"/>
              <w:right w:type="dxa" w:w="100"/>
            </w:tcMar>
            <w:vAlign w:val="center"/>
          </w:tcPr>
          <w:p>
            <w:r>
              <w:t xml:space="preserve">v2</w:t>
            </w:r>
          </w:p>
        </w:tc>
        <w:tc>
          <w:tcPr>
            <w:tcW w:type="dxa" w:w="2900"/>
            <w:shd w:fill="FFFFFF" w:val="clear"/>
            <w:tcMar>
              <w:top w:type="dxa" w:w="80"/>
              <w:left w:type="dxa" w:w="100"/>
              <w:bottom w:type="dxa" w:w="80"/>
              <w:right w:type="dxa" w:w="100"/>
            </w:tcMar>
            <w:vAlign w:val="center"/>
          </w:tcPr>
          <w:p>
            <w:r>
              <w:t xml:space="preserve">Multi-session conference agendas + assigned seating for performances</w:t>
            </w:r>
          </w:p>
        </w:tc>
        <w:tc>
          <w:tcPr>
            <w:tcW w:type="dxa" w:w="6280"/>
            <w:shd w:fill="FFFFFF" w:val="clear"/>
            <w:tcMar>
              <w:top w:type="dxa" w:w="80"/>
              <w:left w:type="dxa" w:w="100"/>
              <w:bottom w:type="dxa" w:w="80"/>
              <w:right w:type="dxa" w:w="100"/>
            </w:tcMar>
            <w:vAlign w:val="center"/>
          </w:tcPr>
          <w:p>
            <w:r>
              <w:t xml:space="preserve">Category-aware scheduling and seat-map data not built for v1 (§3.0).</w:t>
            </w:r>
          </w:p>
        </w:tc>
      </w:tr>
      <w:tr>
        <w:tc>
          <w:tcPr>
            <w:tcW w:type="dxa" w:w="900"/>
            <w:shd w:fill="F2ECF9" w:val="clear"/>
            <w:tcMar>
              <w:top w:type="dxa" w:w="80"/>
              <w:left w:type="dxa" w:w="100"/>
              <w:bottom w:type="dxa" w:w="80"/>
              <w:right w:type="dxa" w:w="100"/>
            </w:tcMar>
            <w:vAlign w:val="center"/>
          </w:tcPr>
          <w:p>
            <w:r>
              <w:t xml:space="preserve">v2</w:t>
            </w:r>
          </w:p>
        </w:tc>
        <w:tc>
          <w:tcPr>
            <w:tcW w:type="dxa" w:w="2900"/>
            <w:shd w:fill="F2ECF9" w:val="clear"/>
            <w:tcMar>
              <w:top w:type="dxa" w:w="80"/>
              <w:left w:type="dxa" w:w="100"/>
              <w:bottom w:type="dxa" w:w="80"/>
              <w:right w:type="dxa" w:w="100"/>
            </w:tcMar>
            <w:vAlign w:val="center"/>
          </w:tcPr>
          <w:p>
            <w:r>
              <w:t xml:space="preserve">Multi-admin club accounts</w:t>
            </w:r>
          </w:p>
        </w:tc>
        <w:tc>
          <w:tcPr>
            <w:tcW w:type="dxa" w:w="6280"/>
            <w:shd w:fill="F2ECF9" w:val="clear"/>
            <w:tcMar>
              <w:top w:type="dxa" w:w="80"/>
              <w:left w:type="dxa" w:w="100"/>
              <w:bottom w:type="dxa" w:w="80"/>
              <w:right w:type="dxa" w:w="100"/>
            </w:tcMar>
            <w:vAlign w:val="center"/>
          </w:tcPr>
          <w:p>
            <w:r>
              <w:t xml:space="preserve">Straightforward extension of the organizer account model (§3.2) once single-admin flow is stable; also resolves the single-scanner-per-door gap noted in §3.2.</w:t>
            </w:r>
          </w:p>
        </w:tc>
      </w:tr>
      <w:tr>
        <w:tc>
          <w:tcPr>
            <w:tcW w:type="dxa" w:w="900"/>
            <w:shd w:fill="FFFFFF" w:val="clear"/>
            <w:tcMar>
              <w:top w:type="dxa" w:w="80"/>
              <w:left w:type="dxa" w:w="100"/>
              <w:bottom w:type="dxa" w:w="80"/>
              <w:right w:type="dxa" w:w="100"/>
            </w:tcMar>
            <w:vAlign w:val="center"/>
          </w:tcPr>
          <w:p>
            <w:r>
              <w:t xml:space="preserve">v2</w:t>
            </w:r>
          </w:p>
        </w:tc>
        <w:tc>
          <w:tcPr>
            <w:tcW w:type="dxa" w:w="2900"/>
            <w:shd w:fill="FFFFFF" w:val="clear"/>
            <w:tcMar>
              <w:top w:type="dxa" w:w="80"/>
              <w:left w:type="dxa" w:w="100"/>
              <w:bottom w:type="dxa" w:w="80"/>
              <w:right w:type="dxa" w:w="100"/>
            </w:tcMar>
            <w:vAlign w:val="center"/>
          </w:tcPr>
          <w:p>
            <w:r>
              <w:t xml:space="preserve">Deeper event analytics (funnel: views → RSVP → check-in)</w:t>
            </w:r>
          </w:p>
        </w:tc>
        <w:tc>
          <w:tcPr>
            <w:tcW w:type="dxa" w:w="6280"/>
            <w:shd w:fill="FFFFFF" w:val="clear"/>
            <w:tcMar>
              <w:top w:type="dxa" w:w="80"/>
              <w:left w:type="dxa" w:w="100"/>
              <w:bottom w:type="dxa" w:w="80"/>
              <w:right w:type="dxa" w:w="100"/>
            </w:tcMar>
            <w:vAlign w:val="center"/>
          </w:tcPr>
          <w:p>
            <w:r>
              <w:t xml:space="preserve">Requires event-level view tracking not needed for v1's basic counts (§3.2).</w:t>
            </w:r>
          </w:p>
        </w:tc>
      </w:tr>
      <w:tr>
        <w:tc>
          <w:tcPr>
            <w:tcW w:type="dxa" w:w="900"/>
            <w:shd w:fill="F2ECF9" w:val="clear"/>
            <w:tcMar>
              <w:top w:type="dxa" w:w="80"/>
              <w:left w:type="dxa" w:w="100"/>
              <w:bottom w:type="dxa" w:w="80"/>
              <w:right w:type="dxa" w:w="100"/>
            </w:tcMar>
            <w:vAlign w:val="center"/>
          </w:tcPr>
          <w:p>
            <w:r>
              <w:t xml:space="preserve">v2</w:t>
            </w:r>
          </w:p>
        </w:tc>
        <w:tc>
          <w:tcPr>
            <w:tcW w:type="dxa" w:w="2900"/>
            <w:shd w:fill="F2ECF9" w:val="clear"/>
            <w:tcMar>
              <w:top w:type="dxa" w:w="80"/>
              <w:left w:type="dxa" w:w="100"/>
              <w:bottom w:type="dxa" w:w="80"/>
              <w:right w:type="dxa" w:w="100"/>
            </w:tcMar>
            <w:vAlign w:val="center"/>
          </w:tcPr>
          <w:p>
            <w:r>
              <w:t xml:space="preserve">In-app event chat</w:t>
            </w:r>
          </w:p>
        </w:tc>
        <w:tc>
          <w:tcPr>
            <w:tcW w:type="dxa" w:w="6280"/>
            <w:shd w:fill="F2ECF9" w:val="clear"/>
            <w:tcMar>
              <w:top w:type="dxa" w:w="80"/>
              <w:left w:type="dxa" w:w="100"/>
              <w:bottom w:type="dxa" w:w="80"/>
              <w:right w:type="dxa" w:w="100"/>
            </w:tcMar>
            <w:vAlign w:val="center"/>
          </w:tcPr>
          <w:p>
            <w:r>
              <w:t xml:space="preserve">Builds on Event Groups usage data from v1.5 (§8.1); only worth the infrastructure cost if link-gating proves demand.</w:t>
            </w:r>
          </w:p>
        </w:tc>
      </w:tr>
      <w:tr>
        <w:tc>
          <w:tcPr>
            <w:tcW w:type="dxa" w:w="900"/>
            <w:shd w:fill="FFFFFF" w:val="clear"/>
            <w:tcMar>
              <w:top w:type="dxa" w:w="80"/>
              <w:left w:type="dxa" w:w="100"/>
              <w:bottom w:type="dxa" w:w="80"/>
              <w:right w:type="dxa" w:w="100"/>
            </w:tcMar>
            <w:vAlign w:val="center"/>
          </w:tcPr>
          <w:p>
            <w:r>
              <w:t xml:space="preserve">v2+</w:t>
            </w:r>
          </w:p>
        </w:tc>
        <w:tc>
          <w:tcPr>
            <w:tcW w:type="dxa" w:w="2900"/>
            <w:shd w:fill="FFFFFF" w:val="clear"/>
            <w:tcMar>
              <w:top w:type="dxa" w:w="80"/>
              <w:left w:type="dxa" w:w="100"/>
              <w:bottom w:type="dxa" w:w="80"/>
              <w:right w:type="dxa" w:w="100"/>
            </w:tcMar>
            <w:vAlign w:val="center"/>
          </w:tcPr>
          <w:p>
            <w:r>
              <w:t xml:space="preserve">Multi-campus expansion</w:t>
            </w:r>
          </w:p>
        </w:tc>
        <w:tc>
          <w:tcPr>
            <w:tcW w:type="dxa" w:w="6280"/>
            <w:shd w:fill="FFFFFF" w:val="clear"/>
            <w:tcMar>
              <w:top w:type="dxa" w:w="80"/>
              <w:left w:type="dxa" w:w="100"/>
              <w:bottom w:type="dxa" w:w="80"/>
              <w:right w:type="dxa" w:w="100"/>
            </w:tcMar>
            <w:vAlign w:val="center"/>
          </w:tcPr>
          <w:p>
            <w:r>
              <w:t xml:space="preserve">Requires campus-scoping in data model, discovery, and moderation (§3.3); should follow, not precede, proof of the model at UI.</w:t>
            </w:r>
          </w:p>
        </w:tc>
      </w:tr>
      <w:tr>
        <w:tc>
          <w:tcPr>
            <w:tcW w:type="dxa" w:w="900"/>
            <w:shd w:fill="F2ECF9" w:val="clear"/>
            <w:tcMar>
              <w:top w:type="dxa" w:w="80"/>
              <w:left w:type="dxa" w:w="100"/>
              <w:bottom w:type="dxa" w:w="80"/>
              <w:right w:type="dxa" w:w="100"/>
            </w:tcMar>
            <w:vAlign w:val="center"/>
          </w:tcPr>
          <w:p>
            <w:r>
              <w:t xml:space="preserve">v2+</w:t>
            </w:r>
          </w:p>
        </w:tc>
        <w:tc>
          <w:tcPr>
            <w:tcW w:type="dxa" w:w="2900"/>
            <w:shd w:fill="F2ECF9" w:val="clear"/>
            <w:tcMar>
              <w:top w:type="dxa" w:w="80"/>
              <w:left w:type="dxa" w:w="100"/>
              <w:bottom w:type="dxa" w:w="80"/>
              <w:right w:type="dxa" w:w="100"/>
            </w:tcMar>
            <w:vAlign w:val="center"/>
          </w:tcPr>
          <w:p>
            <w:r>
              <w:t xml:space="preserve">Comments / social proof ("3 friends going")</w:t>
            </w:r>
          </w:p>
        </w:tc>
        <w:tc>
          <w:tcPr>
            <w:tcW w:type="dxa" w:w="6280"/>
            <w:shd w:fill="F2ECF9" w:val="clear"/>
            <w:tcMar>
              <w:top w:type="dxa" w:w="80"/>
              <w:left w:type="dxa" w:w="100"/>
              <w:bottom w:type="dxa" w:w="80"/>
              <w:right w:type="dxa" w:w="100"/>
            </w:tcMar>
            <w:vAlign w:val="center"/>
          </w:tcPr>
          <w:p>
            <w:r>
              <w:t xml:space="preserve">Needs a social graph (friends/follows beyond organizer-following) not built for v1 (§3.1).</w:t>
            </w:r>
          </w:p>
        </w:tc>
      </w:tr>
      <w:tr>
        <w:tc>
          <w:tcPr>
            <w:tcW w:type="dxa" w:w="900"/>
            <w:shd w:fill="FFFFFF" w:val="clear"/>
            <w:tcMar>
              <w:top w:type="dxa" w:w="80"/>
              <w:left w:type="dxa" w:w="100"/>
              <w:bottom w:type="dxa" w:w="80"/>
              <w:right w:type="dxa" w:w="100"/>
            </w:tcMar>
            <w:vAlign w:val="center"/>
          </w:tcPr>
          <w:p>
            <w:r>
              <w:t xml:space="preserve">v2+</w:t>
            </w:r>
          </w:p>
        </w:tc>
        <w:tc>
          <w:tcPr>
            <w:tcW w:type="dxa" w:w="2900"/>
            <w:shd w:fill="FFFFFF" w:val="clear"/>
            <w:tcMar>
              <w:top w:type="dxa" w:w="80"/>
              <w:left w:type="dxa" w:w="100"/>
              <w:bottom w:type="dxa" w:w="80"/>
              <w:right w:type="dxa" w:w="100"/>
            </w:tcMar>
            <w:vAlign w:val="center"/>
          </w:tcPr>
          <w:p>
            <w:r>
              <w:t xml:space="preserve">Wallet pass integration for QR tickets</w:t>
            </w:r>
          </w:p>
        </w:tc>
        <w:tc>
          <w:tcPr>
            <w:tcW w:type="dxa" w:w="6280"/>
            <w:shd w:fill="FFFFFF" w:val="clear"/>
            <w:tcMar>
              <w:top w:type="dxa" w:w="80"/>
              <w:left w:type="dxa" w:w="100"/>
              <w:bottom w:type="dxa" w:w="80"/>
              <w:right w:type="dxa" w:w="100"/>
            </w:tcMar>
            <w:vAlign w:val="center"/>
          </w:tcPr>
          <w:p>
            <w:r>
              <w:t xml:space="preserve">Nice-to-have on top of the in-app QR view already in v1 (§3.1).</w:t>
            </w:r>
          </w:p>
        </w:tc>
      </w:tr>
      <w:tr>
        <w:tc>
          <w:tcPr>
            <w:tcW w:type="dxa" w:w="900"/>
            <w:shd w:fill="F2ECF9" w:val="clear"/>
            <w:tcMar>
              <w:top w:type="dxa" w:w="80"/>
              <w:left w:type="dxa" w:w="100"/>
              <w:bottom w:type="dxa" w:w="80"/>
              <w:right w:type="dxa" w:w="100"/>
            </w:tcMar>
            <w:vAlign w:val="center"/>
          </w:tcPr>
          <w:p>
            <w:r>
              <w:t xml:space="preserve">v2+</w:t>
            </w:r>
          </w:p>
        </w:tc>
        <w:tc>
          <w:tcPr>
            <w:tcW w:type="dxa" w:w="2900"/>
            <w:shd w:fill="F2ECF9" w:val="clear"/>
            <w:tcMar>
              <w:top w:type="dxa" w:w="80"/>
              <w:left w:type="dxa" w:w="100"/>
              <w:bottom w:type="dxa" w:w="80"/>
              <w:right w:type="dxa" w:w="100"/>
            </w:tcMar>
            <w:vAlign w:val="center"/>
          </w:tcPr>
          <w:p>
            <w:r>
              <w:t xml:space="preserve">Sports bracket / tournament features</w:t>
            </w:r>
          </w:p>
        </w:tc>
        <w:tc>
          <w:tcPr>
            <w:tcW w:type="dxa" w:w="6280"/>
            <w:shd w:fill="F2ECF9" w:val="clear"/>
            <w:tcMar>
              <w:top w:type="dxa" w:w="80"/>
              <w:left w:type="dxa" w:w="100"/>
              <w:bottom w:type="dxa" w:w="80"/>
              <w:right w:type="dxa" w:w="100"/>
            </w:tcMar>
            <w:vAlign w:val="center"/>
          </w:tcPr>
          <w:p>
            <w:r>
              <w:t xml:space="preserve">Category-specific structure not needed until Sports/Recreation (§3.0) volume justifies it.</w:t>
            </w:r>
          </w:p>
        </w:tc>
      </w:tr>
      <w:tr>
        <w:tc>
          <w:tcPr>
            <w:tcW w:type="dxa" w:w="900"/>
            <w:shd w:fill="FFFFFF" w:val="clear"/>
            <w:tcMar>
              <w:top w:type="dxa" w:w="80"/>
              <w:left w:type="dxa" w:w="100"/>
              <w:bottom w:type="dxa" w:w="80"/>
              <w:right w:type="dxa" w:w="100"/>
            </w:tcMar>
            <w:vAlign w:val="center"/>
          </w:tcPr>
          <w:p>
            <w:r>
              <w:t xml:space="preserve">v3</w:t>
            </w:r>
          </w:p>
        </w:tc>
        <w:tc>
          <w:tcPr>
            <w:tcW w:type="dxa" w:w="2900"/>
            <w:shd w:fill="FFFFFF" w:val="clear"/>
            <w:tcMar>
              <w:top w:type="dxa" w:w="80"/>
              <w:left w:type="dxa" w:w="100"/>
              <w:bottom w:type="dxa" w:w="80"/>
              <w:right w:type="dxa" w:w="100"/>
            </w:tcMar>
            <w:vAlign w:val="center"/>
          </w:tcPr>
          <w:p>
            <w:r>
              <w:t xml:space="preserve">Event Wrapped (annual recap)</w:t>
            </w:r>
          </w:p>
        </w:tc>
        <w:tc>
          <w:tcPr>
            <w:tcW w:type="dxa" w:w="6280"/>
            <w:shd w:fill="FFFFFF" w:val="clear"/>
            <w:tcMar>
              <w:top w:type="dxa" w:w="80"/>
              <w:left w:type="dxa" w:w="100"/>
              <w:bottom w:type="dxa" w:w="80"/>
              <w:right w:type="dxa" w:w="100"/>
            </w:tcMar>
            <w:vAlign w:val="center"/>
          </w:tcPr>
          <w:p>
            <w:r>
              <w:t xml:space="preserve">Requires ~2 full semesters of check-in and category data — this is why events.category and retained check_ins were added to the v1 schema now (Decisions Log) even though the feature itself ships far later.</w:t>
            </w:r>
          </w:p>
        </w:tc>
      </w:tr>
      <w:tr>
        <w:tc>
          <w:tcPr>
            <w:tcW w:type="dxa" w:w="900"/>
            <w:shd w:fill="F2ECF9" w:val="clear"/>
            <w:tcMar>
              <w:top w:type="dxa" w:w="80"/>
              <w:left w:type="dxa" w:w="100"/>
              <w:bottom w:type="dxa" w:w="80"/>
              <w:right w:type="dxa" w:w="100"/>
            </w:tcMar>
            <w:vAlign w:val="center"/>
          </w:tcPr>
          <w:p>
            <w:r>
              <w:t xml:space="preserve">v3</w:t>
            </w:r>
          </w:p>
        </w:tc>
        <w:tc>
          <w:tcPr>
            <w:tcW w:type="dxa" w:w="2900"/>
            <w:shd w:fill="F2ECF9" w:val="clear"/>
            <w:tcMar>
              <w:top w:type="dxa" w:w="80"/>
              <w:left w:type="dxa" w:w="100"/>
              <w:bottom w:type="dxa" w:w="80"/>
              <w:right w:type="dxa" w:w="100"/>
            </w:tcMar>
            <w:vAlign w:val="center"/>
          </w:tcPr>
          <w:p>
            <w:r>
              <w:t xml:space="preserve">Creative Credits booking marketplace</w:t>
            </w:r>
          </w:p>
        </w:tc>
        <w:tc>
          <w:tcPr>
            <w:tcW w:type="dxa" w:w="6280"/>
            <w:shd w:fill="F2ECF9" w:val="clear"/>
            <w:tcMar>
              <w:top w:type="dxa" w:w="80"/>
              <w:left w:type="dxa" w:w="100"/>
              <w:bottom w:type="dxa" w:w="80"/>
              <w:right w:type="dxa" w:w="100"/>
            </w:tcMar>
            <w:vAlign w:val="center"/>
          </w:tcPr>
          <w:p>
            <w:r>
              <w:t xml:space="preserve">Only viable once v1.5 credits (§8.2) show organizers and creatives both engage with the feature organically.</w:t>
            </w:r>
          </w:p>
        </w:tc>
      </w:tr>
      <w:tr>
        <w:tc>
          <w:tcPr>
            <w:tcW w:type="dxa" w:w="900"/>
            <w:shd w:fill="FFFFFF" w:val="clear"/>
            <w:tcMar>
              <w:top w:type="dxa" w:w="80"/>
              <w:left w:type="dxa" w:w="100"/>
              <w:bottom w:type="dxa" w:w="80"/>
              <w:right w:type="dxa" w:w="100"/>
            </w:tcMar>
            <w:vAlign w:val="center"/>
          </w:tcPr>
          <w:p>
            <w:r>
              <w:t xml:space="preserve">v3</w:t>
            </w:r>
          </w:p>
        </w:tc>
        <w:tc>
          <w:tcPr>
            <w:tcW w:type="dxa" w:w="2900"/>
            <w:shd w:fill="FFFFFF" w:val="clear"/>
            <w:tcMar>
              <w:top w:type="dxa" w:w="80"/>
              <w:left w:type="dxa" w:w="100"/>
              <w:bottom w:type="dxa" w:w="80"/>
              <w:right w:type="dxa" w:w="100"/>
            </w:tcMar>
            <w:vAlign w:val="center"/>
          </w:tcPr>
          <w:p>
            <w:r>
              <w:t xml:space="preserve">Full content moderation queue + admin tooling</w:t>
            </w:r>
          </w:p>
        </w:tc>
        <w:tc>
          <w:tcPr>
            <w:tcW w:type="dxa" w:w="6280"/>
            <w:shd w:fill="FFFFFF" w:val="clear"/>
            <w:tcMar>
              <w:top w:type="dxa" w:w="80"/>
              <w:left w:type="dxa" w:w="100"/>
              <w:bottom w:type="dxa" w:w="80"/>
              <w:right w:type="dxa" w:w="100"/>
            </w:tcMar>
            <w:vAlign w:val="center"/>
          </w:tcPr>
          <w:p>
            <w:r>
              <w:t xml:space="preserve">Scales past the verified-organizer-only gate that keeps v1's moderation surface small (§3.3, §7.1).</w:t>
            </w:r>
          </w:p>
        </w:tc>
      </w:tr>
    </w:tbl>
    <w:p>
      <w:pPr>
        <w:pBdr>
          <w:bottom w:val="single" w:color="C9BEDD" w:sz="6"/>
        </w:pBdr>
        <w:spacing w:after="240" w:before="120"/>
      </w:pPr>
    </w:p>
    <w:p>
      <w:pPr>
        <w:pStyle w:val="Heading1"/>
        <w:spacing w:after="160" w:before="360"/>
      </w:pPr>
      <w:r>
        <w:t xml:space="preserve">Companion Document Note</w:t>
      </w:r>
    </w:p>
    <w:p>
      <w:pPr>
        <w:spacing w:after="160"/>
      </w:pPr>
      <w:r>
        <w:t xml:space="preserve">This revision resolves product-level decisions only. The following are required in a Technical Architecture v1.1 and Data Model ERD v1.1 before v1 can be built as scoped here, and are out of scope for this document:</w:t>
      </w:r>
    </w:p>
    <w:p>
      <w:pPr>
        <w:pStyle w:val="ListParagraph"/>
        <w:numPr>
          <w:ilvl w:val="0"/>
          <w:numId w:val="2"/>
        </w:numPr>
        <w:spacing w:after="80"/>
      </w:pPr>
      <w:r>
        <w:t xml:space="preserve">A users table (currently referenced by organizers.owner_user_id, attendees.user_id, and check_ins.scanned_by but never defined) and a stated authentication strategy.</w:t>
      </w:r>
    </w:p>
    <w:p>
      <w:pPr>
        <w:pStyle w:val="ListParagraph"/>
        <w:numPr>
          <w:ilvl w:val="0"/>
          <w:numId w:val="2"/>
        </w:numPr>
        <w:spacing w:after="80"/>
      </w:pPr>
      <w:r>
        <w:t xml:space="preserve">device_tokens (or equivalent) to support the push notifications required by §3.3 and the cancellation-notification requirement in §4.2.</w:t>
      </w:r>
    </w:p>
    <w:p>
      <w:pPr>
        <w:pStyle w:val="ListParagraph"/>
        <w:numPr>
          <w:ilvl w:val="0"/>
          <w:numId w:val="2"/>
        </w:numPr>
        <w:spacing w:after="80"/>
      </w:pPr>
      <w:r>
        <w:t xml:space="preserve">organizer_members, to eventually support more than one scanner per door — flagged as a v2 feature in §9, but the schema seam should exist earlier if cheap to add.</w:t>
      </w:r>
    </w:p>
    <w:p>
      <w:pPr>
        <w:pStyle w:val="ListParagraph"/>
        <w:numPr>
          <w:ilvl w:val="0"/>
          <w:numId w:val="2"/>
        </w:numPr>
        <w:spacing w:after="80"/>
      </w:pPr>
      <w:r>
        <w:t xml:space="preserve">id_document_url and an admin review surface for the manual verification path referenced in §3.1 and §7.3 — currently specified in the PRD with no backing schema.</w:t>
      </w:r>
    </w:p>
    <w:p>
      <w:pPr>
        <w:pStyle w:val="ListParagraph"/>
        <w:numPr>
          <w:ilvl w:val="0"/>
          <w:numId w:val="2"/>
        </w:numPr>
        <w:spacing w:after="80"/>
      </w:pPr>
      <w:r>
        <w:t xml:space="preserve">Ed25519 key generation, storage, and rotation plan (key_id field in the token payload), matching the §5.5 decision in this document.</w:t>
      </w:r>
    </w:p>
    <w:p>
      <w:pPr>
        <w:spacing w:after="160"/>
      </w:pPr>
      <w:r>
        <w:rPr>
          <w:i/>
          <w:iCs/>
          <w:color w:val="6B6270"/>
        </w:rPr>
        <w:t xml:space="preserve">The Brand Guidelines document (currently v2.0, built around paid ticketing) also needs a v1-specific pass: voice and UI copy for free RSVP, verification-pending states, capacity-full states, and the offline check-in flow don't exist yet in that document.</w:t>
      </w:r>
    </w:p>
    <w:p>
      <w:pPr>
        <w:spacing w:before="300"/>
      </w:pPr>
      <w:r>
        <w:rPr>
          <w:i/>
          <w:iCs/>
          <w:color w:val="6B6270"/>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b/>
      <w:bCs/>
      <w:color w:val="1B1330"/>
      <w:sz w:val="48"/>
      <w:szCs w:val="48"/>
    </w:rPr>
  </w:style>
  <w:style w:type="paragraph" w:styleId="Heading1">
    <w:name w:val="Heading 1"/>
    <w:basedOn w:val="Normal"/>
    <w:next w:val="Normal"/>
    <w:pPr>
      <w:spacing w:after="160" w:before="360"/>
      <w:outlineLvl w:val="0"/>
    </w:pPr>
    <w:rPr>
      <w:b/>
      <w:bCs/>
      <w:color w:val="1B1330"/>
      <w:sz w:val="28"/>
      <w:szCs w:val="28"/>
    </w:rPr>
  </w:style>
  <w:style w:type="paragraph" w:styleId="Heading2">
    <w:name w:val="Heading 2"/>
    <w:basedOn w:val="Normal"/>
    <w:next w:val="Normal"/>
    <w:pPr>
      <w:spacing w:after="120" w:before="280"/>
      <w:outlineLvl w:val="1"/>
    </w:pPr>
    <w:rPr>
      <w:b/>
      <w:bCs/>
      <w:color w:val="5B2A8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2026-08-01T21:32:25.209Z</dcterms:created>
  <dcterms:modified xsi:type="dcterms:W3CDTF">2026-08-01T21:32:25.223Z</dcterms:modified>
</cp:coreProperties>
</file>

<file path=docProps/custom.xml><?xml version="1.0" encoding="utf-8"?>
<Properties xmlns="http://schemas.openxmlformats.org/officeDocument/2006/custom-properties" xmlns:vt="http://schemas.openxmlformats.org/officeDocument/2006/docPropsVTypes"/>
</file>