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중국어 혐오표현 CounterSpeech 생성 실험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555555"/>
          <w:sz w:val="26"/>
          <w:szCs w:val="26"/>
        </w:rPr>
        <w:t xml:space="preserve">— 선행 연구(2025·2026)의 후속 연구 설계안 —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i/>
          <w:iCs/>
          <w:color w:val="777777"/>
          <w:sz w:val="22"/>
          <w:szCs w:val="22"/>
        </w:rPr>
        <w:t xml:space="preserve">ASUS Ascent GX10 (NVIDIA GB10 Grace Blackwell) 로컬 파이프라인 기반</w:t>
      </w:r>
    </w:p>
    <w:p>
      <w:pPr>
        <w:spacing w:after="8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박민준 (덕성여자대학교 중어중문학과)</w:t>
      </w:r>
    </w:p>
    <w:p>
      <w:pPr>
        <w:spacing w:after="400"/>
        <w:jc w:val="right"/>
      </w:pPr>
      <w:r>
        <w:rPr>
          <w:rFonts w:ascii="맑은 고딕" w:cs="맑은 고딕" w:eastAsia="맑은 고딕" w:hAnsi="맑은 고딕"/>
          <w:color w:val="777777"/>
          <w:sz w:val="22"/>
          <w:szCs w:val="22"/>
        </w:rPr>
        <w:t xml:space="preserve">2026. 05.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연구의 위치: 왜 지금 CounterSpeech 생성인가</w:t>
      </w:r>
    </w:p>
    <w:p>
      <w:pPr>
        <w:spacing w:after="12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연구는 본 연구자의 선행 두 편의 논문을 직접 잇는 후속 연구이다. 선행 연구 ①(박민준, 2026, Chinese Language and Discourse 17:1)에서는 32,000여 문장, 86만 어절 규모의 한·중 대조 말뭉치를 구축하여 온라인 혐오표현이 성별·종족/국적·지역의 세 영역에서 어떻게 표연성(Performativity)·지시성(Indexicality)·언역화(Enregisterment)·입장 표명(Stance-taking)으로 작동하는지를 비교 분석하였다. 선행 연구 ②(박민준, 2025, 『中國語文學論集』 155)에서는 중국어 단일 말뭉치에 대해 대수우도비(LL)·KWIC 분석을 수행한 뒤, 4장에서 반(反)혐오표현(Counter Speech)을 ‘논리적 반박 / 적극적 재구성 / 사실 기반 응답’의 세 가지 전략으로 유형화하였다.</w:t>
      </w:r>
    </w:p>
    <w:p>
      <w:pPr>
        <w:spacing w:after="12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선행 연구 ②의 결론에서 본 연구자는 다음 두 가지 한계를 명시하였다. (i) 반혐오표현이 절대적으로 적어 개인의 자발적 발화만으로는 혐오표현 확산을 막기 어려우므로 자동 생성 시스템 개발이 필요하다. (ii) COLD·CCL25-Eval10 등 기존 데이터셋에서 CS 발화가 ‘혐오’로 오분류되는 경우가 빈번하여, 식별 정밀도가 개선되어야 한다. 본 후속 연구는 바로 이 두 한계를 정조준한다.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연구 질문 (Research Questions)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RQ1.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프롬프팅(zero-/few-shot), RAG, LoRA 미세조정, 전략 조건부 생성 등 네 가지 LLM 전략 가운데, 본 연구자가 분류한 세 가지 CS 전략(논리적 반박/적극적 재구성/사실 기반 응답)을 가장 충실히 구현하는 것은 무엇인가?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RQ2.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혐오표현이 가지는 사회언어학적 작동 기제(직접적 표연성 vs. 고차 지시성, 후위 형태소 -虫·-癌·-婊, 諧音, 隱喩)를 명시적으로 입력 단계에 인코딩했을 때, CS의 설득력과 풍자 비대칭성(asymmetry of irony)이 통계적으로 유의하게 개선되는가?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RQ3.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생성된 CS가 원 혐오 발화의 입장 표명(Evaluation–Positioning–Alignment) 삼각형을 어떤 방식으로 ‘해체’ 또는 ‘재정렬’하는가? 영역(성별/종족/지역)별로 그 패턴은 어떻게 달라지는가?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RQ4. </w:t>
      </w:r>
      <w:r>
        <w:rPr>
          <w:rFonts w:ascii="맑은 고딕" w:cs="맑은 고딕" w:eastAsia="맑은 고딕" w:hAnsi="맑은 고딕"/>
          <w:sz w:val="22"/>
          <w:szCs w:val="22"/>
        </w:rPr>
        <w:t xml:space="preserve">COLD·CCL25-Eval10 내 CS 오분류 사례를 식별·재라벨링한 모델은 기존 혐오 검출 분류기 대비 정밀도(precision)와 F1을 얼마나 끌어올리는가? 특히 풍자·반어·은유 표현에서 그러한가?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이론적 틀 (사회언어학 ↔ NLP 결합)</w:t>
      </w:r>
    </w:p>
    <w:p>
      <w:pPr>
        <w:spacing w:after="12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연구는 선행 연구의 이론 자산을 NLP 실험 설계에 직접 매핑한다. 다섯 개의 이론적 축은 다음과 같이 실험 모듈로 변환된다.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이론 개념</w:t>
            </w:r>
          </w:p>
        </w:tc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선행 논문에서의 적용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CS 생성 실험에서의 모듈화</w:t>
            </w:r>
          </w:p>
        </w:tc>
      </w:tr>
      <w:tr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표연성 (Butler 1997)</w:t>
            </w:r>
          </w:p>
        </w:tc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‘맘충’, ‘소추’ 등 직접적 모욕이 사회적 행위로 작동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CS가 ‘재의미화(resignification)’를 수행하는지 측정. 예: ‘女拳’의 의미 재할당.</w:t>
            </w:r>
          </w:p>
        </w:tc>
      </w:tr>
      <w:tr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지시성 (Silverstein 2003)</w:t>
            </w:r>
          </w:p>
        </w:tc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‘직남암’, ‘녹차’의 고차 지시성으로 사회적 평가 전달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프롬프트에 지시성 차수를 명시(1차/N차) → 모델이 이를 ‘해체’하는 출력 생성</w:t>
            </w:r>
          </w:p>
        </w:tc>
      </w:tr>
      <w:tr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언역화 (Agha 2005)</w:t>
            </w:r>
          </w:p>
        </w:tc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후위 ‘-虫’·‘-癌’·‘-婊’가 혐오 어역(register)으로 고착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CS 생성 시 ‘혐오 어역 회피 + 중성/긍정 어역 생성’ 제약 조건 추가</w:t>
            </w:r>
          </w:p>
        </w:tc>
      </w:tr>
      <w:tr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언어 이념 (Kroskrity 2016)</w:t>
            </w:r>
          </w:p>
        </w:tc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中華民族 의식 등 화자의 신념 체계가 혐오 형성에 작용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이념 인식 평가 항목 신설 — 생성된 CS가 이념 기반 갈등을 환기하는지 측정</w:t>
            </w:r>
          </w:p>
        </w:tc>
      </w:tr>
      <w:tr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입장 표명 (Du Bois 2007)</w:t>
            </w:r>
          </w:p>
        </w:tc>
        <w:tc>
          <w:tcPr>
            <w:tcW w:type="dxa" w:w="3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평가·자기위치·동조 삼각형으로 혐오 화행 분석</w:t>
            </w:r>
          </w:p>
        </w:tc>
        <w:tc>
          <w:tcPr>
            <w:tcW w:type="dxa" w:w="35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CS가 원 발화의 삼각형을 어떻게 ‘re-align’ 하는지 자동·인간 평가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데이터셋 설계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기존 자원의 통합 (Base Corpora)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COLD Dataset (Deng et al., 2022) — 18,041 문장, 성별/종족/지역 3영역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CCL25-Eval10 中文仇恨言論檢測數據 (林鴻飛 외, 2025)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SWSR (Jiang et al., 2022) — 중국어 성차별 어휘 사전 및 코퍼스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PANDA (Bennie et al., 2025, arXiv:2501.00697) — LLM-as-Judge로 구축된 최초의 중국어 CS 데이터셋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자체 정리 자원 — 선행 연구 ② 4장에서 식별된 약 50개 CS 예시 + KWIC 추출 라벨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HateCS-ZH: 새로 구축할 paired 데이터셋</w:t>
      </w:r>
    </w:p>
    <w:p>
      <w:pPr>
        <w:spacing w:after="12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자원들을 ‘혐오–대응’ 쌍(pair)으로 재정렬하고, 본 연구자의 3-영역 × 3-전략 분류 체계를 다층 라벨로 부착한다.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80"/>
        <w:gridCol w:w="1840"/>
        <w:gridCol w:w="1840"/>
      </w:tblGrid>
      <w:tr>
        <w:trPr>
          <w:tblHeader/>
        </w:trP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라벨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2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규모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hate_text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문자열</w:t>
            </w:r>
          </w:p>
        </w:tc>
        <w:tc>
          <w:tcPr>
            <w:tcW w:type="dxa" w:w="22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 혐오 발화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COLD/CCL25/SWSR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12,000+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범주</w:t>
            </w:r>
          </w:p>
        </w:tc>
        <w:tc>
          <w:tcPr>
            <w:tcW w:type="dxa" w:w="22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gender / race / region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재라벨링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균등 분포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hate_mechanism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범주</w:t>
            </w:r>
          </w:p>
        </w:tc>
        <w:tc>
          <w:tcPr>
            <w:tcW w:type="dxa" w:w="22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performativity / indexicality / enregisterment / homophone / metaphor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이론 기반 어노테이션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≥ 80% 커버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cs_text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문자열</w:t>
            </w:r>
          </w:p>
        </w:tc>
        <w:tc>
          <w:tcPr>
            <w:tcW w:type="dxa" w:w="22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CS 응답 (1~3개 후보)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PANDA + 자체 수집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쌍당 2개 평균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cs_strategy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범주</w:t>
            </w:r>
          </w:p>
        </w:tc>
        <w:tc>
          <w:tcPr>
            <w:tcW w:type="dxa" w:w="22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logical / reinterpret / fact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선행 ② 4장 분류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균등 분포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stance_shift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구조체</w:t>
            </w:r>
          </w:p>
        </w:tc>
        <w:tc>
          <w:tcPr>
            <w:tcW w:type="dxa" w:w="22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{eval, position, align} 각각 변화 여부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Du Bois 삼각형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이중 어노</w:t>
            </w:r>
          </w:p>
        </w:tc>
      </w:tr>
      <w:tr>
        <w:tc>
          <w:tcPr>
            <w:tcW w:type="dxa" w:w="18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misclassified</w:t>
            </w:r>
          </w:p>
        </w:tc>
        <w:tc>
          <w:tcPr>
            <w:tcW w:type="dxa" w:w="16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불리언</w:t>
            </w:r>
          </w:p>
        </w:tc>
        <w:tc>
          <w:tcPr>
            <w:tcW w:type="dxa" w:w="228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 데이터셋에서 ‘혐오’로 오분류되었는지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교정 작업</w:t>
            </w:r>
          </w:p>
        </w:tc>
        <w:tc>
          <w:tcPr>
            <w:tcW w:type="dxa" w:w="18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정량 보고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4.3 어노테이션 워크플로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1차 자동 라벨링: Qwen3-72B (FP4)로 zero-shot 라벨링 + 신뢰도 점수 산출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2차 검수: 본 연구자 + 대학원생 1명, Cohen’s κ ≥ 0.75 목표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논쟁 사례 워크숍: 분기별 1회, 사회언어학 이론 적용 일관성 점검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공개: GitHub (karmalet/HateSpeech) 하위 디렉터리 zh_counter_speech/ 신설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모델 및 시스템 설계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모델 풀 (Model Pool)</w:t>
      </w:r>
    </w:p>
    <w:p>
      <w:pPr>
        <w:spacing w:after="12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GX10의 128GB 통합 메모리와 FP4 텐서 코어를 전제로 다음 모델 라인업을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700"/>
        <w:gridCol w:w="1700"/>
        <w:gridCol w:w="2260"/>
      </w:tblGrid>
      <w:tr>
        <w:trPr>
          <w:tblHeader/>
        </w:trP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70AD4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티어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70AD4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70AD4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정밀도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70AD4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GX10 가용성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70AD4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T1 (생성)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Qwen3-72B-Instruct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FP4 (≈ 40 GB)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GX10 충분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주요 CS 생성기</w:t>
            </w:r>
          </w:p>
        </w:tc>
      </w:tr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T1 (생성)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DeepSeek-R1-Distill-Qwen-32B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FP8 (≈ 38 GB)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GX10 여유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논리적 반박 특화 검증</w:t>
            </w:r>
          </w:p>
        </w:tc>
      </w:tr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T1 (생성)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GLM-4-32B-Chat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FP8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GX10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중국 본토 발화 자연도 비교</w:t>
            </w:r>
          </w:p>
        </w:tc>
      </w:tr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T2 (미세조정)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Qwen3-14B / 32B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BF16 + LoRA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Unsloth/PEFT 가능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HateCS-ZH로 LoRA 학습</w:t>
            </w:r>
          </w:p>
        </w:tc>
      </w:tr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T3 (심판)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Qwen3-72B + GPT-4 API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FP4 / API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로컬+클라우드 교차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LLM-as-Judge 평가</w:t>
            </w:r>
          </w:p>
        </w:tc>
      </w:tr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T4 (검색)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BGE-M3 임베딩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FP16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CPU+GPU 하이브리드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RAG 인덱스(혐오–CS 쌍)</w:t>
            </w:r>
          </w:p>
        </w:tc>
      </w:tr>
      <w:tr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T5 (분류)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RoBERTa-WWM, XLM-R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FP16</w:t>
            </w:r>
          </w:p>
        </w:tc>
        <w:tc>
          <w:tcPr>
            <w:tcW w:type="dxa" w:w="1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단일 GPU 일부</w:t>
            </w:r>
          </w:p>
        </w:tc>
        <w:tc>
          <w:tcPr>
            <w:tcW w:type="dxa" w:w="22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혐오 검출 베이스라인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생성 조건 (Generation Conditions)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C1 Zero-shot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시스템 프롬프트 + 혐오 발화 → CS.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C2 Few-shot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전략별 3개 예시(KWIC 기반) 동봉.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C3 RAG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BGE-M3로 가장 유사한 혐오–CS 쌍 top-5 검색 후 프롬프트에 삽입.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C4 LoRA-FT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HateCS-ZH train split으로 Qwen3-14B/32B LoRA 학습(rank=16, α=32).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C5 Strategy-conditioned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(domain, strategy) 튜플 명시: 예) ‘(region, logical)’.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C6 Theory-aware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본 연구 고유 조건. 프롬프트에 hate_mechanism (예: ‘高阶指示·谐音’)을 명시하고 ‘혐오 어역 회피, 재의미화 시도’ 등 사회언어학적 제약을 부여.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5.3 Theory-aware 프롬프트 예시 (C6)</w:t>
      </w:r>
    </w:p>
    <w:p>
      <w:pPr>
        <w:pBdr>
          <w:left w:val="single" w:color="5B9BD5" w:sz="18" w:space="8"/>
        </w:pBdr>
        <w:spacing w:after="100" w:before="100" w:line="300"/>
        <w:ind w:left="480"/>
      </w:pPr>
      <w:r>
        <w:rPr>
          <w:rFonts w:ascii="맑은 고딕" w:cs="맑은 고딕" w:eastAsia="맑은 고딕" w:hAnsi="맑은 고딕"/>
          <w:i/>
          <w:iCs/>
          <w:color w:val="404040"/>
          <w:sz w:val="20"/>
          <w:szCs w:val="20"/>
        </w:rPr>
        <w:t xml:space="preserve">[원 발화] 直男癌真是没救了，绿茶女拳一起恶心。
[hate_mechanism] 고차 지시성 + 의료적 은유(neological cancer metaphor) + 諧音(女权→女拳)
[target_strategy] 적극적 재구성(Positive Reinterpretation)
[지시] (1) ‘癌’·‘拳’의 은유 사슬을 의식하고 동일 어역으로 응답하지 마라. (2) 발화자의 평가(eval)는 인정하되 자기위치(position)와 동조(align) 축을 풀어라. (3) 한 단락, 60자 이내로 응답하라.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평가 프레임워크 (Multi-axis Evaluation)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자동 지표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표면적 유사도: BERTScore(zh-roberta), ROUGE-L, BLEU-4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독성 점수: COLD 분류기 + Perspective API zh — CS가 다시 혐오로 분류되면 감점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어휘 다양성: Distinct-n, Self-BLEU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키니스 비교: 생성 CS의 LL 키워드 분포와 참조 CS의 분포 간 Jensen–Shannon 거리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LLM-as-Judge 평가 (5점 Likert)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Relevance — 원 혐오 발화와 주제적으로 연결되는가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Persuasiveness — 설득력 (논리/감정/사실 어느 축에서든)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Non-aggression — 새로운 혐오를 만들어내지 않는가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Strategy adherence — 지시된 전략(logical/reinterpret/fact)을 준수하는가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Cultural appropriateness — 중국 인터넷 담화 관습에 자연스러운가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6.3 사회언어학적 평가(본 연구 고유)</w:t>
      </w:r>
    </w:p>
    <w:p>
      <w:pPr>
        <w:spacing w:after="12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다섯 항목은 본 연구자의 이론 틀을 직접 평가 지표로 변환한 것이다. 기존 CS 연구(PANDA 등)에는 없는 차별 지점이다.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D7D3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6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D7D3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BE5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Register Avoidance</w:t>
            </w:r>
          </w:p>
        </w:tc>
        <w:tc>
          <w:tcPr>
            <w:tcW w:type="dxa" w:w="6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CS가 혐오 어역 표지(-虫, -癌, -婊, 女拳 등)를 ‘재사용’했는지 사전 매칭으로 검사. 0/1 라벨.</w:t>
            </w:r>
          </w:p>
        </w:tc>
      </w:tr>
      <w:tr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BE5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Resignification</w:t>
            </w:r>
          </w:p>
        </w:tc>
        <w:tc>
          <w:tcPr>
            <w:tcW w:type="dxa" w:w="6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Butler의 재의미화 수행 여부. 사람 평가 + GPT-4 판정. 예: ‘女拳’을 ‘女权’으로 되돌려 의미를 회복.</w:t>
            </w:r>
          </w:p>
        </w:tc>
      </w:tr>
      <w:tr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BE5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Indexicality Disarming</w:t>
            </w:r>
          </w:p>
        </w:tc>
        <w:tc>
          <w:tcPr>
            <w:tcW w:type="dxa" w:w="6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N차 지시성을 1차로 환원하는지(예: ‘绿茶’의 비유 사슬 해체). 인간 평가 3점 척도.</w:t>
            </w:r>
          </w:p>
        </w:tc>
      </w:tr>
      <w:tr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BE5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Stance Re-alignment</w:t>
            </w:r>
          </w:p>
        </w:tc>
        <w:tc>
          <w:tcPr>
            <w:tcW w:type="dxa" w:w="6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 발화의 (eval, position, align) 가운데 몇 개를 흔드는지 0~3 점수. 두 명 어노테이터 합의.</w:t>
            </w:r>
          </w:p>
        </w:tc>
      </w:tr>
      <w:tr>
        <w:tc>
          <w:tcPr>
            <w:tcW w:type="dxa" w:w="27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BE5D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Ideology Surface</w:t>
            </w:r>
          </w:p>
        </w:tc>
        <w:tc>
          <w:tcPr>
            <w:tcW w:type="dxa" w:w="66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CS가 中華民族 등 거대 이념을 새로 동원하는지 검사. 동원하면 감점.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6.4 인간 평가 설계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표본: 영역·전략·조건 균등 분층 추출 600쌍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어노테이터: 중국어 모어 화자 3인 (성별/지역 균형)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플랫폼: Label Studio (GX10 로컬 도커)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신뢰도: Krippendorff’s α ≥ 0.7, 의견 불일치 사례는 3자 합의 회의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사회언어학적 사후 분석</w:t>
      </w:r>
    </w:p>
    <w:p>
      <w:pPr>
        <w:spacing w:after="12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선행 연구에서 본 연구자가 활용한 LL 키워드 분석 + KWIC 절차를 그대로 생성 CS에 적용한다. 이로써 NLP 실험이 끝나는 지점에서 다시 사회언어학으로 연결되는 ‘이중 회로(double loop)’를 구성한다.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(1) 생성 CS 코퍼스에서 LL 키워드 추출 (참조: 원 혐오 코퍼스)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(2) 키워드 인접 어휘 분석 — 어떤 새로운 어역이 형성되는가?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(3) USAS/Wmatrix 의미장 비교 — 핵심 의미 영역(key semantic domains)의 이동 관찰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(4) 사례 연구: ‘河南人偷井盖’, ‘直男癌’, ‘홍어/통구이’ 대응 CS의 담화 구조 분석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ASUS GX10 활용 파이프라인</w:t>
      </w:r>
    </w:p>
    <w:p>
      <w:pPr>
        <w:spacing w:after="12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GX10은 NVIDIA GB10 Grace Blackwell Superchip(20-core Arm + Blackwell GPU, NVLink-C2C 900GB/s), 128GB LPDDR5x 통합 메모리, 1 PFLOPS(FP4), 4TB NVMe PCIe 5.0을 갖춘다. 200B 파라미터까지 추론, ~70B까지 LoRA 미세조정이 단일 박스에서 가능하다. 본 연구는 다음의 단계별 매핑으로 하드웨어를 한계까지 활용한다.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3000"/>
        <w:gridCol w:w="2760"/>
      </w:tblGrid>
      <w:tr>
        <w:trPr>
          <w:tblHeader/>
        </w:trPr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7030A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7030A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7030A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GX10 활용 포인트</w:t>
            </w:r>
          </w:p>
        </w:tc>
        <w:tc>
          <w:tcPr>
            <w:tcW w:type="dxa" w:w="2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7030A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소프트웨어</w:t>
            </w:r>
          </w:p>
        </w:tc>
      </w:tr>
      <w:tr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S1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전처리·분절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20-core Arm CPU에서 멀티스레드 jieba/Komoran 실행. 128GB 메모리로 전체 코퍼스 in-memory 처리.</w:t>
            </w:r>
          </w:p>
        </w:tc>
        <w:tc>
          <w:tcPr>
            <w:tcW w:type="dxa" w:w="2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jieba, KoNLPy_GUI, polars, datasets</w:t>
            </w:r>
          </w:p>
        </w:tc>
      </w:tr>
      <w:tr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S2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 라벨링 (1차)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Qwen3-72B FP4 로컬 추론으로 12,000+ 쌍 라벨링. 데이터가 GX10 밖으로 나가지 않음(연구 윤리).</w:t>
            </w:r>
          </w:p>
        </w:tc>
        <w:tc>
          <w:tcPr>
            <w:tcW w:type="dxa" w:w="2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vLLM, TensorRT-LLM, NIM</w:t>
            </w:r>
          </w:p>
        </w:tc>
      </w:tr>
      <w:tr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RAG 인덱스 구축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BGE-M3 임베딩을 GPU에서 일괄 산출(NVLink-C2C로 CPU 데이터 무복사 전달). FAISS HNSW 인덱스 4TB NVMe 저장.</w:t>
            </w:r>
          </w:p>
        </w:tc>
        <w:tc>
          <w:tcPr>
            <w:tcW w:type="dxa" w:w="2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FAISS, BGE-M3, llama-index</w:t>
            </w:r>
          </w:p>
        </w:tc>
      </w:tr>
      <w:tr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S4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LoRA 미세조정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Qwen3-14B/32B를 BF16 + LoRA(r=16)로 단일 GX10에서 24~72h 학습. Unsloth + FlashAttention-2.</w:t>
            </w:r>
          </w:p>
        </w:tc>
        <w:tc>
          <w:tcPr>
            <w:tcW w:type="dxa" w:w="2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Unsloth, PEFT, accelerate, DeepSpeed-Zero3</w:t>
            </w:r>
          </w:p>
        </w:tc>
      </w:tr>
      <w:tr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S5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멀티 모델 동시 서빙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생성기(40GB FP4) + 심판(40GB FP4) + 임베더(2GB)를 동시에 메모리에 적재. 평가 루프가 1박스 안에서 닫힘.</w:t>
            </w:r>
          </w:p>
        </w:tc>
        <w:tc>
          <w:tcPr>
            <w:tcW w:type="dxa" w:w="2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vLLM (multi-engine), NIM microservices, Triton</w:t>
            </w:r>
          </w:p>
        </w:tc>
      </w:tr>
      <w:tr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S6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어노테이션 호스팅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Label Studio + Postgres 도커 컨테이너를 GX10에서 운영. 인터넷 노출은 SSH 터널.</w:t>
            </w:r>
          </w:p>
        </w:tc>
        <w:tc>
          <w:tcPr>
            <w:tcW w:type="dxa" w:w="2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Docker, Label Studio, PostgreSQL</w:t>
            </w:r>
          </w:p>
        </w:tc>
      </w:tr>
      <w:tr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S7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실험 추적·재현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NVIDIA AI Workbench로 환경 패키징, W&amp;B로 메트릭 추적. 200B급 모델도 향후 두 대 NVLink로 확장 가능.</w:t>
            </w:r>
          </w:p>
        </w:tc>
        <w:tc>
          <w:tcPr>
            <w:tcW w:type="dxa" w:w="2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Workbench, Weights &amp; Biases, Hydra</w:t>
            </w:r>
          </w:p>
        </w:tc>
      </w:tr>
      <w:tr>
        <w:tc>
          <w:tcPr>
            <w:tcW w:type="dxa" w:w="1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S8</w:t>
            </w:r>
          </w:p>
        </w:tc>
        <w:tc>
          <w:tcPr>
            <w:tcW w:type="dxa" w:w="23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키니스/USAS 분석</w:t>
            </w:r>
          </w:p>
        </w:tc>
        <w:tc>
          <w:tcPr>
            <w:tcW w:type="dxa" w:w="3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CPU 측에서 R/Python으로 LL 계산, Wmatrix는 외부 API. CPU-GPU 메모리 일치로 대용량 분석 직접 가능.</w:t>
            </w:r>
          </w:p>
        </w:tc>
        <w:tc>
          <w:tcPr>
            <w:tcW w:type="dxa" w:w="27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quanteda, scattertext, Wmatrix API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데이터 거버넌스 측면의 이점</w:t>
      </w:r>
    </w:p>
    <w:p>
      <w:pPr>
        <w:spacing w:after="120" w:line="3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혐오 발화·종족 비하 표현은 외부 API로 보내는 것 자체가 윤리적·법적 부담이 크다. GX10의 로컬 처리 구조는 (i) IRB/연구윤리 심의 통과를 용이하게 하고, (ii) ‘민감 자료를 클라우드에 보내지 않는다’는 점을 논문 한계에서 ‘장점’으로 전환한다. 오직 LLM-as-Judge 교차 검증 단계에서만 익명화된 발화 일부를 GPT-4 API로 보낸다.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일정 및 마일스톤 (12개월)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40404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월차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40404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활동</w:t>
            </w:r>
          </w:p>
        </w:tc>
        <w:tc>
          <w:tcPr>
            <w:tcW w:type="dxa" w:w="38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40404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M1–M2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선행 자원 통합, GX10 환경 셋업 (DGX OS, vLLM, Unsloth)</w:t>
            </w:r>
          </w:p>
        </w:tc>
        <w:tc>
          <w:tcPr>
            <w:tcW w:type="dxa" w:w="38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HateCS-ZH v0.1 (자동 라벨)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M3–M4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어노테이션 워크플로 구축, 검수 진행, Cohen’s κ 모니터링</w:t>
            </w:r>
          </w:p>
        </w:tc>
        <w:tc>
          <w:tcPr>
            <w:tcW w:type="dxa" w:w="38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HateCS-ZH v1.0 + 데이터 페이퍼 초고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M5–M6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C1–C5 베이스라인 실험, RAG/LoRA 학습</w:t>
            </w:r>
          </w:p>
        </w:tc>
        <w:tc>
          <w:tcPr>
            <w:tcW w:type="dxa" w:w="38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국내 학술대회 발표(중국언어학회 등)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M7–M8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C6 Theory-aware 조건 실험, 인간 평가 수행</w:t>
            </w:r>
          </w:p>
        </w:tc>
        <w:tc>
          <w:tcPr>
            <w:tcW w:type="dxa" w:w="38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Theory-aware 결과 보고서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M9–M10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사회언어학 사후 분석(LL/KWIC/USAS), 사례 연구</w:t>
            </w:r>
          </w:p>
        </w:tc>
        <w:tc>
          <w:tcPr>
            <w:tcW w:type="dxa" w:w="38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국제 학술지 투고(예: Chinese Language and Discourse, Discourse &amp; Society)</w:t>
            </w:r>
          </w:p>
        </w:tc>
      </w:tr>
      <w:tr>
        <w:tc>
          <w:tcPr>
            <w:tcW w:type="dxa" w:w="15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M11–M12</w:t>
            </w:r>
          </w:p>
        </w:tc>
        <w:tc>
          <w:tcPr>
            <w:tcW w:type="dxa" w:w="4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오분류 사례 교정 모델 학습, 데이터 공개, 데모 페이지</w:t>
            </w:r>
          </w:p>
        </w:tc>
        <w:tc>
          <w:tcPr>
            <w:tcW w:type="dxa" w:w="386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HateCS-ZH v2.0 + 데모 + 코드 공개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기대 효과 및 한계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10.1 학문적 기여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사회언어학 이론(표연성·지시성·언역화·입장 표명)을 NLP 평가 지표로 변환한 최초의 중국어 CS 연구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CS 연구가 다루지 않은 ‘재의미화/혐오 어역 회피/지시성 해체’ 차원 도입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COLD·CCL25-Eval10의 CS 오분류 문제에 대한 정량 보고 및 교정 모델 제공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선행 두 논문과 합쳐 ‘기술→유형화→대응 생성’의 3부작 완성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10.2 사회적 기여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플랫폼 모더레이션 시스템이 활용 가능한 CS 생성 컴포넌트 공개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미디어 리터러시 교육용 사례집 — 학생이 직접 CS 전략을 학습할 수 있는 예시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10.3 한계 및 후속 작업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플랫폼별(웨이보/지후/티에바) 분포 편향 — 후속 연구에서 보완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CS 효과성에 대한 실제 사용자 노출 실험 부재 — 추후 실험 미디어 연구로 분리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정치적으로 민감한 영역(소수민족, 홍콩·대만)의 자동 생성은 의도적으로 보수적으로 다룸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부록 A. 평가 프로토콜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범주</w:t>
            </w:r>
          </w:p>
        </w:tc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자동 지표</w:t>
            </w:r>
          </w:p>
        </w:tc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인간 지표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표면 품질</w:t>
            </w:r>
          </w:p>
        </w:tc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BERTScore, ROUGE, Distinct-n</w:t>
            </w:r>
          </w:p>
        </w:tc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자연도(5점)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안전성</w:t>
            </w:r>
          </w:p>
        </w:tc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Perspective(zh), COLD 분류기</w:t>
            </w:r>
          </w:p>
        </w:tc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Non-aggression(5점)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전략 충실도</w:t>
            </w:r>
          </w:p>
        </w:tc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Classifier(3-class) 정확도</w:t>
            </w:r>
          </w:p>
        </w:tc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Strategy adherence(5점)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사회언어학</w:t>
            </w:r>
          </w:p>
        </w:tc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어역 회피, LL 분포 거리</w:t>
            </w:r>
          </w:p>
        </w:tc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Resignification, Stance re-align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부록 B. 주요 참고문헌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박민준 (2026). 중한 인터넷 혐오표현 비교. Chinese Language and Discourse 17:1.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박민준 (2025). 코퍼스 기반 중국어 온라인 혐오표현의 통계 연구. 中國語文學論集 155.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Bennie, M. 외 (2025). PANDA: Paired Anti-Hate Narratives Dataset from Asia. arXiv:2501.00697.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Deng, J. 외 (2022). COLD: A Benchmark for Chinese Offensive Language Detection. arXiv:2201.06025.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Butler, J. (1997). Excitable Speech. Routledge.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Silverstein, M. (2003). Indexical order and the dialectics of sociolinguistic life.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Du Bois, J. (2007). The stance triangle. In Stancetaking in Discourse.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Agha, A. (2005). Voice, footing, enregisterment. Journal of Linguistic Anthropology 15(1).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Lang, J. (2020). Neological cancer metaphors in the Chinese cyberspace. Chinese Language and Discourse 11(2).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Jing-Schmidt, Z., &amp; Peng, X. (2018). The sluttified sex. Language in Society 47(3).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777777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77777"/>
        <w:sz w:val="18"/>
        <w:szCs w:val="18"/>
      </w:rPr>
      <w:t xml:space="preserve">CounterSpeech 생성 실험 — 후속 연구 설계안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중국어 혐오표현 CounterSpeech 생성 실험</dc:title>
  <dc:creator>박민준</dc:creator>
  <cp:lastModifiedBy>Un-named</cp:lastModifiedBy>
  <cp:revision>1</cp:revision>
  <dcterms:created xsi:type="dcterms:W3CDTF">2026-05-12T11:46:26.429Z</dcterms:created>
  <dcterms:modified xsi:type="dcterms:W3CDTF">2026-05-12T11:46:26.430Z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