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맑은 고딕" w:cs="맑은 고딕" w:eastAsia="맑은 고딕" w:hAnsi="맑은 고딕"/>
          <w:b/>
          <w:bCs/>
          <w:sz w:val="44"/>
          <w:szCs w:val="44"/>
        </w:rPr>
        <w:t xml:space="preserve">중국어 CounterSpeech 생성 실험</w:t>
      </w:r>
    </w:p>
    <w:p>
      <w:pPr>
        <w:spacing w:after="120"/>
        <w:jc w:val="center"/>
      </w:pPr>
      <w:r>
        <w:rPr>
          <w:rFonts w:ascii="맑은 고딕" w:cs="맑은 고딕" w:eastAsia="맑은 고딕" w:hAnsi="맑은 고딕"/>
          <w:color w:val="555555"/>
          <w:sz w:val="26"/>
          <w:szCs w:val="26"/>
        </w:rPr>
        <w:t xml:space="preserve">코퍼스 기반 언어학 분석과 로컬 LLM의 결합</w:t>
      </w:r>
    </w:p>
    <w:p>
      <w:pPr>
        <w:spacing w:after="200"/>
        <w:jc w:val="center"/>
      </w:pPr>
      <w:r>
        <w:rPr>
          <w:rFonts w:ascii="맑은 고딕" w:cs="맑은 고딕" w:eastAsia="맑은 고딕" w:hAnsi="맑은 고딕"/>
          <w:i/>
          <w:iCs/>
          <w:color w:val="777777"/>
          <w:sz w:val="22"/>
          <w:szCs w:val="22"/>
        </w:rPr>
        <w:t xml:space="preserve">— 선행 연구(2025·2026)의 자연스러운 후속 연구 설계안 —</w:t>
      </w:r>
    </w:p>
    <w:p>
      <w:pPr>
        <w:spacing w:after="800"/>
        <w:jc w:val="center"/>
      </w:pPr>
      <w:r>
        <w:rPr>
          <w:rFonts w:ascii="맑은 고딕" w:cs="맑은 고딕" w:eastAsia="맑은 고딕" w:hAnsi="맑은 고딕"/>
          <w:i/>
          <w:iCs/>
          <w:color w:val="777777"/>
          <w:sz w:val="22"/>
          <w:szCs w:val="22"/>
        </w:rPr>
        <w:t xml:space="preserve">Chinese CounterSpeech-GX10 Experiment</w:t>
      </w:r>
    </w:p>
    <w:p>
      <w:pPr>
        <w:spacing w:after="80"/>
        <w:jc w:val="right"/>
      </w:pPr>
      <w:r>
        <w:rPr>
          <w:rFonts w:ascii="맑은 고딕" w:cs="맑은 고딕" w:eastAsia="맑은 고딕" w:hAnsi="맑은 고딕"/>
          <w:sz w:val="22"/>
          <w:szCs w:val="22"/>
        </w:rPr>
        <w:t xml:space="preserve">박민준 (덕성여자대학교 중어중문학과)</w:t>
      </w:r>
    </w:p>
    <w:p>
      <w:pPr>
        <w:spacing w:after="400"/>
        <w:jc w:val="right"/>
      </w:pPr>
      <w:r>
        <w:rPr>
          <w:rFonts w:ascii="맑은 고딕" w:cs="맑은 고딕" w:eastAsia="맑은 고딕" w:hAnsi="맑은 고딕"/>
          <w:color w:val="777777"/>
          <w:sz w:val="22"/>
          <w:szCs w:val="22"/>
        </w:rPr>
        <w:t xml:space="preserve">2026. 05. (v2 개정안)</w:t>
      </w:r>
    </w:p>
    <w:p>
      <w:r>
        <w:br w:type="page"/>
      </w:r>
    </w:p>
    <w:p>
      <w:pPr>
        <w:pStyle w:val="Heading1"/>
        <w:spacing w:after="200" w:before="360"/>
      </w:pPr>
      <w:r>
        <w:rPr>
          <w:rFonts w:ascii="맑은 고딕" w:cs="맑은 고딕" w:eastAsia="맑은 고딕" w:hAnsi="맑은 고딕"/>
          <w:b/>
          <w:bCs/>
          <w:sz w:val="32"/>
          <w:szCs w:val="32"/>
        </w:rPr>
        <w:t xml:space="preserve">0. 한 문장 요약</w:t>
      </w:r>
    </w:p>
    <w:p>
      <w:pPr>
        <w:spacing w:after="120" w:line="320"/>
        <w:jc w:val="both"/>
      </w:pPr>
      <w:r>
        <w:rPr>
          <w:rFonts w:ascii="맑은 고딕" w:cs="맑은 고딕" w:eastAsia="맑은 고딕" w:hAnsi="맑은 고딕"/>
          <w:sz w:val="22"/>
          <w:szCs w:val="22"/>
        </w:rPr>
        <w:t xml:space="preserve">선행 연구가 “중국어 혐오표현의 언어학적 구조”를 기술했다면, 본 연구는 그 구조를 이해한 LLM이 사회적으로 설득력 있고 언어학적으로 적절한 CounterSpeech를 생성할 수 있는가를 묻는다.</w:t>
      </w:r>
    </w:p>
    <w:p>
      <w:pPr>
        <w:spacing w:after="120" w:line="320"/>
        <w:jc w:val="both"/>
      </w:pPr>
      <w:r>
        <w:rPr>
          <w:rFonts w:ascii="맑은 고딕" w:cs="맑은 고딕" w:eastAsia="맑은 고딕" w:hAnsi="맑은 고딕"/>
          <w:b/>
          <w:bCs/>
          <w:sz w:val="22"/>
          <w:szCs w:val="22"/>
        </w:rPr>
        <w:t xml:space="preserve">핵심 주장 (Central Claim)</w:t>
      </w:r>
    </w:p>
    <w:p>
      <w:pPr>
        <w:pBdr>
          <w:left w:val="single" w:color="5B9BD5" w:sz="18" w:space="8"/>
        </w:pBdr>
        <w:spacing w:after="100" w:before="100" w:line="300"/>
        <w:ind w:left="480"/>
      </w:pPr>
      <w:r>
        <w:rPr>
          <w:rFonts w:ascii="맑은 고딕" w:cs="맑은 고딕" w:eastAsia="맑은 고딕" w:hAnsi="맑은 고딕"/>
          <w:color w:val="404040"/>
          <w:sz w:val="20"/>
          <w:szCs w:val="20"/>
        </w:rPr>
        <w:t xml:space="preserve">본 연구는 CounterSpeech 생성을 단순한 독성 완화나 안전 필터링 문제가 아니라, 혐오표현이 구성한 입장(stance)·지시성(indexicality)·혐오 어역(enregistered hate register)을 재조정하는 사회언어학적 생성 과제로 정의한다.</w:t>
      </w:r>
    </w:p>
    <w:p>
      <w:pPr>
        <w:pBdr>
          <w:left w:val="single" w:color="5B9BD5" w:sz="18" w:space="8"/>
        </w:pBdr>
        <w:spacing w:after="100" w:before="100" w:line="300"/>
        <w:ind w:left="480"/>
      </w:pPr>
      <w:r>
        <w:rPr>
          <w:rFonts w:ascii="맑은 고딕" w:cs="맑은 고딕" w:eastAsia="맑은 고딕" w:hAnsi="맑은 고딕"/>
          <w:color w:val="404040"/>
          <w:sz w:val="20"/>
          <w:szCs w:val="20"/>
        </w:rPr>
        <w:t xml:space="preserve">本研究认为，反仇恨言论生成并非单纯的「去毒化」任务，而是一种对仇恨言论所建构的立场、指示意义和仇恨语域进行重新调整的社会语言实践。</w:t>
      </w:r>
    </w:p>
    <w:p>
      <w:pPr>
        <w:pStyle w:val="Heading1"/>
        <w:spacing w:after="200" w:before="360"/>
      </w:pPr>
      <w:r>
        <w:rPr>
          <w:rFonts w:ascii="맑은 고딕" w:cs="맑은 고딕" w:eastAsia="맑은 고딕" w:hAnsi="맑은 고딕"/>
          <w:b/>
          <w:bCs/>
          <w:sz w:val="32"/>
          <w:szCs w:val="32"/>
        </w:rPr>
        <w:t xml:space="preserve">1. 연구 제목 후보</w:t>
      </w:r>
    </w:p>
    <w:p>
      <w:pPr>
        <w:pStyle w:val="Heading3"/>
        <w:spacing w:after="100" w:before="200"/>
      </w:pPr>
      <w:r>
        <w:rPr>
          <w:rFonts w:ascii="맑은 고딕" w:cs="맑은 고딕" w:eastAsia="맑은 고딕" w:hAnsi="맑은 고딕"/>
          <w:b/>
          <w:bCs/>
          <w:sz w:val="23"/>
          <w:szCs w:val="23"/>
        </w:rPr>
        <w:t xml:space="preserve">A. 영문</w:t>
      </w:r>
    </w:p>
    <w:p>
      <w:pPr>
        <w:pStyle w:val="ListParagraph"/>
        <w:numPr>
          <w:ilvl w:val="0"/>
          <w:numId w:val="2"/>
        </w:numPr>
        <w:spacing w:after="80" w:line="300"/>
      </w:pPr>
      <w:r>
        <w:rPr>
          <w:rFonts w:ascii="맑은 고딕" w:cs="맑은 고딕" w:eastAsia="맑은 고딕" w:hAnsi="맑은 고딕"/>
          <w:sz w:val="22"/>
          <w:szCs w:val="22"/>
        </w:rPr>
        <w:t xml:space="preserve">Generating CounterSpeech in Chinese Online Discourse: A Corpus-Based LLM Experiment on Stance, Indexicality, and Social Reframing</w:t>
      </w:r>
    </w:p>
    <w:p>
      <w:pPr>
        <w:pStyle w:val="ListParagraph"/>
        <w:numPr>
          <w:ilvl w:val="0"/>
          <w:numId w:val="2"/>
        </w:numPr>
        <w:spacing w:after="80" w:line="300"/>
      </w:pPr>
      <w:r>
        <w:rPr>
          <w:rFonts w:ascii="맑은 고딕" w:cs="맑은 고딕" w:eastAsia="맑은 고딕" w:hAnsi="맑은 고딕"/>
          <w:sz w:val="22"/>
          <w:szCs w:val="22"/>
        </w:rPr>
        <w:t xml:space="preserve">From Hate Speech Analysis to CounterSpeech Generation: A Corpus-Based and LLM-Assisted Study of Chinese Online Discourse</w:t>
      </w:r>
    </w:p>
    <w:p>
      <w:pPr>
        <w:pStyle w:val="Heading3"/>
        <w:spacing w:after="100" w:before="200"/>
      </w:pPr>
      <w:r>
        <w:rPr>
          <w:rFonts w:ascii="맑은 고딕" w:cs="맑은 고딕" w:eastAsia="맑은 고딕" w:hAnsi="맑은 고딕"/>
          <w:b/>
          <w:bCs/>
          <w:sz w:val="23"/>
          <w:szCs w:val="23"/>
        </w:rPr>
        <w:t xml:space="preserve">B. 중문</w:t>
      </w:r>
    </w:p>
    <w:p>
      <w:pPr>
        <w:pStyle w:val="ListParagraph"/>
        <w:numPr>
          <w:ilvl w:val="0"/>
          <w:numId w:val="2"/>
        </w:numPr>
        <w:spacing w:after="80" w:line="300"/>
      </w:pPr>
      <w:r>
        <w:rPr>
          <w:rFonts w:ascii="맑은 고딕" w:cs="맑은 고딕" w:eastAsia="맑은 고딕" w:hAnsi="맑은 고딕"/>
          <w:sz w:val="22"/>
          <w:szCs w:val="22"/>
        </w:rPr>
        <w:t xml:space="preserve">从仇恨言论分析到反仇恨言论生成：基于语料库与本地大语言模型的中文网络话语研究</w:t>
      </w:r>
    </w:p>
    <w:p>
      <w:pPr>
        <w:pStyle w:val="ListParagraph"/>
        <w:numPr>
          <w:ilvl w:val="0"/>
          <w:numId w:val="2"/>
        </w:numPr>
        <w:spacing w:after="80" w:line="300"/>
      </w:pPr>
      <w:r>
        <w:rPr>
          <w:rFonts w:ascii="맑은 고딕" w:cs="맑은 고딕" w:eastAsia="맑은 고딕" w:hAnsi="맑은 고딕"/>
          <w:sz w:val="22"/>
          <w:szCs w:val="22"/>
        </w:rPr>
        <w:t xml:space="preserve">中文网络反仇恨言论的生成机制研究——基于语料库分析与本地大语言模型实验</w:t>
      </w:r>
    </w:p>
    <w:p>
      <w:pPr>
        <w:pStyle w:val="Heading3"/>
        <w:spacing w:after="100" w:before="200"/>
      </w:pPr>
      <w:r>
        <w:rPr>
          <w:rFonts w:ascii="맑은 고딕" w:cs="맑은 고딕" w:eastAsia="맑은 고딕" w:hAnsi="맑은 고딕"/>
          <w:b/>
          <w:bCs/>
          <w:sz w:val="23"/>
          <w:szCs w:val="23"/>
        </w:rPr>
        <w:t xml:space="preserve">C. 한국어 (연구계획서)</w:t>
      </w:r>
    </w:p>
    <w:p>
      <w:pPr>
        <w:pStyle w:val="ListParagraph"/>
        <w:numPr>
          <w:ilvl w:val="0"/>
          <w:numId w:val="2"/>
        </w:numPr>
        <w:spacing w:after="80" w:line="300"/>
      </w:pPr>
      <w:r>
        <w:rPr>
          <w:rFonts w:ascii="맑은 고딕" w:cs="맑은 고딕" w:eastAsia="맑은 고딕" w:hAnsi="맑은 고딕"/>
          <w:sz w:val="22"/>
          <w:szCs w:val="22"/>
        </w:rPr>
        <w:t xml:space="preserve">중국어 온라인 혐오표현에 대한 CounterSpeech 생성 실험: 코퍼스 기반 언어학 분석과 로컬 LLM의 결합</w:t>
      </w:r>
    </w:p>
    <w:p>
      <w:pPr>
        <w:pStyle w:val="Heading1"/>
        <w:spacing w:after="200" w:before="360"/>
      </w:pPr>
      <w:r>
        <w:rPr>
          <w:rFonts w:ascii="맑은 고딕" w:cs="맑은 고딕" w:eastAsia="맑은 고딕" w:hAnsi="맑은 고딕"/>
          <w:b/>
          <w:bCs/>
          <w:sz w:val="32"/>
          <w:szCs w:val="32"/>
        </w:rPr>
        <w:t xml:space="preserve">2. 핵심 연구 질문 (Research Questions)</w:t>
      </w:r>
    </w:p>
    <w:p>
      <w:pPr>
        <w:spacing w:after="120" w:line="320"/>
        <w:jc w:val="both"/>
      </w:pPr>
      <w:r>
        <w:rPr>
          <w:rFonts w:ascii="맑은 고딕" w:cs="맑은 고딕" w:eastAsia="맑은 고딕" w:hAnsi="맑은 고딕"/>
          <w:sz w:val="22"/>
          <w:szCs w:val="22"/>
        </w:rPr>
        <w:t xml:space="preserve">본 연구는 네 가지 질문으로 설계된다.</w:t>
      </w:r>
    </w:p>
    <w:p>
      <w:pPr>
        <w:pStyle w:val="ListParagraph"/>
        <w:numPr>
          <w:ilvl w:val="0"/>
          <w:numId w:val="3"/>
        </w:numPr>
        <w:spacing w:after="80" w:line="300"/>
      </w:pPr>
      <w:r>
        <w:rPr>
          <w:rFonts w:ascii="맑은 고딕" w:cs="맑은 고딕" w:eastAsia="맑은 고딕" w:hAnsi="맑은 고딕"/>
          <w:sz w:val="22"/>
          <w:szCs w:val="22"/>
        </w:rPr>
        <w:t xml:space="preserve">중국어 온라인 혐오표현에 대해 LLM은 어떤 유형의 CounterSpeech를 생성하는가?</w:t>
      </w:r>
    </w:p>
    <w:p>
      <w:pPr>
        <w:pStyle w:val="ListParagraph"/>
        <w:numPr>
          <w:ilvl w:val="0"/>
          <w:numId w:val="3"/>
        </w:numPr>
        <w:spacing w:after="80" w:line="300"/>
      </w:pPr>
      <w:r>
        <w:rPr>
          <w:rFonts w:ascii="맑은 고딕" w:cs="맑은 고딕" w:eastAsia="맑은 고딕" w:hAnsi="맑은 고딕"/>
          <w:sz w:val="22"/>
          <w:szCs w:val="22"/>
        </w:rPr>
        <w:t xml:space="preserve">성별·종족/국적·지역 영역에 따라 효과적인 CounterSpeech 전략은 달라지는가?</w:t>
      </w:r>
    </w:p>
    <w:p>
      <w:pPr>
        <w:pStyle w:val="ListParagraph"/>
        <w:numPr>
          <w:ilvl w:val="0"/>
          <w:numId w:val="3"/>
        </w:numPr>
        <w:spacing w:after="80" w:line="300"/>
      </w:pPr>
      <w:r>
        <w:rPr>
          <w:rFonts w:ascii="맑은 고딕" w:cs="맑은 고딕" w:eastAsia="맑은 고딕" w:hAnsi="맑은 고딕"/>
          <w:sz w:val="22"/>
          <w:szCs w:val="22"/>
        </w:rPr>
        <w:t xml:space="preserve">선행 논문이 제시한 세 전략(논리 반박·적극적 재구성·사실 기반 응답)을 LLM이 안정적으로 구현할 수 있는가?</w:t>
      </w:r>
    </w:p>
    <w:p>
      <w:pPr>
        <w:pStyle w:val="ListParagraph"/>
        <w:numPr>
          <w:ilvl w:val="0"/>
          <w:numId w:val="3"/>
        </w:numPr>
        <w:spacing w:after="80" w:line="300"/>
      </w:pPr>
      <w:r>
        <w:rPr>
          <w:rFonts w:ascii="맑은 고딕" w:cs="맑은 고딕" w:eastAsia="맑은 고딕" w:hAnsi="맑은 고딕"/>
          <w:sz w:val="22"/>
          <w:szCs w:val="22"/>
        </w:rPr>
        <w:t xml:space="preserve">Zero-shot · Strategy-controlled · RAG · QLoRA 미세조정 모델 사이에 CounterSpeech 품질 차이가 어떻게 나타나는가?</w:t>
      </w:r>
    </w:p>
    <w:p>
      <w:pPr>
        <w:spacing w:after="120" w:line="320"/>
        <w:jc w:val="both"/>
      </w:pPr>
      <w:r>
        <w:rPr>
          <w:rFonts w:ascii="맑은 고딕" w:cs="맑은 고딕" w:eastAsia="맑은 고딕" w:hAnsi="맑은 고딕"/>
          <w:i/>
          <w:iCs/>
          <w:color w:val="555555"/>
          <w:sz w:val="22"/>
          <w:szCs w:val="22"/>
        </w:rPr>
        <w:t xml:space="preserve">선행 연구 ②(박민준 2025) 4장에서 본 연구자가 이미 CounterSpeech를 “혐오 발화에 대한 적극적·이성적·설득력 있는 응답”으로 정의하고, 그 하위 전략을 ‘논리 반박/적극적 재구성/사실 응답’으로 분류했다. 이 분류 체계를 후속 연구의 실험 골격으로 그대로 가져온다.</w:t>
      </w:r>
    </w:p>
    <w:p>
      <w:pPr>
        <w:pStyle w:val="Heading1"/>
        <w:spacing w:after="200" w:before="360"/>
      </w:pPr>
      <w:r>
        <w:rPr>
          <w:rFonts w:ascii="맑은 고딕" w:cs="맑은 고딕" w:eastAsia="맑은 고딕" w:hAnsi="맑은 고딕"/>
          <w:b/>
          <w:bCs/>
          <w:sz w:val="32"/>
          <w:szCs w:val="32"/>
        </w:rPr>
        <w:t xml:space="preserve">3. 기존 논문과의 연결 구조</w:t>
      </w:r>
    </w:p>
    <w:p>
      <w:pPr>
        <w:spacing w:after="120" w:line="320"/>
        <w:jc w:val="both"/>
      </w:pPr>
      <w:r>
        <w:rPr>
          <w:rFonts w:ascii="맑은 고딕" w:cs="맑은 고딕" w:eastAsia="맑은 고딕" w:hAnsi="맑은 고딕"/>
          <w:sz w:val="22"/>
          <w:szCs w:val="22"/>
        </w:rPr>
        <w:t xml:space="preserve">선행 연구는 두 축으로 정리된다. 첫째, 2025년 중국어 혐오표현 논문은 COLD·CCL25-Eval 등을 기반으로 성별·종족·지역의 LL 키워드와 KWIC를 분석하고 “直男癌·女拳·绿茶”, “黑人·美国·亚裔”, “河南人·东北人·井盖”와 같은 영역별 핵심어를 도출했다. 둘째, 2026년 중·한 비교 논문은 혐오표현을 단순 공격적 발화가 아니라 표연성·지시성·언역화·언어 이념·입장 표명이 결합된 사회적 언어행위로 분석했다. 후속 연구의 위치는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6"/>
              <w:left w:val="single" w:color="999999" w:sz="6"/>
              <w:bottom w:val="single" w:color="999999" w:sz="6"/>
              <w:right w:val="single" w:color="999999" w:sz="6"/>
            </w:tcBorders>
            <w:shd w:fill="1F4E79"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기존 연구</w:t>
            </w:r>
          </w:p>
        </w:tc>
        <w:tc>
          <w:tcPr>
            <w:tcW w:type="dxa" w:w="4513"/>
            <w:tcBorders>
              <w:top w:val="single" w:color="999999" w:sz="6"/>
              <w:left w:val="single" w:color="999999" w:sz="6"/>
              <w:bottom w:val="single" w:color="999999" w:sz="6"/>
              <w:right w:val="single" w:color="999999" w:sz="6"/>
            </w:tcBorders>
            <w:shd w:fill="1F4E79"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후속 연구 (본 계획)</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혐오표현의 언어적 특징 분석</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혐오표현에 대한 대응 발화 생성</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keywords / KWIC / LL 분석</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생성 결과의 keywords / stance / strategy 분석</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성별·종족·지역별 혐오표현 비교</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영역별 CounterSpeech 전략 비교</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혐오표현의 사회적 기능 분석</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CounterSpeech의 사회적 완화 기능 분석</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인간 연구자의 질적 해석</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LLM 생성 + 인간 평가 + 자동 평가</w:t>
            </w:r>
          </w:p>
        </w:tc>
      </w:tr>
    </w:tbl>
    <w:p>
      <w:pPr>
        <w:pStyle w:val="Heading1"/>
        <w:spacing w:after="200" w:before="360"/>
      </w:pPr>
      <w:r>
        <w:rPr>
          <w:rFonts w:ascii="맑은 고딕" w:cs="맑은 고딕" w:eastAsia="맑은 고딕" w:hAnsi="맑은 고딕"/>
          <w:b/>
          <w:bCs/>
          <w:sz w:val="32"/>
          <w:szCs w:val="32"/>
        </w:rPr>
        <w:t xml:space="preserve">4. 전체 실험 설계</w:t>
      </w:r>
    </w:p>
    <w:p>
      <w:pPr>
        <w:pStyle w:val="Heading2"/>
        <w:spacing w:after="160" w:before="280"/>
      </w:pPr>
      <w:r>
        <w:rPr>
          <w:rFonts w:ascii="맑은 고딕" w:cs="맑은 고딕" w:eastAsia="맑은 고딕" w:hAnsi="맑은 고딕"/>
          <w:b/>
          <w:bCs/>
          <w:sz w:val="26"/>
          <w:szCs w:val="26"/>
        </w:rPr>
        <w:t xml:space="preserve">4.1 단계 1: 혐오표현 입력 데이터 구축</w:t>
      </w:r>
    </w:p>
    <w:p>
      <w:pPr>
        <w:spacing w:after="120" w:line="320"/>
        <w:jc w:val="both"/>
      </w:pPr>
      <w:r>
        <w:rPr>
          <w:rFonts w:ascii="맑은 고딕" w:cs="맑은 고딕" w:eastAsia="맑은 고딕" w:hAnsi="맑은 고딕"/>
          <w:sz w:val="22"/>
          <w:szCs w:val="22"/>
        </w:rPr>
        <w:t xml:space="preserve">처음에는 영역별 300문장씩 총 900문장으로 파일럿을 돌리고, 본 논문용으로 1,500~3,000문장까지 확장한다.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999999" w:sz="6"/>
              <w:left w:val="single" w:color="999999" w:sz="6"/>
              <w:bottom w:val="single" w:color="999999" w:sz="6"/>
              <w:right w:val="single" w:color="999999" w:sz="6"/>
            </w:tcBorders>
            <w:shd w:fill="2E75B6"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영역</w:t>
            </w:r>
          </w:p>
        </w:tc>
        <w:tc>
          <w:tcPr>
            <w:tcW w:type="dxa" w:w="1800"/>
            <w:tcBorders>
              <w:top w:val="single" w:color="999999" w:sz="6"/>
              <w:left w:val="single" w:color="999999" w:sz="6"/>
              <w:bottom w:val="single" w:color="999999" w:sz="6"/>
              <w:right w:val="single" w:color="999999" w:sz="6"/>
            </w:tcBorders>
            <w:shd w:fill="2E75B6"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입력 문장 수</w:t>
            </w:r>
          </w:p>
        </w:tc>
        <w:tc>
          <w:tcPr>
            <w:tcW w:type="dxa" w:w="5426"/>
            <w:tcBorders>
              <w:top w:val="single" w:color="999999" w:sz="6"/>
              <w:left w:val="single" w:color="999999" w:sz="6"/>
              <w:bottom w:val="single" w:color="999999" w:sz="6"/>
              <w:right w:val="single" w:color="999999" w:sz="6"/>
            </w:tcBorders>
            <w:shd w:fill="2E75B6"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주요 키워드 (선행 연구에서 도출)</w:t>
            </w:r>
          </w:p>
        </w:tc>
      </w:tr>
      <w:tr>
        <w:tc>
          <w:tcPr>
            <w:tcW w:type="dxa" w:w="1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성별</w:t>
            </w:r>
          </w:p>
        </w:tc>
        <w:tc>
          <w:tcPr>
            <w:tcW w:type="dxa" w:w="1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300 (→ 500)</w:t>
            </w:r>
          </w:p>
        </w:tc>
        <w:tc>
          <w:tcPr>
            <w:tcW w:type="dxa" w:w="5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直男癌, 女拳, 绿茶, 渣男, 娘炮, 基佬</w:t>
            </w:r>
          </w:p>
        </w:tc>
      </w:tr>
      <w:tr>
        <w:tc>
          <w:tcPr>
            <w:tcW w:type="dxa" w:w="1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종족/국적</w:t>
            </w:r>
          </w:p>
        </w:tc>
        <w:tc>
          <w:tcPr>
            <w:tcW w:type="dxa" w:w="1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300 (→ 500)</w:t>
            </w:r>
          </w:p>
        </w:tc>
        <w:tc>
          <w:tcPr>
            <w:tcW w:type="dxa" w:w="5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黑人, 美国, 亚裔, 印度人, 日本, 韩国</w:t>
            </w:r>
          </w:p>
        </w:tc>
      </w:tr>
      <w:tr>
        <w:tc>
          <w:tcPr>
            <w:tcW w:type="dxa" w:w="1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지역</w:t>
            </w:r>
          </w:p>
        </w:tc>
        <w:tc>
          <w:tcPr>
            <w:tcW w:type="dxa" w:w="1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300 (→ 500)</w:t>
            </w:r>
          </w:p>
        </w:tc>
        <w:tc>
          <w:tcPr>
            <w:tcW w:type="dxa" w:w="5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河南人, 东北人, 井盖, 新疆, 台湾, 香港, mmp</w:t>
            </w:r>
          </w:p>
        </w:tc>
      </w:tr>
      <w:tr>
        <w:tc>
          <w:tcPr>
            <w:tcW w:type="dxa" w:w="1800"/>
            <w:tcBorders>
              <w:top w:val="single" w:color="999999" w:sz="6"/>
              <w:left w:val="single" w:color="999999" w:sz="6"/>
              <w:bottom w:val="single" w:color="999999" w:sz="6"/>
              <w:right w:val="single" w:color="999999" w:sz="6"/>
            </w:tcBorders>
            <w:shd w:fill="F2F2F2"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합계</w:t>
            </w:r>
          </w:p>
        </w:tc>
        <w:tc>
          <w:tcPr>
            <w:tcW w:type="dxa" w:w="1800"/>
            <w:tcBorders>
              <w:top w:val="single" w:color="999999" w:sz="6"/>
              <w:left w:val="single" w:color="999999" w:sz="6"/>
              <w:bottom w:val="single" w:color="999999" w:sz="6"/>
              <w:right w:val="single" w:color="999999" w:sz="6"/>
            </w:tcBorders>
            <w:shd w:fill="F2F2F2"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900 (→ 1,500)</w:t>
            </w:r>
          </w:p>
        </w:tc>
        <w:tc>
          <w:tcPr>
            <w:tcW w:type="dxa" w:w="5426"/>
            <w:tcBorders>
              <w:top w:val="single" w:color="999999" w:sz="6"/>
              <w:left w:val="single" w:color="999999" w:sz="6"/>
              <w:bottom w:val="single" w:color="999999" w:sz="6"/>
              <w:right w:val="single" w:color="999999" w:sz="6"/>
            </w:tcBorders>
            <w:shd w:fill="F2F2F2"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파일럿 → 본 실험 → 확장 실험의 3단 스케일링</w:t>
            </w:r>
          </w:p>
        </w:tc>
      </w:tr>
    </w:tbl>
    <w:p>
      <w:pPr>
        <w:spacing w:after="120" w:line="320"/>
        <w:jc w:val="both"/>
      </w:pPr>
      <w:r>
        <w:rPr>
          <w:rFonts w:ascii="맑은 고딕" w:cs="맑은 고딕" w:eastAsia="맑은 고딕" w:hAnsi="맑은 고딕"/>
          <w:sz w:val="22"/>
          <w:szCs w:val="22"/>
        </w:rPr>
        <w:t xml:space="preserve">데이터 필드 구성:</w:t>
      </w:r>
    </w:p>
    <w:p>
      <w:pPr>
        <w:shd w:fill="F4F4F4" w:val="clear"/>
        <w:spacing w:after="100" w:before="100" w:line="280"/>
        <w:ind w:left="240"/>
      </w:pPr>
      <w:r>
        <w:rPr>
          <w:rFonts w:ascii="Consolas" w:cs="Consolas" w:eastAsia="Consolas" w:hAnsi="Consolas"/>
          <w:color w:val="303030"/>
          <w:sz w:val="18"/>
          <w:szCs w:val="18"/>
        </w:rPr>
        <w:t xml:space="preserve">id, domain, target_group, hate_text, keyword, hate_strategy, severity, context</w:t>
      </w:r>
    </w:p>
    <w:p>
      <w:pPr>
        <w:shd w:fill="F4F4F4" w:val="clear"/>
        <w:spacing w:after="100" w:before="100" w:line="280"/>
        <w:ind w:left="240"/>
      </w:pPr>
      <w:r>
        <w:rPr>
          <w:rFonts w:ascii="Consolas" w:cs="Consolas" w:eastAsia="Consolas" w:hAnsi="Consolas"/>
          <w:color w:val="303030"/>
          <w:sz w:val="18"/>
          <w:szCs w:val="18"/>
        </w:rPr>
        <w:t xml:space="preserve">ZH_G_0001,  gender, male/female,  ..., 女拳,    stereotyping,    medium,   zhihu</w:t>
      </w:r>
    </w:p>
    <w:p>
      <w:pPr>
        <w:shd w:fill="F4F4F4" w:val="clear"/>
        <w:spacing w:after="100" w:before="100" w:line="280"/>
        <w:ind w:left="240"/>
      </w:pPr>
      <w:r>
        <w:rPr>
          <w:rFonts w:ascii="Consolas" w:cs="Consolas" w:eastAsia="Consolas" w:hAnsi="Consolas"/>
          <w:color w:val="303030"/>
          <w:sz w:val="18"/>
          <w:szCs w:val="18"/>
        </w:rPr>
        <w:t xml:space="preserve">ZH_R_0001,  race,   black people, ..., 黑人,    dehumanization,  high,     tieba</w:t>
      </w:r>
    </w:p>
    <w:p>
      <w:pPr>
        <w:shd w:fill="F4F4F4" w:val="clear"/>
        <w:spacing w:after="100" w:before="100" w:line="280"/>
        <w:ind w:left="240"/>
      </w:pPr>
      <w:r>
        <w:rPr>
          <w:rFonts w:ascii="Consolas" w:cs="Consolas" w:eastAsia="Consolas" w:hAnsi="Consolas"/>
          <w:color w:val="303030"/>
          <w:sz w:val="18"/>
          <w:szCs w:val="18"/>
        </w:rPr>
        <w:t xml:space="preserve">ZH_REG_0001,region, Henan,        ..., 河南人,  generalization,  medium,   zhihu</w:t>
      </w:r>
    </w:p>
    <w:p>
      <w:pPr>
        <w:spacing w:after="120" w:line="320"/>
        <w:jc w:val="both"/>
      </w:pPr>
      <w:r>
        <w:rPr>
          <w:rFonts w:ascii="맑은 고딕" w:cs="맑은 고딕" w:eastAsia="맑은 고딕" w:hAnsi="맑은 고딕"/>
          <w:sz w:val="22"/>
          <w:szCs w:val="22"/>
        </w:rPr>
        <w:t xml:space="preserve">선행 연구에서 사용한 domain-specific lexicon(약 3,123개 항목)과 OOV 처리 파이프라인을 그대로 재활용한다.</w:t>
      </w:r>
    </w:p>
    <w:p>
      <w:pPr>
        <w:pStyle w:val="Heading2"/>
        <w:spacing w:after="160" w:before="280"/>
      </w:pPr>
      <w:r>
        <w:rPr>
          <w:rFonts w:ascii="맑은 고딕" w:cs="맑은 고딕" w:eastAsia="맑은 고딕" w:hAnsi="맑은 고딕"/>
          <w:b/>
          <w:bCs/>
          <w:sz w:val="26"/>
          <w:szCs w:val="26"/>
        </w:rPr>
        <w:t xml:space="preserve">4.2 단계 2: CounterSpeech 전략 코드북 확장</w:t>
      </w:r>
    </w:p>
    <w:p>
      <w:pPr>
        <w:spacing w:after="120" w:line="320"/>
        <w:jc w:val="both"/>
      </w:pPr>
      <w:r>
        <w:rPr>
          <w:rFonts w:ascii="맑은 고딕" w:cs="맑은 고딕" w:eastAsia="맑은 고딕" w:hAnsi="맑은 고딕"/>
          <w:sz w:val="22"/>
          <w:szCs w:val="22"/>
        </w:rPr>
        <w:t xml:space="preserve">선행 연구의 3대 전략을 유지하되, LLM 생성·평가를 위한 10개 세부 전략으로 확장한다.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999999" w:sz="6"/>
              <w:left w:val="single" w:color="999999" w:sz="6"/>
              <w:bottom w:val="single" w:color="999999" w:sz="6"/>
              <w:right w:val="single" w:color="999999" w:sz="6"/>
            </w:tcBorders>
            <w:shd w:fill="70AD47"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대분류</w:t>
            </w:r>
          </w:p>
        </w:tc>
        <w:tc>
          <w:tcPr>
            <w:tcW w:type="dxa" w:w="2800"/>
            <w:tcBorders>
              <w:top w:val="single" w:color="999999" w:sz="6"/>
              <w:left w:val="single" w:color="999999" w:sz="6"/>
              <w:bottom w:val="single" w:color="999999" w:sz="6"/>
              <w:right w:val="single" w:color="999999" w:sz="6"/>
            </w:tcBorders>
            <w:shd w:fill="70AD47"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세부 전략</w:t>
            </w:r>
          </w:p>
        </w:tc>
        <w:tc>
          <w:tcPr>
            <w:tcW w:type="dxa" w:w="4426"/>
            <w:tcBorders>
              <w:top w:val="single" w:color="999999" w:sz="6"/>
              <w:left w:val="single" w:color="999999" w:sz="6"/>
              <w:bottom w:val="single" w:color="999999" w:sz="6"/>
              <w:right w:val="single" w:color="999999" w:sz="6"/>
            </w:tcBorders>
            <w:shd w:fill="70AD47"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설명</w:t>
            </w:r>
          </w:p>
        </w:tc>
      </w:tr>
      <w:tr>
        <w:tc>
          <w:tcPr>
            <w:tcW w:type="dxa" w:w="1800"/>
            <w:tcBorders>
              <w:top w:val="single" w:color="999999" w:sz="6"/>
              <w:left w:val="single" w:color="999999" w:sz="6"/>
              <w:bottom w:val="single" w:color="999999" w:sz="6"/>
              <w:right w:val="single" w:color="999999" w:sz="6"/>
            </w:tcBorders>
            <w:shd w:fill="E2EFDA"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논리 반박</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overgeneralization_challenge</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“일부 사례를 전체 집단으로 일반화할 수 없다”</w:t>
            </w:r>
          </w:p>
        </w:tc>
      </w:tr>
      <w:tr>
        <w:tc>
          <w:tcPr>
            <w:tcW w:type="dxa" w:w="1800"/>
            <w:tcBorders>
              <w:top w:val="single" w:color="999999" w:sz="6"/>
              <w:left w:val="single" w:color="999999" w:sz="6"/>
              <w:bottom w:val="single" w:color="999999" w:sz="6"/>
              <w:right w:val="single" w:color="999999" w:sz="6"/>
            </w:tcBorders>
            <w:shd w:fill="E2EFDA"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논리 반박</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double_standard_exposure</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“자신이 차별받는다고 비판하면서 타 집단을 차별하는 모순”</w:t>
            </w:r>
          </w:p>
        </w:tc>
      </w:tr>
      <w:tr>
        <w:tc>
          <w:tcPr>
            <w:tcW w:type="dxa" w:w="1800"/>
            <w:tcBorders>
              <w:top w:val="single" w:color="999999" w:sz="6"/>
              <w:left w:val="single" w:color="999999" w:sz="6"/>
              <w:bottom w:val="single" w:color="999999" w:sz="6"/>
              <w:right w:val="single" w:color="999999" w:sz="6"/>
            </w:tcBorders>
            <w:shd w:fill="FFF2CC"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적극적 재구성</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empathy_reframing</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감정은 인정하되 집단 공격은 완화</w:t>
            </w:r>
          </w:p>
        </w:tc>
      </w:tr>
      <w:tr>
        <w:tc>
          <w:tcPr>
            <w:tcW w:type="dxa" w:w="1800"/>
            <w:tcBorders>
              <w:top w:val="single" w:color="999999" w:sz="6"/>
              <w:left w:val="single" w:color="999999" w:sz="6"/>
              <w:bottom w:val="single" w:color="999999" w:sz="6"/>
              <w:right w:val="single" w:color="999999" w:sz="6"/>
            </w:tcBorders>
            <w:shd w:fill="FFF2CC"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적극적 재구성</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identity_decoupling</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개인 행동과 집단 정체성 분리</w:t>
            </w:r>
          </w:p>
        </w:tc>
      </w:tr>
      <w:tr>
        <w:tc>
          <w:tcPr>
            <w:tcW w:type="dxa" w:w="1800"/>
            <w:tcBorders>
              <w:top w:val="single" w:color="999999" w:sz="6"/>
              <w:left w:val="single" w:color="999999" w:sz="6"/>
              <w:bottom w:val="single" w:color="999999" w:sz="6"/>
              <w:right w:val="single" w:color="999999" w:sz="6"/>
            </w:tcBorders>
            <w:shd w:fill="FFF2CC"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적극적 재구성</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cultural_clarification</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방언·지역 표현·문화 차이를 설명</w:t>
            </w:r>
          </w:p>
        </w:tc>
      </w:tr>
      <w:tr>
        <w:tc>
          <w:tcPr>
            <w:tcW w:type="dxa" w:w="1800"/>
            <w:tcBorders>
              <w:top w:val="single" w:color="999999" w:sz="6"/>
              <w:left w:val="single" w:color="999999" w:sz="6"/>
              <w:bottom w:val="single" w:color="999999" w:sz="6"/>
              <w:right w:val="single" w:color="999999" w:sz="6"/>
            </w:tcBorders>
            <w:shd w:fill="FBE5D6"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사실 응답</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evidence_correction</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사실 정보로 오류 수정</w:t>
            </w:r>
          </w:p>
        </w:tc>
      </w:tr>
      <w:tr>
        <w:tc>
          <w:tcPr>
            <w:tcW w:type="dxa" w:w="1800"/>
            <w:tcBorders>
              <w:top w:val="single" w:color="999999" w:sz="6"/>
              <w:left w:val="single" w:color="999999" w:sz="6"/>
              <w:bottom w:val="single" w:color="999999" w:sz="6"/>
              <w:right w:val="single" w:color="999999" w:sz="6"/>
            </w:tcBorders>
            <w:shd w:fill="FBE5D6"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사실 응답</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personal_counterexample</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개인 경험 기반 반례 제시</w:t>
            </w:r>
          </w:p>
        </w:tc>
      </w:tr>
      <w:tr>
        <w:tc>
          <w:tcPr>
            <w:tcW w:type="dxa" w:w="1800"/>
            <w:tcBorders>
              <w:top w:val="single" w:color="999999" w:sz="6"/>
              <w:left w:val="single" w:color="999999" w:sz="6"/>
              <w:bottom w:val="single" w:color="999999" w:sz="6"/>
              <w:right w:val="single" w:color="999999" w:sz="6"/>
            </w:tcBorders>
            <w:shd w:fill="FBE5D6"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사실 응답</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definition_clarification</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“渣男”, “地域黑” 등 용어 범위 명확화</w:t>
            </w:r>
          </w:p>
        </w:tc>
      </w:tr>
      <w:tr>
        <w:tc>
          <w:tcPr>
            <w:tcW w:type="dxa" w:w="1800"/>
            <w:tcBorders>
              <w:top w:val="single" w:color="999999" w:sz="6"/>
              <w:left w:val="single" w:color="999999" w:sz="6"/>
              <w:bottom w:val="single" w:color="999999" w:sz="6"/>
              <w:right w:val="single" w:color="999999" w:sz="6"/>
            </w:tcBorders>
            <w:shd w:fill="DEEBF7"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규범 환기</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norm_reminder</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혐오와 비판의 경계 제시</w:t>
            </w:r>
          </w:p>
        </w:tc>
      </w:tr>
      <w:tr>
        <w:tc>
          <w:tcPr>
            <w:tcW w:type="dxa" w:w="1800"/>
            <w:tcBorders>
              <w:top w:val="single" w:color="999999" w:sz="6"/>
              <w:left w:val="single" w:color="999999" w:sz="6"/>
              <w:bottom w:val="single" w:color="999999" w:sz="6"/>
              <w:right w:val="single" w:color="999999" w:sz="6"/>
            </w:tcBorders>
            <w:shd w:fill="DEEBF7"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대화 유도</w:t>
            </w:r>
          </w:p>
        </w:tc>
        <w:tc>
          <w:tcPr>
            <w:tcW w:type="dxa" w:w="28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question_based_response</w:t>
            </w:r>
          </w:p>
        </w:tc>
        <w:tc>
          <w:tcPr>
            <w:tcW w:type="dxa" w:w="4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공격 대신 질문으로 관점 전환</w:t>
            </w:r>
          </w:p>
        </w:tc>
      </w:tr>
    </w:tbl>
    <w:p>
      <w:pPr>
        <w:pStyle w:val="Heading1"/>
        <w:spacing w:after="200" w:before="360"/>
      </w:pPr>
      <w:r>
        <w:rPr>
          <w:rFonts w:ascii="맑은 고딕" w:cs="맑은 고딕" w:eastAsia="맑은 고딕" w:hAnsi="맑은 고딕"/>
          <w:b/>
          <w:bCs/>
          <w:sz w:val="32"/>
          <w:szCs w:val="32"/>
        </w:rPr>
        <w:t xml:space="preserve">5. 생성 실험의 4가지 조건</w:t>
      </w:r>
    </w:p>
    <w:p>
      <w:pPr>
        <w:spacing w:after="120" w:line="320"/>
        <w:jc w:val="both"/>
      </w:pPr>
      <w:r>
        <w:rPr>
          <w:rFonts w:ascii="맑은 고딕" w:cs="맑은 고딕" w:eastAsia="맑은 고딕" w:hAnsi="맑은 고딕"/>
          <w:sz w:val="22"/>
          <w:szCs w:val="22"/>
        </w:rPr>
        <w:t xml:space="preserve">각 혐오 문장에 대해 동일 모델·동일 입력으로 다음 4가지 조건을 비교한다.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조건</w:t>
            </w:r>
          </w:p>
        </w:tc>
        <w:tc>
          <w:tcPr>
            <w:tcW w:type="dxa" w:w="3000"/>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설명</w:t>
            </w:r>
          </w:p>
        </w:tc>
        <w:tc>
          <w:tcPr>
            <w:tcW w:type="dxa" w:w="3826"/>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연구적 의미</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A. Zero-shot</w:t>
            </w:r>
          </w:p>
        </w:tc>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혐오 문장만 입력</w:t>
            </w:r>
          </w:p>
        </w:tc>
        <w:tc>
          <w:tcPr>
            <w:tcW w:type="dxa" w:w="38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LLM의 내재적 윤리·담화 능력 측정</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B. Strategy-controlled</w:t>
            </w:r>
          </w:p>
        </w:tc>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전략 명시 (논리/재구성/사실)</w:t>
            </w:r>
          </w:p>
        </w:tc>
        <w:tc>
          <w:tcPr>
            <w:tcW w:type="dxa" w:w="38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선행 연구의 언어학 코드북 효과 검증</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C. RAG-assisted</w:t>
            </w:r>
          </w:p>
        </w:tc>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전략 정의 + 유사 사례 검색 제공</w:t>
            </w:r>
          </w:p>
        </w:tc>
        <w:tc>
          <w:tcPr>
            <w:tcW w:type="dxa" w:w="38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언어학 지식 증강의 효과</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D. QLoRA-tuned</w:t>
            </w:r>
          </w:p>
        </w:tc>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자체 paired dataset 미세조정</w:t>
            </w:r>
          </w:p>
        </w:tc>
        <w:tc>
          <w:tcPr>
            <w:tcW w:type="dxa" w:w="38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GX10 활용의 핵심 실험 — 도메인 특화 로컬 모델</w:t>
            </w:r>
          </w:p>
        </w:tc>
      </w:tr>
    </w:tbl>
    <w:p>
      <w:pPr>
        <w:pStyle w:val="Heading3"/>
        <w:spacing w:after="100" w:before="200"/>
      </w:pPr>
      <w:r>
        <w:rPr>
          <w:rFonts w:ascii="맑은 고딕" w:cs="맑은 고딕" w:eastAsia="맑은 고딕" w:hAnsi="맑은 고딕"/>
          <w:b/>
          <w:bCs/>
          <w:sz w:val="23"/>
          <w:szCs w:val="23"/>
        </w:rPr>
        <w:t xml:space="preserve">5.1 조건 A — Zero-shot 프롬프트</w:t>
      </w:r>
    </w:p>
    <w:p>
      <w:pPr>
        <w:shd w:fill="F4F4F4" w:val="clear"/>
        <w:spacing w:after="100" w:before="100" w:line="280"/>
        <w:ind w:left="240"/>
      </w:pPr>
      <w:r>
        <w:rPr>
          <w:rFonts w:ascii="Consolas" w:cs="Consolas" w:eastAsia="Consolas" w:hAnsi="Consolas"/>
          <w:color w:val="303030"/>
          <w:sz w:val="18"/>
          <w:szCs w:val="18"/>
        </w:rPr>
        <w:t xml:space="preserve">다음 중국어 온라인 혐오표현에 대해, 공격적이지 않고 설득력 있는
중국어 CounterSpeech를 생성하라.
조건:
  1. 원문 혐오표현을 반복하지 말 것.
  2. 특정 집단을 다시 비하하지 말 것.
  3. 1~2문장으로 작성할 것.
  4. 논리적이고 자연스러운 온라인 댓글 문체를 사용할 것.
입력: {hate_text}
출력:</w:t>
      </w:r>
    </w:p>
    <w:p>
      <w:pPr>
        <w:pStyle w:val="Heading3"/>
        <w:spacing w:after="100" w:before="200"/>
      </w:pPr>
      <w:r>
        <w:rPr>
          <w:rFonts w:ascii="맑은 고딕" w:cs="맑은 고딕" w:eastAsia="맑은 고딕" w:hAnsi="맑은 고딕"/>
          <w:b/>
          <w:bCs/>
          <w:sz w:val="23"/>
          <w:szCs w:val="23"/>
        </w:rPr>
        <w:t xml:space="preserve">5.2 조건 B — Strategy-controlled 프롬프트</w:t>
      </w:r>
    </w:p>
    <w:p>
      <w:pPr>
        <w:shd w:fill="F4F4F4" w:val="clear"/>
        <w:spacing w:after="100" w:before="100" w:line="280"/>
        <w:ind w:left="240"/>
      </w:pPr>
      <w:r>
        <w:rPr>
          <w:rFonts w:ascii="Consolas" w:cs="Consolas" w:eastAsia="Consolas" w:hAnsi="Consolas"/>
          <w:color w:val="303030"/>
          <w:sz w:val="18"/>
          <w:szCs w:val="18"/>
        </w:rPr>
        <w:t xml:space="preserve">다음 혐오표현에 대해 「논리 반박」 전략을 사용하여 CounterSpeech를 생성하라.
논리 반박: 일반화 오류, 인과관계 오류, 이중잣대 등을 지적하는 방식이다.
입력: {hate_text}
출력 형식:
{
  "strategy": "logical_refutation",
  "counter_speech": "...",
  "reason": "..."
}</w:t>
      </w:r>
    </w:p>
    <w:p>
      <w:pPr>
        <w:pStyle w:val="Heading3"/>
        <w:spacing w:after="100" w:before="200"/>
      </w:pPr>
      <w:r>
        <w:rPr>
          <w:rFonts w:ascii="맑은 고딕" w:cs="맑은 고딕" w:eastAsia="맑은 고딕" w:hAnsi="맑은 고딕"/>
          <w:b/>
          <w:bCs/>
          <w:sz w:val="23"/>
          <w:szCs w:val="23"/>
        </w:rPr>
        <w:t xml:space="preserve">5.3 조건 C — RAG-assisted 프롬프트</w:t>
      </w:r>
    </w:p>
    <w:p>
      <w:pPr>
        <w:shd w:fill="F4F4F4" w:val="clear"/>
        <w:spacing w:after="100" w:before="100" w:line="280"/>
        <w:ind w:left="240"/>
      </w:pPr>
      <w:r>
        <w:rPr>
          <w:rFonts w:ascii="Consolas" w:cs="Consolas" w:eastAsia="Consolas" w:hAnsi="Consolas"/>
          <w:color w:val="303030"/>
          <w:sz w:val="18"/>
          <w:szCs w:val="18"/>
        </w:rPr>
        <w:t xml:space="preserve">[전략 정의]   {retrieved_strategy_definition}
[유사 사례]   {retrieved_examples}
[입력]       {hate_text}
위 정보를 참고하여 중국어 CounterSpeech를 생성하라.</w:t>
      </w:r>
    </w:p>
    <w:p>
      <w:pPr>
        <w:pStyle w:val="Heading3"/>
        <w:spacing w:after="100" w:before="200"/>
      </w:pPr>
      <w:r>
        <w:rPr>
          <w:rFonts w:ascii="맑은 고딕" w:cs="맑은 고딕" w:eastAsia="맑은 고딕" w:hAnsi="맑은 고딕"/>
          <w:b/>
          <w:bCs/>
          <w:sz w:val="23"/>
          <w:szCs w:val="23"/>
        </w:rPr>
        <w:t xml:space="preserve">5.4 조건 D — QLoRA-tuned 학습 데이터 형식</w:t>
      </w:r>
    </w:p>
    <w:p>
      <w:pPr>
        <w:shd w:fill="F4F4F4" w:val="clear"/>
        <w:spacing w:after="100" w:before="100" w:line="280"/>
        <w:ind w:left="240"/>
      </w:pPr>
      <w:r>
        <w:rPr>
          <w:rFonts w:ascii="Consolas" w:cs="Consolas" w:eastAsia="Consolas" w:hAnsi="Consolas"/>
          <w:color w:val="303030"/>
          <w:sz w:val="18"/>
          <w:szCs w:val="18"/>
        </w:rPr>
        <w:t xml:space="preserve">{
  "messages": [
    {"role": "system", "content": "你是一名中文网络话语研究者。生成理性、温和、有说服力的反仇恨言论。不要重复或强化仇恨表达。"},
    {"role": "user",   "content": "请针对以下仇恨言论生成一种逻辑反驳式的反仇恨言论：{hate_text}"},
    {"role": "assistant", "content": "{counter_speech}"}
  ]
}</w:t>
      </w:r>
    </w:p>
    <w:p>
      <w:pPr>
        <w:pStyle w:val="Heading1"/>
        <w:spacing w:after="200" w:before="360"/>
      </w:pPr>
      <w:r>
        <w:rPr>
          <w:rFonts w:ascii="맑은 고딕" w:cs="맑은 고딕" w:eastAsia="맑은 고딕" w:hAnsi="맑은 고딕"/>
          <w:b/>
          <w:bCs/>
          <w:sz w:val="32"/>
          <w:szCs w:val="32"/>
        </w:rPr>
        <w:t xml:space="preserve">6. ASUS GX10을 최대한 활용하는 모델 구성</w:t>
      </w:r>
    </w:p>
    <w:p>
      <w:pPr>
        <w:spacing w:after="120" w:line="320"/>
        <w:jc w:val="both"/>
      </w:pPr>
      <w:r>
        <w:rPr>
          <w:rFonts w:ascii="맑은 고딕" w:cs="맑은 고딕" w:eastAsia="맑은 고딕" w:hAnsi="맑은 고딕"/>
          <w:sz w:val="22"/>
          <w:szCs w:val="22"/>
        </w:rPr>
        <w:t xml:space="preserve">GX10(NVIDIA GB10 Grace Blackwell Superchip)은 20-core Arm + Blackwell GPU, NVLink-C2C 900GB/s, 128GB LPDDR5x 통합 메모리, 1 PFLOPS(FP4), 4TB NVMe PCIe 5.0의 사양을 갖춘다. 70B급 미세조정과 200B급 로컬 추론을 단일 박스에서 수행할 수 있다. API 의존 없이 “개인 AI 실험실 기반 계산사회언어학 연구”라는 점을 차별점으로 내세울 수 있다.</w:t>
      </w:r>
    </w:p>
    <w:p>
      <w:pPr>
        <w:pStyle w:val="Heading2"/>
        <w:spacing w:after="160" w:before="280"/>
      </w:pPr>
      <w:r>
        <w:rPr>
          <w:rFonts w:ascii="맑은 고딕" w:cs="맑은 고딕" w:eastAsia="맑은 고딕" w:hAnsi="맑은 고딕"/>
          <w:b/>
          <w:bCs/>
          <w:sz w:val="26"/>
          <w:szCs w:val="26"/>
        </w:rPr>
        <w:t xml:space="preserve">6.1 추천 모델 세트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999999" w:sz="6"/>
              <w:left w:val="single" w:color="999999" w:sz="6"/>
              <w:bottom w:val="single" w:color="999999" w:sz="6"/>
              <w:right w:val="single" w:color="999999" w:sz="6"/>
            </w:tcBorders>
            <w:shd w:fill="7030A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역할</w:t>
            </w:r>
          </w:p>
        </w:tc>
        <w:tc>
          <w:tcPr>
            <w:tcW w:type="dxa" w:w="3200"/>
            <w:tcBorders>
              <w:top w:val="single" w:color="999999" w:sz="6"/>
              <w:left w:val="single" w:color="999999" w:sz="6"/>
              <w:bottom w:val="single" w:color="999999" w:sz="6"/>
              <w:right w:val="single" w:color="999999" w:sz="6"/>
            </w:tcBorders>
            <w:shd w:fill="7030A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모델</w:t>
            </w:r>
          </w:p>
        </w:tc>
        <w:tc>
          <w:tcPr>
            <w:tcW w:type="dxa" w:w="3626"/>
            <w:tcBorders>
              <w:top w:val="single" w:color="999999" w:sz="6"/>
              <w:left w:val="single" w:color="999999" w:sz="6"/>
              <w:bottom w:val="single" w:color="999999" w:sz="6"/>
              <w:right w:val="single" w:color="999999" w:sz="6"/>
            </w:tcBorders>
            <w:shd w:fill="7030A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GX10 활용 방식</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기본 생성 모델 (주력)</w:t>
            </w:r>
          </w:p>
        </w:tc>
        <w:tc>
          <w:tcPr>
            <w:tcW w:type="dxa" w:w="3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Qwen3-32B-Instruct</w:t>
            </w:r>
          </w:p>
        </w:tc>
        <w:tc>
          <w:tcPr>
            <w:tcW w:type="dxa" w:w="36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중국어 CS 생성의 주력. thinking / non-thinking 두 모드 비교 가능</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추론형 모델</w:t>
            </w:r>
          </w:p>
        </w:tc>
        <w:tc>
          <w:tcPr>
            <w:tcW w:type="dxa" w:w="3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DeepSeek-R1-Distill-Qwen-32B</w:t>
            </w:r>
          </w:p>
        </w:tc>
        <w:tc>
          <w:tcPr>
            <w:tcW w:type="dxa" w:w="36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논리 반박·오류 지적 등 reasoning 비교 실험</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빠른 대량 생성</w:t>
            </w:r>
          </w:p>
        </w:tc>
        <w:tc>
          <w:tcPr>
            <w:tcW w:type="dxa" w:w="3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Qwen3-14B-Instruct</w:t>
            </w:r>
          </w:p>
        </w:tc>
        <w:tc>
          <w:tcPr>
            <w:tcW w:type="dxa" w:w="36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1,000개 이상 후보 빠른 생성 (베이스라인)</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고품질 비교</w:t>
            </w:r>
          </w:p>
        </w:tc>
        <w:tc>
          <w:tcPr>
            <w:tcW w:type="dxa" w:w="3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Qwen3-72B / Qwen2.5-72B-Instruct</w:t>
            </w:r>
          </w:p>
        </w:tc>
        <w:tc>
          <w:tcPr>
            <w:tcW w:type="dxa" w:w="36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FP4 약 40GB → 단일 GX10 충분</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RAG 임베딩</w:t>
            </w:r>
          </w:p>
        </w:tc>
        <w:tc>
          <w:tcPr>
            <w:tcW w:type="dxa" w:w="3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Qwen3-Embedding-4B/8B</w:t>
            </w:r>
          </w:p>
        </w:tc>
        <w:tc>
          <w:tcPr>
            <w:tcW w:type="dxa" w:w="36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논문·예시·전략 정의 검색</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RAG 재정렬</w:t>
            </w:r>
          </w:p>
        </w:tc>
        <w:tc>
          <w:tcPr>
            <w:tcW w:type="dxa" w:w="3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Qwen3-Reranker-4B/8B</w:t>
            </w:r>
          </w:p>
        </w:tc>
        <w:tc>
          <w:tcPr>
            <w:tcW w:type="dxa" w:w="36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유사 CounterSpeech 예시 재랭킹</w:t>
            </w:r>
          </w:p>
        </w:tc>
      </w:tr>
      <w:tr>
        <w:tc>
          <w:tcPr>
            <w:tcW w:type="dxa" w:w="2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안전성 점검</w:t>
            </w:r>
          </w:p>
        </w:tc>
        <w:tc>
          <w:tcPr>
            <w:tcW w:type="dxa" w:w="32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Qwen3Guard / Llama Guard</w:t>
            </w:r>
          </w:p>
        </w:tc>
        <w:tc>
          <w:tcPr>
            <w:tcW w:type="dxa" w:w="36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생성 결과의 재혐오화 여부 자동 검사</w:t>
            </w:r>
          </w:p>
        </w:tc>
      </w:tr>
    </w:tbl>
    <w:p>
      <w:pPr>
        <w:pStyle w:val="Heading2"/>
        <w:spacing w:after="160" w:before="280"/>
      </w:pPr>
      <w:r>
        <w:rPr>
          <w:rFonts w:ascii="맑은 고딕" w:cs="맑은 고딕" w:eastAsia="맑은 고딕" w:hAnsi="맑은 고딕"/>
          <w:b/>
          <w:bCs/>
          <w:sz w:val="26"/>
          <w:szCs w:val="26"/>
        </w:rPr>
        <w:t xml:space="preserve">6.2 메모리 배분 (단일 박스 동시 적재)</w:t>
      </w:r>
    </w:p>
    <w:p>
      <w:pPr>
        <w:spacing w:after="120" w:line="320"/>
        <w:jc w:val="both"/>
      </w:pPr>
      <w:r>
        <w:rPr>
          <w:rFonts w:ascii="맑은 고딕" w:cs="맑은 고딕" w:eastAsia="맑은 고딕" w:hAnsi="맑은 고딕"/>
          <w:sz w:val="22"/>
          <w:szCs w:val="22"/>
        </w:rPr>
        <w:t xml:space="preserve">GX10의 128GB 통합 메모리 안에서 다음 구성이 동시에 적재되어 평가 루프가 외부 API 없이 닫힌다.</w:t>
      </w:r>
    </w:p>
    <w:p>
      <w:pPr>
        <w:pStyle w:val="ListParagraph"/>
        <w:numPr>
          <w:ilvl w:val="0"/>
          <w:numId w:val="2"/>
        </w:numPr>
        <w:spacing w:after="80" w:line="300"/>
      </w:pPr>
      <w:r>
        <w:rPr>
          <w:rFonts w:ascii="맑은 고딕" w:cs="맑은 고딕" w:eastAsia="맑은 고딕" w:hAnsi="맑은 고딕"/>
          <w:sz w:val="22"/>
          <w:szCs w:val="22"/>
        </w:rPr>
        <w:t xml:space="preserve">Qwen3-32B 생성기 (FP4, ~18GB) + Qwen3-72B 심판 (FP4, ~40GB) + BGE-M3/Qwen3-Embedding (FP16, ~4GB)</w:t>
      </w:r>
    </w:p>
    <w:p>
      <w:pPr>
        <w:pStyle w:val="ListParagraph"/>
        <w:numPr>
          <w:ilvl w:val="0"/>
          <w:numId w:val="2"/>
        </w:numPr>
        <w:spacing w:after="80" w:line="300"/>
      </w:pPr>
      <w:r>
        <w:rPr>
          <w:rFonts w:ascii="맑은 고딕" w:cs="맑은 고딕" w:eastAsia="맑은 고딕" w:hAnsi="맑은 고딕"/>
          <w:sz w:val="22"/>
          <w:szCs w:val="22"/>
        </w:rPr>
        <w:t xml:space="preserve">→ 약 62GB 사용. 남은 60GB+로 RAG 인덱스(FAISS HNSW)와 Label Studio 컨테이너 운영 가능</w:t>
      </w:r>
    </w:p>
    <w:p>
      <w:pPr>
        <w:pStyle w:val="Heading1"/>
        <w:spacing w:after="200" w:before="360"/>
      </w:pPr>
      <w:r>
        <w:rPr>
          <w:rFonts w:ascii="맑은 고딕" w:cs="맑은 고딕" w:eastAsia="맑은 고딕" w:hAnsi="맑은 고딕"/>
          <w:b/>
          <w:bCs/>
          <w:sz w:val="32"/>
          <w:szCs w:val="32"/>
        </w:rPr>
        <w:t xml:space="preserve">7. 폴더 구조와 실험 파이프라인</w:t>
      </w:r>
    </w:p>
    <w:p>
      <w:pPr>
        <w:pStyle w:val="Heading2"/>
        <w:spacing w:after="160" w:before="280"/>
      </w:pPr>
      <w:r>
        <w:rPr>
          <w:rFonts w:ascii="맑은 고딕" w:cs="맑은 고딕" w:eastAsia="맑은 고딕" w:hAnsi="맑은 고딕"/>
          <w:b/>
          <w:bCs/>
          <w:sz w:val="26"/>
          <w:szCs w:val="26"/>
        </w:rPr>
        <w:t xml:space="preserve">7.1 폴더 구조</w:t>
      </w:r>
    </w:p>
    <w:p>
      <w:pPr>
        <w:shd w:fill="F4F4F4" w:val="clear"/>
        <w:spacing w:after="100" w:before="100" w:line="280"/>
        <w:ind w:left="240"/>
      </w:pPr>
      <w:r>
        <w:rPr>
          <w:rFonts w:ascii="Consolas" w:cs="Consolas" w:eastAsia="Consolas" w:hAnsi="Consolas"/>
          <w:color w:val="303030"/>
          <w:sz w:val="18"/>
          <w:szCs w:val="18"/>
        </w:rPr>
        <w:t xml:space="preserve">CounterSpeech_GX10/
├── data/
│   ├── raw/        # cold_hate.csv, ccl25_hate.csv, existing_counter_examples.csv
│   ├── processed/  # zh_hate_900.csv → 1500.csv → with_labels.csv
│   └── rag/        # counter_strategy_notes.md, prior_papers_summary.md, annotated_examples.jsonl
├── prompts/        # zero_shot.yaml, strategy_controlled.yaml, rag_assisted.yaml, judge_prompt.yaml
├── src/
│   ├── 01_prepare_data.py
│   ├── 02_generate_counterspeech.py
│   ├── 03_rag_generate.py
│   ├── 04_evaluate_auto.py
│   ├── 05_human_eval_sheet.py
│   └── 06_error_analysis.py
├── outputs/        # qwen3_32b/, deepseek_r1_qwen32b/, qwen3_14b/, qlora_tuned/
└── results/        # auto_scores.csv, human_scores.xlsx, confusion_matrix_strategy.png, paper_tables/</w:t>
      </w:r>
    </w:p>
    <w:p>
      <w:pPr>
        <w:pStyle w:val="Heading2"/>
        <w:spacing w:after="160" w:before="280"/>
      </w:pPr>
      <w:r>
        <w:rPr>
          <w:rFonts w:ascii="맑은 고딕" w:cs="맑은 고딕" w:eastAsia="맑은 고딕" w:hAnsi="맑은 고딕"/>
          <w:b/>
          <w:bCs/>
          <w:sz w:val="26"/>
          <w:szCs w:val="26"/>
        </w:rPr>
        <w:t xml:space="preserve">7.2 처리 파이프라인</w:t>
      </w:r>
    </w:p>
    <w:p>
      <w:pPr>
        <w:shd w:fill="F4F4F4" w:val="clear"/>
        <w:spacing w:after="100" w:before="100" w:line="280"/>
        <w:ind w:left="240"/>
      </w:pPr>
      <w:r>
        <w:rPr>
          <w:rFonts w:ascii="Consolas" w:cs="Consolas" w:eastAsia="Consolas" w:hAnsi="Consolas"/>
          <w:color w:val="303030"/>
          <w:sz w:val="18"/>
          <w:szCs w:val="18"/>
        </w:rPr>
        <w:t xml:space="preserve">[Hate Speech Corpus]
        ↓
[Preprocessing + Domain Lexicon (3,123 entries)]
        ↓
[Hate Strategy / Mechanism Annotation]
        ↓
[Prompt Condition A/B/C/D]
        ↓
[Local LLM Generation on GX10]
        ↓
[Safety Filter + Re-hate Detection (Qwen3Guard)]
        ↓
[Automatic Evaluation (LLM-as-Judge + Toxicity)]
        ↓
[Human Linguistic Evaluation (2~3명 모어 화자)]
        ↓
[Error Analysis: Stance / Indexicality / Register / KWIC]</w:t>
      </w:r>
    </w:p>
    <w:p>
      <w:pPr>
        <w:pStyle w:val="Heading1"/>
        <w:spacing w:after="200" w:before="360"/>
      </w:pPr>
      <w:r>
        <w:rPr>
          <w:rFonts w:ascii="맑은 고딕" w:cs="맑은 고딕" w:eastAsia="맑은 고딕" w:hAnsi="맑은 고딕"/>
          <w:b/>
          <w:bCs/>
          <w:sz w:val="32"/>
          <w:szCs w:val="32"/>
        </w:rPr>
        <w:t xml:space="preserve">8. 평가 체계</w:t>
      </w:r>
    </w:p>
    <w:p>
      <w:pPr>
        <w:spacing w:after="120" w:line="320"/>
        <w:jc w:val="both"/>
      </w:pPr>
      <w:r>
        <w:rPr>
          <w:rFonts w:ascii="맑은 고딕" w:cs="맑은 고딕" w:eastAsia="맑은 고딕" w:hAnsi="맑은 고딕"/>
          <w:sz w:val="22"/>
          <w:szCs w:val="22"/>
        </w:rPr>
        <w:t xml:space="preserve">자동 평가는 1차 필터, 인간 평가가 1차 결론, 사회언어학적 분석이 2차 결론을 담당하는 3중 평가 구조이다.</w:t>
      </w:r>
    </w:p>
    <w:p>
      <w:pPr>
        <w:pStyle w:val="Heading2"/>
        <w:spacing w:after="160" w:before="280"/>
      </w:pPr>
      <w:r>
        <w:rPr>
          <w:rFonts w:ascii="맑은 고딕" w:cs="맑은 고딕" w:eastAsia="맑은 고딕" w:hAnsi="맑은 고딕"/>
          <w:b/>
          <w:bCs/>
          <w:sz w:val="26"/>
          <w:szCs w:val="26"/>
        </w:rPr>
        <w:t xml:space="preserve">8.1 자동 평가 (1차 필터)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6"/>
              <w:left w:val="single" w:color="999999" w:sz="6"/>
              <w:bottom w:val="single" w:color="999999" w:sz="6"/>
              <w:right w:val="single" w:color="999999" w:sz="6"/>
            </w:tcBorders>
            <w:shd w:fill="1F4E79"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평가 항목</w:t>
            </w:r>
          </w:p>
        </w:tc>
        <w:tc>
          <w:tcPr>
            <w:tcW w:type="dxa" w:w="6026"/>
            <w:tcBorders>
              <w:top w:val="single" w:color="999999" w:sz="6"/>
              <w:left w:val="single" w:color="999999" w:sz="6"/>
              <w:bottom w:val="single" w:color="999999" w:sz="6"/>
              <w:right w:val="single" w:color="999999" w:sz="6"/>
            </w:tcBorders>
            <w:shd w:fill="1F4E79"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측정 방법</w:t>
            </w:r>
          </w:p>
        </w:tc>
      </w:tr>
      <w:tr>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toxicity reduction</w:t>
            </w:r>
          </w:p>
        </w:tc>
        <w:tc>
          <w:tcPr>
            <w:tcW w:type="dxa" w:w="60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생성문이 원문보다 공격성이 낮은가 (COLD 분류기 + Perspective zh)</w:t>
            </w:r>
          </w:p>
        </w:tc>
      </w:tr>
      <w:tr>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target group protection</w:t>
            </w:r>
          </w:p>
        </w:tc>
        <w:tc>
          <w:tcPr>
            <w:tcW w:type="dxa" w:w="60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대상 집단을 다시 공격하지 않는가 (어휘 사전 매칭)</w:t>
            </w:r>
          </w:p>
        </w:tc>
      </w:tr>
      <w:tr>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semantic relevance</w:t>
            </w:r>
          </w:p>
        </w:tc>
        <w:tc>
          <w:tcPr>
            <w:tcW w:type="dxa" w:w="60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원 혐오표현에 실제 대응하는가 (BERTScore-zh)</w:t>
            </w:r>
          </w:p>
        </w:tc>
      </w:tr>
      <w:tr>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strategy match</w:t>
            </w:r>
          </w:p>
        </w:tc>
        <w:tc>
          <w:tcPr>
            <w:tcW w:type="dxa" w:w="60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지정 전략과 일치하는가 (3-class 분류기)</w:t>
            </w:r>
          </w:p>
        </w:tc>
      </w:tr>
      <w:tr>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fluency</w:t>
            </w:r>
          </w:p>
        </w:tc>
        <w:tc>
          <w:tcPr>
            <w:tcW w:type="dxa" w:w="60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중국어 댓글로 자연스러운가 (perplexity, GPT-4 판정)</w:t>
            </w:r>
          </w:p>
        </w:tc>
      </w:tr>
      <w:tr>
        <w:tc>
          <w:tcPr>
            <w:tcW w:type="dxa" w:w="3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length control</w:t>
            </w:r>
          </w:p>
        </w:tc>
        <w:tc>
          <w:tcPr>
            <w:tcW w:type="dxa" w:w="60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훈계조·과장이 아닌가 (토큰 분포)</w:t>
            </w:r>
          </w:p>
        </w:tc>
      </w:tr>
    </w:tbl>
    <w:p>
      <w:pPr>
        <w:pStyle w:val="Heading2"/>
        <w:spacing w:after="160" w:before="280"/>
      </w:pPr>
      <w:r>
        <w:rPr>
          <w:rFonts w:ascii="맑은 고딕" w:cs="맑은 고딕" w:eastAsia="맑은 고딕" w:hAnsi="맑은 고딕"/>
          <w:b/>
          <w:bCs/>
          <w:sz w:val="26"/>
          <w:szCs w:val="26"/>
        </w:rPr>
        <w:t xml:space="preserve">8.2 인간 평가 (1차 결론)</w:t>
      </w:r>
    </w:p>
    <w:p>
      <w:pPr>
        <w:spacing w:after="120" w:line="320"/>
        <w:jc w:val="both"/>
      </w:pPr>
      <w:r>
        <w:rPr>
          <w:rFonts w:ascii="맑은 고딕" w:cs="맑은 고딕" w:eastAsia="맑은 고딕" w:hAnsi="맑은 고딕"/>
          <w:sz w:val="22"/>
          <w:szCs w:val="22"/>
        </w:rPr>
        <w:t xml:space="preserve">중국어 모어 화자 2~3명(중국어학 전공자 1명 + 일반 모어 화자 1~2명). 5점 척도.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26"/>
        <w:gridCol w:w="1500"/>
      </w:tblGrid>
      <w:tr>
        <w:trPr>
          <w:tblHeader/>
        </w:trPr>
        <w:tc>
          <w:tcPr>
            <w:tcW w:type="dxa" w:w="2000"/>
            <w:tcBorders>
              <w:top w:val="single" w:color="999999" w:sz="6"/>
              <w:left w:val="single" w:color="999999" w:sz="6"/>
              <w:bottom w:val="single" w:color="999999" w:sz="6"/>
              <w:right w:val="single" w:color="999999" w:sz="6"/>
            </w:tcBorders>
            <w:shd w:fill="ED7D31"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항목</w:t>
            </w:r>
          </w:p>
        </w:tc>
        <w:tc>
          <w:tcPr>
            <w:tcW w:type="dxa" w:w="5526"/>
            <w:tcBorders>
              <w:top w:val="single" w:color="999999" w:sz="6"/>
              <w:left w:val="single" w:color="999999" w:sz="6"/>
              <w:bottom w:val="single" w:color="999999" w:sz="6"/>
              <w:right w:val="single" w:color="999999" w:sz="6"/>
            </w:tcBorders>
            <w:shd w:fill="ED7D31"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질문</w:t>
            </w:r>
          </w:p>
        </w:tc>
        <w:tc>
          <w:tcPr>
            <w:tcW w:type="dxa" w:w="1500"/>
            <w:tcBorders>
              <w:top w:val="single" w:color="999999" w:sz="6"/>
              <w:left w:val="single" w:color="999999" w:sz="6"/>
              <w:bottom w:val="single" w:color="999999" w:sz="6"/>
              <w:right w:val="single" w:color="999999" w:sz="6"/>
            </w:tcBorders>
            <w:shd w:fill="ED7D31"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점수</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비혐오성</w:t>
            </w:r>
          </w:p>
        </w:tc>
        <w:tc>
          <w:tcPr>
            <w:tcW w:type="dxa" w:w="5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생성문이 새로운 혐오를 만들지 않는가</w:t>
            </w:r>
          </w:p>
        </w:tc>
        <w:tc>
          <w:tcPr>
            <w:tcW w:type="dxa" w:w="1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center"/>
            </w:pPr>
            <w:r>
              <w:rPr>
                <w:rFonts w:ascii="맑은 고딕" w:cs="맑은 고딕" w:eastAsia="맑은 고딕" w:hAnsi="맑은 고딕"/>
                <w:b w:val="false"/>
                <w:bCs w:val="false"/>
                <w:sz w:val="20"/>
                <w:szCs w:val="20"/>
              </w:rPr>
              <w:t xml:space="preserve">1–5</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관련성</w:t>
            </w:r>
          </w:p>
        </w:tc>
        <w:tc>
          <w:tcPr>
            <w:tcW w:type="dxa" w:w="5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원문 혐오표현에 정확히 대응하는가</w:t>
            </w:r>
          </w:p>
        </w:tc>
        <w:tc>
          <w:tcPr>
            <w:tcW w:type="dxa" w:w="1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center"/>
            </w:pPr>
            <w:r>
              <w:rPr>
                <w:rFonts w:ascii="맑은 고딕" w:cs="맑은 고딕" w:eastAsia="맑은 고딕" w:hAnsi="맑은 고딕"/>
                <w:b w:val="false"/>
                <w:bCs w:val="false"/>
                <w:sz w:val="20"/>
                <w:szCs w:val="20"/>
              </w:rPr>
              <w:t xml:space="preserve">1–5</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설득력</w:t>
            </w:r>
          </w:p>
        </w:tc>
        <w:tc>
          <w:tcPr>
            <w:tcW w:type="dxa" w:w="5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실제 온라인 댓글로 설득력이 있는가</w:t>
            </w:r>
          </w:p>
        </w:tc>
        <w:tc>
          <w:tcPr>
            <w:tcW w:type="dxa" w:w="1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center"/>
            </w:pPr>
            <w:r>
              <w:rPr>
                <w:rFonts w:ascii="맑은 고딕" w:cs="맑은 고딕" w:eastAsia="맑은 고딕" w:hAnsi="맑은 고딕"/>
                <w:b w:val="false"/>
                <w:bCs w:val="false"/>
                <w:sz w:val="20"/>
                <w:szCs w:val="20"/>
              </w:rPr>
              <w:t xml:space="preserve">1–5</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전략 적합성</w:t>
            </w:r>
          </w:p>
        </w:tc>
        <w:tc>
          <w:tcPr>
            <w:tcW w:type="dxa" w:w="5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논리 반박/재구성/사실 응답 전략에 맞는가</w:t>
            </w:r>
          </w:p>
        </w:tc>
        <w:tc>
          <w:tcPr>
            <w:tcW w:type="dxa" w:w="1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center"/>
            </w:pPr>
            <w:r>
              <w:rPr>
                <w:rFonts w:ascii="맑은 고딕" w:cs="맑은 고딕" w:eastAsia="맑은 고딕" w:hAnsi="맑은 고딕"/>
                <w:b w:val="false"/>
                <w:bCs w:val="false"/>
                <w:sz w:val="20"/>
                <w:szCs w:val="20"/>
              </w:rPr>
              <w:t xml:space="preserve">1–5</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자연성</w:t>
            </w:r>
          </w:p>
        </w:tc>
        <w:tc>
          <w:tcPr>
            <w:tcW w:type="dxa" w:w="5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중국어 표현이 자연스러운가</w:t>
            </w:r>
          </w:p>
        </w:tc>
        <w:tc>
          <w:tcPr>
            <w:tcW w:type="dxa" w:w="1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center"/>
            </w:pPr>
            <w:r>
              <w:rPr>
                <w:rFonts w:ascii="맑은 고딕" w:cs="맑은 고딕" w:eastAsia="맑은 고딕" w:hAnsi="맑은 고딕"/>
                <w:b w:val="false"/>
                <w:bCs w:val="false"/>
                <w:sz w:val="20"/>
                <w:szCs w:val="20"/>
              </w:rPr>
              <w:t xml:space="preserve">1–5</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완화 효과</w:t>
            </w:r>
          </w:p>
        </w:tc>
        <w:tc>
          <w:tcPr>
            <w:tcW w:type="dxa" w:w="5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갈등을 낮추는 효과가 있는가</w:t>
            </w:r>
          </w:p>
        </w:tc>
        <w:tc>
          <w:tcPr>
            <w:tcW w:type="dxa" w:w="1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center"/>
            </w:pPr>
            <w:r>
              <w:rPr>
                <w:rFonts w:ascii="맑은 고딕" w:cs="맑은 고딕" w:eastAsia="맑은 고딕" w:hAnsi="맑은 고딕"/>
                <w:b w:val="false"/>
                <w:bCs w:val="false"/>
                <w:sz w:val="20"/>
                <w:szCs w:val="20"/>
              </w:rPr>
              <w:t xml:space="preserve">1–5</w:t>
            </w:r>
          </w:p>
        </w:tc>
      </w:tr>
    </w:tbl>
    <w:p>
      <w:pPr>
        <w:spacing w:after="120" w:line="320"/>
        <w:jc w:val="both"/>
      </w:pPr>
      <w:r>
        <w:rPr>
          <w:rFonts w:ascii="맑은 고딕" w:cs="맑은 고딕" w:eastAsia="맑은 고딕" w:hAnsi="맑은 고딕"/>
          <w:i/>
          <w:iCs/>
          <w:color w:val="555555"/>
          <w:sz w:val="22"/>
          <w:szCs w:val="22"/>
        </w:rPr>
        <w:t xml:space="preserve">추가로 “모델 간 가장 좋은 후보 1개 선택” 과제를 부여하여 직접 비교 데이터를 얻는다.</w:t>
      </w:r>
    </w:p>
    <w:p>
      <w:pPr>
        <w:pStyle w:val="Heading2"/>
        <w:spacing w:after="160" w:before="280"/>
      </w:pPr>
      <w:r>
        <w:rPr>
          <w:rFonts w:ascii="맑은 고딕" w:cs="맑은 고딕" w:eastAsia="맑은 고딕" w:hAnsi="맑은 고딕"/>
          <w:b/>
          <w:bCs/>
          <w:sz w:val="26"/>
          <w:szCs w:val="26"/>
        </w:rPr>
        <w:t xml:space="preserve">8.3 사회언어학적 평가 (본 연구 고유의 2차 결론)</w:t>
      </w:r>
    </w:p>
    <w:p>
      <w:pPr>
        <w:spacing w:after="120" w:line="320"/>
        <w:jc w:val="both"/>
      </w:pPr>
      <w:r>
        <w:rPr>
          <w:rFonts w:ascii="맑은 고딕" w:cs="맑은 고딕" w:eastAsia="맑은 고딕" w:hAnsi="맑은 고딕"/>
          <w:sz w:val="22"/>
          <w:szCs w:val="22"/>
        </w:rPr>
        <w:t xml:space="preserve">선행 연구의 이론(표연성·지시성·언역화·입장 표명)을 평가 지표로 변환한다. 기존 CS 연구(PANDA 등)에는 없는 차별 지점이다.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6"/>
              <w:left w:val="single" w:color="999999" w:sz="6"/>
              <w:bottom w:val="single" w:color="999999" w:sz="6"/>
              <w:right w:val="single" w:color="999999" w:sz="6"/>
            </w:tcBorders>
            <w:shd w:fill="1F4E79"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지표</w:t>
            </w:r>
          </w:p>
        </w:tc>
        <w:tc>
          <w:tcPr>
            <w:tcW w:type="dxa" w:w="6426"/>
            <w:tcBorders>
              <w:top w:val="single" w:color="999999" w:sz="6"/>
              <w:left w:val="single" w:color="999999" w:sz="6"/>
              <w:bottom w:val="single" w:color="999999" w:sz="6"/>
              <w:right w:val="single" w:color="999999" w:sz="6"/>
            </w:tcBorders>
            <w:shd w:fill="1F4E79"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측정 방법</w:t>
            </w:r>
          </w:p>
        </w:tc>
      </w:tr>
      <w:tr>
        <w:tc>
          <w:tcPr>
            <w:tcW w:type="dxa" w:w="2600"/>
            <w:tcBorders>
              <w:top w:val="single" w:color="999999" w:sz="6"/>
              <w:left w:val="single" w:color="999999" w:sz="6"/>
              <w:bottom w:val="single" w:color="999999" w:sz="6"/>
              <w:right w:val="single" w:color="999999" w:sz="6"/>
            </w:tcBorders>
            <w:shd w:fill="DEEBF7"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Register Avoidance</w:t>
            </w:r>
          </w:p>
        </w:tc>
        <w:tc>
          <w:tcPr>
            <w:tcW w:type="dxa" w:w="6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CS가 혐오 어역 표지(-虫·-癌·-婊·女拳 등)를 재사용했는지 사전 매칭. 0/1.</w:t>
            </w:r>
          </w:p>
        </w:tc>
      </w:tr>
      <w:tr>
        <w:tc>
          <w:tcPr>
            <w:tcW w:type="dxa" w:w="2600"/>
            <w:tcBorders>
              <w:top w:val="single" w:color="999999" w:sz="6"/>
              <w:left w:val="single" w:color="999999" w:sz="6"/>
              <w:bottom w:val="single" w:color="999999" w:sz="6"/>
              <w:right w:val="single" w:color="999999" w:sz="6"/>
            </w:tcBorders>
            <w:shd w:fill="DEEBF7"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Resignification</w:t>
            </w:r>
          </w:p>
        </w:tc>
        <w:tc>
          <w:tcPr>
            <w:tcW w:type="dxa" w:w="6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Butler의 재의미화 수행 여부. 예) “女拳”을 “女权”으로 의미 복원. 인간 + GPT-4 판정.</w:t>
            </w:r>
          </w:p>
        </w:tc>
      </w:tr>
      <w:tr>
        <w:tc>
          <w:tcPr>
            <w:tcW w:type="dxa" w:w="2600"/>
            <w:tcBorders>
              <w:top w:val="single" w:color="999999" w:sz="6"/>
              <w:left w:val="single" w:color="999999" w:sz="6"/>
              <w:bottom w:val="single" w:color="999999" w:sz="6"/>
              <w:right w:val="single" w:color="999999" w:sz="6"/>
            </w:tcBorders>
            <w:shd w:fill="DEEBF7"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Indexicality Disarming</w:t>
            </w:r>
          </w:p>
        </w:tc>
        <w:tc>
          <w:tcPr>
            <w:tcW w:type="dxa" w:w="6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N차 지시성(직남암·녹차 등의 비유 사슬)을 1차 의미로 환원하는가. 3점 척도.</w:t>
            </w:r>
          </w:p>
        </w:tc>
      </w:tr>
      <w:tr>
        <w:tc>
          <w:tcPr>
            <w:tcW w:type="dxa" w:w="2600"/>
            <w:tcBorders>
              <w:top w:val="single" w:color="999999" w:sz="6"/>
              <w:left w:val="single" w:color="999999" w:sz="6"/>
              <w:bottom w:val="single" w:color="999999" w:sz="6"/>
              <w:right w:val="single" w:color="999999" w:sz="6"/>
            </w:tcBorders>
            <w:shd w:fill="DEEBF7"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Stance Re-alignment</w:t>
            </w:r>
          </w:p>
        </w:tc>
        <w:tc>
          <w:tcPr>
            <w:tcW w:type="dxa" w:w="6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원 발화의 (evaluation, positioning, alignment) 가운데 몇 축을 흔드는가. 0~3.</w:t>
            </w:r>
          </w:p>
        </w:tc>
      </w:tr>
      <w:tr>
        <w:tc>
          <w:tcPr>
            <w:tcW w:type="dxa" w:w="2600"/>
            <w:tcBorders>
              <w:top w:val="single" w:color="999999" w:sz="6"/>
              <w:left w:val="single" w:color="999999" w:sz="6"/>
              <w:bottom w:val="single" w:color="999999" w:sz="6"/>
              <w:right w:val="single" w:color="999999" w:sz="6"/>
            </w:tcBorders>
            <w:shd w:fill="DEEBF7"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Ideology Surface</w:t>
            </w:r>
          </w:p>
        </w:tc>
        <w:tc>
          <w:tcPr>
            <w:tcW w:type="dxa" w:w="64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CS가 中華民族·민족 단결 등 거대 이념을 새로 동원하는가. 동원 시 감점.</w:t>
            </w:r>
          </w:p>
        </w:tc>
      </w:tr>
    </w:tbl>
    <w:p>
      <w:pPr>
        <w:pStyle w:val="Heading1"/>
        <w:spacing w:after="200" w:before="360"/>
      </w:pPr>
      <w:r>
        <w:rPr>
          <w:rFonts w:ascii="맑은 고딕" w:cs="맑은 고딕" w:eastAsia="맑은 고딕" w:hAnsi="맑은 고딕"/>
          <w:b/>
          <w:bCs/>
          <w:sz w:val="32"/>
          <w:szCs w:val="32"/>
        </w:rPr>
        <w:t xml:space="preserve">9. 언어학적 분석틀</w:t>
      </w:r>
    </w:p>
    <w:p>
      <w:pPr>
        <w:spacing w:after="120" w:line="320"/>
        <w:jc w:val="both"/>
      </w:pPr>
      <w:r>
        <w:rPr>
          <w:rFonts w:ascii="맑은 고딕" w:cs="맑은 고딕" w:eastAsia="맑은 고딕" w:hAnsi="맑은 고딕"/>
          <w:sz w:val="22"/>
          <w:szCs w:val="22"/>
        </w:rPr>
        <w:t xml:space="preserve">본 연구는 NLP 논문이 아니라 “중국어학·사회언어학 논문”을 목표로 한다. 생성 결과는 아래 세 관점에서 사후 분석된다.</w:t>
      </w:r>
    </w:p>
    <w:p>
      <w:pPr>
        <w:pStyle w:val="Heading2"/>
        <w:spacing w:after="160" w:before="280"/>
      </w:pPr>
      <w:r>
        <w:rPr>
          <w:rFonts w:ascii="맑은 고딕" w:cs="맑은 고딕" w:eastAsia="맑은 고딕" w:hAnsi="맑은 고딕"/>
          <w:b/>
          <w:bCs/>
          <w:sz w:val="26"/>
          <w:szCs w:val="26"/>
        </w:rPr>
        <w:t xml:space="preserve">9.1 Stance-taking 관점</w:t>
      </w:r>
    </w:p>
    <w:p>
      <w:pPr>
        <w:spacing w:after="120" w:line="320"/>
        <w:jc w:val="both"/>
      </w:pPr>
      <w:r>
        <w:rPr>
          <w:rFonts w:ascii="맑은 고딕" w:cs="맑은 고딕" w:eastAsia="맑은 고딕" w:hAnsi="맑은 고딕"/>
          <w:sz w:val="22"/>
          <w:szCs w:val="22"/>
        </w:rPr>
        <w:t xml:space="preserve">혐오표현의 stance 구조:</w:t>
      </w:r>
    </w:p>
    <w:p>
      <w:pPr>
        <w:shd w:fill="F4F4F4" w:val="clear"/>
        <w:spacing w:after="100" w:before="100" w:line="280"/>
        <w:ind w:left="240"/>
      </w:pPr>
      <w:r>
        <w:rPr>
          <w:rFonts w:ascii="Consolas" w:cs="Consolas" w:eastAsia="Consolas" w:hAnsi="Consolas"/>
          <w:color w:val="303030"/>
          <w:sz w:val="18"/>
          <w:szCs w:val="18"/>
        </w:rPr>
        <w:t xml:space="preserve">Evaluation : 특정 집단을 부정적으로 평가
Positioning: 화자를 피해자/우월자/정상인으로 위치화
Alignment  : 같은 편 독자와 정서적으로 결속</w:t>
      </w:r>
    </w:p>
    <w:p>
      <w:pPr>
        <w:spacing w:after="120" w:line="320"/>
        <w:jc w:val="both"/>
      </w:pPr>
      <w:r>
        <w:rPr>
          <w:rFonts w:ascii="맑은 고딕" w:cs="맑은 고딕" w:eastAsia="맑은 고딕" w:hAnsi="맑은 고딕"/>
          <w:sz w:val="22"/>
          <w:szCs w:val="22"/>
        </w:rPr>
        <w:t xml:space="preserve">CounterSpeech가 이를 재구성한 모습:</w:t>
      </w:r>
    </w:p>
    <w:p>
      <w:pPr>
        <w:shd w:fill="F4F4F4" w:val="clear"/>
        <w:spacing w:after="100" w:before="100" w:line="280"/>
        <w:ind w:left="240"/>
      </w:pPr>
      <w:r>
        <w:rPr>
          <w:rFonts w:ascii="Consolas" w:cs="Consolas" w:eastAsia="Consolas" w:hAnsi="Consolas"/>
          <w:color w:val="303030"/>
          <w:sz w:val="18"/>
          <w:szCs w:val="18"/>
        </w:rPr>
        <w:t xml:space="preserve">Evaluation : 집단 전체가 아니라 발화의 논리 문제를 평가
Positioning: 화자를 이성적 중재자/비판적 관찰자로 위치화
Alignment  : 혐오 집단이 아니라 보편적 규범과 정렬</w:t>
      </w:r>
    </w:p>
    <w:p>
      <w:pPr>
        <w:pStyle w:val="Heading2"/>
        <w:spacing w:after="160" w:before="280"/>
      </w:pPr>
      <w:r>
        <w:rPr>
          <w:rFonts w:ascii="맑은 고딕" w:cs="맑은 고딕" w:eastAsia="맑은 고딕" w:hAnsi="맑은 고딕"/>
          <w:b/>
          <w:bCs/>
          <w:sz w:val="26"/>
          <w:szCs w:val="26"/>
        </w:rPr>
        <w:t xml:space="preserve">9.2 Indexicality 관점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6"/>
              <w:left w:val="single" w:color="999999" w:sz="6"/>
              <w:bottom w:val="single" w:color="999999" w:sz="6"/>
              <w:right w:val="single" w:color="999999" w:sz="6"/>
            </w:tcBorders>
            <w:shd w:fill="2E75B6"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혐오표현의 indexicality</w:t>
            </w:r>
          </w:p>
        </w:tc>
        <w:tc>
          <w:tcPr>
            <w:tcW w:type="dxa" w:w="4513"/>
            <w:tcBorders>
              <w:top w:val="single" w:color="999999" w:sz="6"/>
              <w:left w:val="single" w:color="999999" w:sz="6"/>
              <w:bottom w:val="single" w:color="999999" w:sz="6"/>
              <w:right w:val="single" w:color="999999" w:sz="6"/>
            </w:tcBorders>
            <w:shd w:fill="2E75B6"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CounterSpeech의 대응</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특정 집단 = 부정적 속성</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집단과 속성의 결합 해체</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개인 사례 = 집단 본질</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개인 행동과 집단 정체성 분리</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은어/밈 = 조롱의 공유 코드</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은어의 함축 의미를 명시화</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지역명 = 범죄/낙후/무례</w:t>
            </w:r>
          </w:p>
        </w:tc>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지역 고정관념을 다층적 현실로 재구성</w:t>
            </w:r>
          </w:p>
        </w:tc>
      </w:tr>
    </w:tbl>
    <w:p>
      <w:pPr>
        <w:pStyle w:val="Heading2"/>
        <w:spacing w:after="160" w:before="280"/>
      </w:pPr>
      <w:r>
        <w:rPr>
          <w:rFonts w:ascii="맑은 고딕" w:cs="맑은 고딕" w:eastAsia="맑은 고딕" w:hAnsi="맑은 고딕"/>
          <w:b/>
          <w:bCs/>
          <w:sz w:val="26"/>
          <w:szCs w:val="26"/>
        </w:rPr>
        <w:t xml:space="preserve">9.3 Enregisterment 관점</w:t>
      </w:r>
    </w:p>
    <w:p>
      <w:pPr>
        <w:spacing w:after="120" w:line="320"/>
        <w:jc w:val="both"/>
      </w:pPr>
      <w:r>
        <w:rPr>
          <w:rFonts w:ascii="맑은 고딕" w:cs="맑은 고딕" w:eastAsia="맑은 고딕" w:hAnsi="맑은 고딕"/>
          <w:sz w:val="22"/>
          <w:szCs w:val="22"/>
        </w:rPr>
        <w:t xml:space="preserve">혐오표현은 반복 사용을 통해 “혐오 어역”을 형성한다. CounterSpeech는 그 register를 깨뜨리는 대안적 register를 생성하는 과정으로 볼 수 있다. 본 연구의 표어:</w:t>
      </w:r>
    </w:p>
    <w:p>
      <w:pPr>
        <w:pBdr>
          <w:left w:val="single" w:color="5B9BD5" w:sz="18" w:space="8"/>
        </w:pBdr>
        <w:spacing w:after="100" w:before="100" w:line="300"/>
        <w:ind w:left="480"/>
      </w:pPr>
      <w:r>
        <w:rPr>
          <w:rFonts w:ascii="맑은 고딕" w:cs="맑은 고딕" w:eastAsia="맑은 고딕" w:hAnsi="맑은 고딕"/>
          <w:color w:val="404040"/>
          <w:sz w:val="20"/>
          <w:szCs w:val="20"/>
        </w:rPr>
        <w:t xml:space="preserve">CounterSpeech generation is not merely a detoxification task, but a process of register transformation: from hate register to inclusive argumentative register.</w:t>
      </w:r>
    </w:p>
    <w:p>
      <w:pPr>
        <w:pStyle w:val="Heading2"/>
        <w:spacing w:after="160" w:before="280"/>
      </w:pPr>
      <w:r>
        <w:rPr>
          <w:rFonts w:ascii="맑은 고딕" w:cs="맑은 고딕" w:eastAsia="맑은 고딕" w:hAnsi="맑은 고딕"/>
          <w:b/>
          <w:bCs/>
          <w:sz w:val="26"/>
          <w:szCs w:val="26"/>
        </w:rPr>
        <w:t xml:space="preserve">9.4 LL/KWIC 사후 분석 (선행 연구와의 직접 연결)</w:t>
      </w:r>
    </w:p>
    <w:p>
      <w:pPr>
        <w:spacing w:after="120" w:line="320"/>
        <w:jc w:val="both"/>
      </w:pPr>
      <w:r>
        <w:rPr>
          <w:rFonts w:ascii="맑은 고딕" w:cs="맑은 고딕" w:eastAsia="맑은 고딕" w:hAnsi="맑은 고딕"/>
          <w:sz w:val="22"/>
          <w:szCs w:val="22"/>
        </w:rPr>
        <w:t xml:space="preserve">생성된 CS 코퍼스를 선행 연구의 LL 키워드 + KWIC 절차로 그대로 재분석한다. 이로써 “NLP 실험 → 사회언어학”의 이중 회로(double loop)가 완성된다.</w:t>
      </w:r>
    </w:p>
    <w:p>
      <w:pPr>
        <w:pStyle w:val="ListParagraph"/>
        <w:numPr>
          <w:ilvl w:val="0"/>
          <w:numId w:val="2"/>
        </w:numPr>
        <w:spacing w:after="80" w:line="300"/>
      </w:pPr>
      <w:r>
        <w:rPr>
          <w:rFonts w:ascii="맑은 고딕" w:cs="맑은 고딕" w:eastAsia="맑은 고딕" w:hAnsi="맑은 고딕"/>
          <w:sz w:val="22"/>
          <w:szCs w:val="22"/>
        </w:rPr>
        <w:t xml:space="preserve">생성 CS의 LL 키워드 추출 (참조: 원 혐오 코퍼스, 임계 LL=3.84)</w:t>
      </w:r>
    </w:p>
    <w:p>
      <w:pPr>
        <w:pStyle w:val="ListParagraph"/>
        <w:numPr>
          <w:ilvl w:val="0"/>
          <w:numId w:val="2"/>
        </w:numPr>
        <w:spacing w:after="80" w:line="300"/>
      </w:pPr>
      <w:r>
        <w:rPr>
          <w:rFonts w:ascii="맑은 고딕" w:cs="맑은 고딕" w:eastAsia="맑은 고딕" w:hAnsi="맑은 고딕"/>
          <w:sz w:val="22"/>
          <w:szCs w:val="22"/>
        </w:rPr>
        <w:t xml:space="preserve">키워드 인접 어휘 분석 — 어떤 새로운 어역이 형성되는가?</w:t>
      </w:r>
    </w:p>
    <w:p>
      <w:pPr>
        <w:pStyle w:val="ListParagraph"/>
        <w:numPr>
          <w:ilvl w:val="0"/>
          <w:numId w:val="2"/>
        </w:numPr>
        <w:spacing w:after="80" w:line="300"/>
      </w:pPr>
      <w:r>
        <w:rPr>
          <w:rFonts w:ascii="맑은 고딕" w:cs="맑은 고딕" w:eastAsia="맑은 고딕" w:hAnsi="맑은 고딕"/>
          <w:sz w:val="22"/>
          <w:szCs w:val="22"/>
        </w:rPr>
        <w:t xml:space="preserve">USAS / Wmatrix를 통한 의미장(key semantic domains) 이동 분석</w:t>
      </w:r>
    </w:p>
    <w:p>
      <w:pPr>
        <w:pStyle w:val="ListParagraph"/>
        <w:numPr>
          <w:ilvl w:val="0"/>
          <w:numId w:val="2"/>
        </w:numPr>
        <w:spacing w:after="80" w:line="300"/>
      </w:pPr>
      <w:r>
        <w:rPr>
          <w:rFonts w:ascii="맑은 고딕" w:cs="맑은 고딕" w:eastAsia="맑은 고딕" w:hAnsi="맑은 고딕"/>
          <w:sz w:val="22"/>
          <w:szCs w:val="22"/>
        </w:rPr>
        <w:t xml:space="preserve">사례 연구: ‘河南人偷井盖’, ‘直男癌’, ‘黑人’ 대응 CS의 담화 구조 분석</w:t>
      </w:r>
    </w:p>
    <w:p>
      <w:pPr>
        <w:pStyle w:val="Heading1"/>
        <w:spacing w:after="200" w:before="360"/>
      </w:pPr>
      <w:r>
        <w:rPr>
          <w:rFonts w:ascii="맑은 고딕" w:cs="맑은 고딕" w:eastAsia="맑은 고딕" w:hAnsi="맑은 고딕"/>
          <w:b/>
          <w:bCs/>
          <w:sz w:val="32"/>
          <w:szCs w:val="32"/>
        </w:rPr>
        <w:t xml:space="preserve">10. 실험 설계: 3 × 3 × 3</w:t>
      </w:r>
    </w:p>
    <w:p>
      <w:pPr>
        <w:pStyle w:val="Heading2"/>
        <w:spacing w:after="160" w:before="280"/>
      </w:pPr>
      <w:r>
        <w:rPr>
          <w:rFonts w:ascii="맑은 고딕" w:cs="맑은 고딕" w:eastAsia="맑은 고딕" w:hAnsi="맑은 고딕"/>
          <w:b/>
          <w:bCs/>
          <w:sz w:val="26"/>
          <w:szCs w:val="26"/>
        </w:rPr>
        <w:t xml:space="preserve">10.1 독립변수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독립변수</w:t>
            </w:r>
          </w:p>
        </w:tc>
        <w:tc>
          <w:tcPr>
            <w:tcW w:type="dxa" w:w="3500"/>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수준 (3)</w:t>
            </w:r>
          </w:p>
        </w:tc>
        <w:tc>
          <w:tcPr>
            <w:tcW w:type="dxa" w:w="3526"/>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비고</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모델</w:t>
            </w:r>
          </w:p>
        </w:tc>
        <w:tc>
          <w:tcPr>
            <w:tcW w:type="dxa" w:w="3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Qwen3-32B / DeepSeek-R1-Qwen-32B / Qwen3-32B-QLoRA</w:t>
            </w:r>
          </w:p>
        </w:tc>
        <w:tc>
          <w:tcPr>
            <w:tcW w:type="dxa" w:w="3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기본 vs reasoning vs 도메인 특화</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생성 방식</w:t>
            </w:r>
          </w:p>
        </w:tc>
        <w:tc>
          <w:tcPr>
            <w:tcW w:type="dxa" w:w="3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Zero-shot / Strategy-controlled / RAG-assisted</w:t>
            </w:r>
          </w:p>
        </w:tc>
        <w:tc>
          <w:tcPr>
            <w:tcW w:type="dxa" w:w="3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점진적 지식 증강 비교</w:t>
            </w:r>
          </w:p>
        </w:tc>
      </w:tr>
      <w:tr>
        <w:tc>
          <w:tcPr>
            <w:tcW w:type="dxa" w:w="2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영역</w:t>
            </w:r>
          </w:p>
        </w:tc>
        <w:tc>
          <w:tcPr>
            <w:tcW w:type="dxa" w:w="3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Gender / Race-Nationality / Region</w:t>
            </w:r>
          </w:p>
        </w:tc>
        <w:tc>
          <w:tcPr>
            <w:tcW w:type="dxa" w:w="35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선행 연구의 3영역 그대로</w:t>
            </w:r>
          </w:p>
        </w:tc>
      </w:tr>
    </w:tbl>
    <w:p>
      <w:pPr>
        <w:pStyle w:val="Heading2"/>
        <w:spacing w:after="160" w:before="280"/>
      </w:pPr>
      <w:r>
        <w:rPr>
          <w:rFonts w:ascii="맑은 고딕" w:cs="맑은 고딕" w:eastAsia="맑은 고딕" w:hAnsi="맑은 고딕"/>
          <w:b/>
          <w:bCs/>
          <w:sz w:val="26"/>
          <w:szCs w:val="26"/>
        </w:rPr>
        <w:t xml:space="preserve">10.2 종속변수</w:t>
      </w:r>
    </w:p>
    <w:p>
      <w:pPr>
        <w:pStyle w:val="ListParagraph"/>
        <w:numPr>
          <w:ilvl w:val="0"/>
          <w:numId w:val="2"/>
        </w:numPr>
        <w:spacing w:after="80" w:line="300"/>
      </w:pPr>
      <w:r>
        <w:rPr>
          <w:rFonts w:ascii="맑은 고딕" w:cs="맑은 고딕" w:eastAsia="맑은 고딕" w:hAnsi="맑은 고딕"/>
          <w:sz w:val="22"/>
          <w:szCs w:val="22"/>
        </w:rPr>
        <w:t xml:space="preserve">strategy accuracy — 의도한 전략과 일치하는가</w:t>
      </w:r>
    </w:p>
    <w:p>
      <w:pPr>
        <w:pStyle w:val="ListParagraph"/>
        <w:numPr>
          <w:ilvl w:val="0"/>
          <w:numId w:val="2"/>
        </w:numPr>
        <w:spacing w:after="80" w:line="300"/>
      </w:pPr>
      <w:r>
        <w:rPr>
          <w:rFonts w:ascii="맑은 고딕" w:cs="맑은 고딕" w:eastAsia="맑은 고딕" w:hAnsi="맑은 고딕"/>
          <w:sz w:val="22"/>
          <w:szCs w:val="22"/>
        </w:rPr>
        <w:t xml:space="preserve">persuasiveness — 설득력</w:t>
      </w:r>
    </w:p>
    <w:p>
      <w:pPr>
        <w:pStyle w:val="ListParagraph"/>
        <w:numPr>
          <w:ilvl w:val="0"/>
          <w:numId w:val="2"/>
        </w:numPr>
        <w:spacing w:after="80" w:line="300"/>
      </w:pPr>
      <w:r>
        <w:rPr>
          <w:rFonts w:ascii="맑은 고딕" w:cs="맑은 고딕" w:eastAsia="맑은 고딕" w:hAnsi="맑은 고딕"/>
          <w:sz w:val="22"/>
          <w:szCs w:val="22"/>
        </w:rPr>
        <w:t xml:space="preserve">non-hatefulness — 비혐오성</w:t>
      </w:r>
    </w:p>
    <w:p>
      <w:pPr>
        <w:pStyle w:val="ListParagraph"/>
        <w:numPr>
          <w:ilvl w:val="0"/>
          <w:numId w:val="2"/>
        </w:numPr>
        <w:spacing w:after="80" w:line="300"/>
      </w:pPr>
      <w:r>
        <w:rPr>
          <w:rFonts w:ascii="맑은 고딕" w:cs="맑은 고딕" w:eastAsia="맑은 고딕" w:hAnsi="맑은 고딕"/>
          <w:sz w:val="22"/>
          <w:szCs w:val="22"/>
        </w:rPr>
        <w:t xml:space="preserve">relevance — 원문 대응성</w:t>
      </w:r>
    </w:p>
    <w:p>
      <w:pPr>
        <w:pStyle w:val="ListParagraph"/>
        <w:numPr>
          <w:ilvl w:val="0"/>
          <w:numId w:val="2"/>
        </w:numPr>
        <w:spacing w:after="80" w:line="300"/>
      </w:pPr>
      <w:r>
        <w:rPr>
          <w:rFonts w:ascii="맑은 고딕" w:cs="맑은 고딕" w:eastAsia="맑은 고딕" w:hAnsi="맑은 고딕"/>
          <w:sz w:val="22"/>
          <w:szCs w:val="22"/>
        </w:rPr>
        <w:t xml:space="preserve">linguistic naturalness — 중국어 자연성</w:t>
      </w:r>
    </w:p>
    <w:p>
      <w:pPr>
        <w:pStyle w:val="ListParagraph"/>
        <w:numPr>
          <w:ilvl w:val="0"/>
          <w:numId w:val="2"/>
        </w:numPr>
        <w:spacing w:after="80" w:line="300"/>
      </w:pPr>
      <w:r>
        <w:rPr>
          <w:rFonts w:ascii="맑은 고딕" w:cs="맑은 고딕" w:eastAsia="맑은 고딕" w:hAnsi="맑은 고딕"/>
          <w:sz w:val="22"/>
          <w:szCs w:val="22"/>
        </w:rPr>
        <w:t xml:space="preserve">de-escalation — 갈등 완화 효과</w:t>
      </w:r>
    </w:p>
    <w:p>
      <w:pPr>
        <w:pStyle w:val="ListParagraph"/>
        <w:numPr>
          <w:ilvl w:val="0"/>
          <w:numId w:val="2"/>
        </w:numPr>
        <w:spacing w:after="80" w:line="300"/>
      </w:pPr>
      <w:r>
        <w:rPr>
          <w:rFonts w:ascii="맑은 고딕" w:cs="맑은 고딕" w:eastAsia="맑은 고딕" w:hAnsi="맑은 고딕"/>
          <w:sz w:val="22"/>
          <w:szCs w:val="22"/>
        </w:rPr>
        <w:t xml:space="preserve">(사회언어학) register avoidance / resignification / stance re-alignment</w:t>
      </w:r>
    </w:p>
    <w:p>
      <w:pPr>
        <w:pStyle w:val="Heading2"/>
        <w:spacing w:after="160" w:before="280"/>
      </w:pPr>
      <w:r>
        <w:rPr>
          <w:rFonts w:ascii="맑은 고딕" w:cs="맑은 고딕" w:eastAsia="맑은 고딕" w:hAnsi="맑은 고딕"/>
          <w:b/>
          <w:bCs/>
          <w:sz w:val="26"/>
          <w:szCs w:val="26"/>
        </w:rPr>
        <w:t xml:space="preserve">10.3 출력 규모 (파일럿)</w:t>
      </w:r>
    </w:p>
    <w:p>
      <w:pPr>
        <w:shd w:fill="F4F4F4" w:val="clear"/>
        <w:spacing w:after="100" w:before="100" w:line="280"/>
        <w:ind w:left="240"/>
      </w:pPr>
      <w:r>
        <w:rPr>
          <w:rFonts w:ascii="Consolas" w:cs="Consolas" w:eastAsia="Consolas" w:hAnsi="Consolas"/>
          <w:color w:val="303030"/>
          <w:sz w:val="18"/>
          <w:szCs w:val="18"/>
        </w:rPr>
        <w:t xml:space="preserve">300 hate texts × 3 models × 3 conditions × 3 candidates = 8,100 outputs
→ 인간 평가 표본: 영역×모델×조건 균등 분층 추출 540쌍</w:t>
      </w:r>
    </w:p>
    <w:p>
      <w:pPr>
        <w:spacing w:after="120" w:line="320"/>
        <w:jc w:val="both"/>
      </w:pPr>
      <w:r>
        <w:rPr>
          <w:rFonts w:ascii="맑은 고딕" w:cs="맑은 고딕" w:eastAsia="맑은 고딕" w:hAnsi="맑은 고딕"/>
          <w:i/>
          <w:iCs/>
          <w:color w:val="555555"/>
          <w:sz w:val="22"/>
          <w:szCs w:val="22"/>
        </w:rPr>
        <w:t xml:space="preserve">확장 실험에서는 900문장 × 3모델 × 3조건 × 3후보 = 24,300 outputs까지 가능하지만, 1차 논문은 파일럿 결과만으로 충분히 닫힌다.</w:t>
      </w:r>
    </w:p>
    <w:p>
      <w:pPr>
        <w:pStyle w:val="Heading1"/>
        <w:spacing w:after="200" w:before="360"/>
      </w:pPr>
      <w:r>
        <w:rPr>
          <w:rFonts w:ascii="맑은 고딕" w:cs="맑은 고딕" w:eastAsia="맑은 고딕" w:hAnsi="맑은 고딕"/>
          <w:b/>
          <w:bCs/>
          <w:sz w:val="32"/>
          <w:szCs w:val="32"/>
        </w:rPr>
        <w:t xml:space="preserve">11. QLoRA 미세조정 데이터</w:t>
      </w:r>
    </w:p>
    <w:p>
      <w:pPr>
        <w:spacing w:after="120" w:line="320"/>
        <w:jc w:val="both"/>
      </w:pPr>
      <w:r>
        <w:rPr>
          <w:rFonts w:ascii="맑은 고딕" w:cs="맑은 고딕" w:eastAsia="맑은 고딕" w:hAnsi="맑은 고딕"/>
          <w:sz w:val="22"/>
          <w:szCs w:val="22"/>
        </w:rPr>
        <w:t xml:space="preserve">GX10을 “최대한 활용”하는 핵심은 QLoRA이다. 대규모 학습이 아니라 “작은 도메인 특화 생성 모델”을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500"/>
        <w:gridCol w:w="2013"/>
      </w:tblGrid>
      <w:tr>
        <w:trPr>
          <w:tblHeader/>
        </w:trPr>
        <w:tc>
          <w:tcPr>
            <w:tcW w:type="dxa" w:w="4513"/>
            <w:tcBorders>
              <w:top w:val="single" w:color="999999" w:sz="6"/>
              <w:left w:val="single" w:color="999999" w:sz="6"/>
              <w:bottom w:val="single" w:color="999999" w:sz="6"/>
              <w:right w:val="single" w:color="999999" w:sz="6"/>
            </w:tcBorders>
            <w:shd w:fill="70AD47"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데이터 유형</w:t>
            </w:r>
          </w:p>
        </w:tc>
        <w:tc>
          <w:tcPr>
            <w:tcW w:type="dxa" w:w="2500"/>
            <w:tcBorders>
              <w:top w:val="single" w:color="999999" w:sz="6"/>
              <w:left w:val="single" w:color="999999" w:sz="6"/>
              <w:bottom w:val="single" w:color="999999" w:sz="6"/>
              <w:right w:val="single" w:color="999999" w:sz="6"/>
            </w:tcBorders>
            <w:shd w:fill="70AD47"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출처</w:t>
            </w:r>
          </w:p>
        </w:tc>
        <w:tc>
          <w:tcPr>
            <w:tcW w:type="dxa" w:w="2013"/>
            <w:tcBorders>
              <w:top w:val="single" w:color="999999" w:sz="6"/>
              <w:left w:val="single" w:color="999999" w:sz="6"/>
              <w:bottom w:val="single" w:color="999999" w:sz="6"/>
              <w:right w:val="single" w:color="999999" w:sz="6"/>
            </w:tcBorders>
            <w:shd w:fill="70AD47"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개수</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실제 CounterSpeech 수집</w:t>
            </w:r>
          </w:p>
        </w:tc>
        <w:tc>
          <w:tcPr>
            <w:tcW w:type="dxa" w:w="2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PANDA + COLD/CCL25 발굴</w:t>
            </w:r>
          </w:p>
        </w:tc>
        <w:tc>
          <w:tcPr>
            <w:tcW w:type="dxa" w:w="20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500–1,000쌍</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연구자 작성·수정 CounterSpeech</w:t>
            </w:r>
          </w:p>
        </w:tc>
        <w:tc>
          <w:tcPr>
            <w:tcW w:type="dxa" w:w="2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선행 연구 4장 예시 + 확장</w:t>
            </w:r>
          </w:p>
        </w:tc>
        <w:tc>
          <w:tcPr>
            <w:tcW w:type="dxa" w:w="20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500쌍</w:t>
            </w:r>
          </w:p>
        </w:tc>
      </w:tr>
      <w:tr>
        <w:tc>
          <w:tcPr>
            <w:tcW w:type="dxa" w:w="45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LLM 초안 + 인간 수정 (semi-synthetic)</w:t>
            </w:r>
          </w:p>
        </w:tc>
        <w:tc>
          <w:tcPr>
            <w:tcW w:type="dxa" w:w="25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Qwen3-72B 초안 → 검수</w:t>
            </w:r>
          </w:p>
        </w:tc>
        <w:tc>
          <w:tcPr>
            <w:tcW w:type="dxa" w:w="2013"/>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1,000–2,000쌍</w:t>
            </w:r>
          </w:p>
        </w:tc>
      </w:tr>
      <w:tr>
        <w:tc>
          <w:tcPr>
            <w:tcW w:type="dxa" w:w="4513"/>
            <w:tcBorders>
              <w:top w:val="single" w:color="999999" w:sz="6"/>
              <w:left w:val="single" w:color="999999" w:sz="6"/>
              <w:bottom w:val="single" w:color="999999" w:sz="6"/>
              <w:right w:val="single" w:color="999999" w:sz="6"/>
            </w:tcBorders>
            <w:shd w:fill="F2F2F2"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합계</w:t>
            </w:r>
          </w:p>
        </w:tc>
        <w:tc>
          <w:tcPr>
            <w:tcW w:type="dxa" w:w="2500"/>
            <w:tcBorders>
              <w:top w:val="single" w:color="999999" w:sz="6"/>
              <w:left w:val="single" w:color="999999" w:sz="6"/>
              <w:bottom w:val="single" w:color="999999" w:sz="6"/>
              <w:right w:val="single" w:color="999999" w:sz="6"/>
            </w:tcBorders>
            <w:shd w:fill="F2F2F2"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
            </w:r>
          </w:p>
        </w:tc>
        <w:tc>
          <w:tcPr>
            <w:tcW w:type="dxa" w:w="2013"/>
            <w:tcBorders>
              <w:top w:val="single" w:color="999999" w:sz="6"/>
              <w:left w:val="single" w:color="999999" w:sz="6"/>
              <w:bottom w:val="single" w:color="999999" w:sz="6"/>
              <w:right w:val="single" w:color="999999" w:sz="6"/>
            </w:tcBorders>
            <w:shd w:fill="F2F2F2" w:val="clear"/>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2,000–3,500쌍</w:t>
            </w:r>
          </w:p>
        </w:tc>
      </w:tr>
    </w:tbl>
    <w:p>
      <w:pPr>
        <w:spacing w:after="120" w:line="320"/>
        <w:jc w:val="both"/>
      </w:pPr>
      <w:r>
        <w:rPr>
          <w:rFonts w:ascii="맑은 고딕" w:cs="맑은 고딕" w:eastAsia="맑은 고딕" w:hAnsi="맑은 고딕"/>
          <w:sz w:val="22"/>
          <w:szCs w:val="22"/>
        </w:rPr>
        <w:t xml:space="preserve">이 규모는 GX10에서 QLoRA(rank=16, α=32, BF16) 학습으로 24~72시간 안에 처리된다. Unsloth + FlashAttention-2 권장.</w:t>
      </w:r>
    </w:p>
    <w:p>
      <w:pPr>
        <w:pStyle w:val="Heading1"/>
        <w:spacing w:after="200" w:before="360"/>
      </w:pPr>
      <w:r>
        <w:rPr>
          <w:rFonts w:ascii="맑은 고딕" w:cs="맑은 고딕" w:eastAsia="맑은 고딕" w:hAnsi="맑은 고딕"/>
          <w:b/>
          <w:bCs/>
          <w:sz w:val="32"/>
          <w:szCs w:val="32"/>
        </w:rPr>
        <w:t xml:space="preserve">12. RAG 설계</w:t>
      </w:r>
    </w:p>
    <w:p>
      <w:pPr>
        <w:spacing w:after="120" w:line="320"/>
        <w:jc w:val="both"/>
      </w:pPr>
      <w:r>
        <w:rPr>
          <w:rFonts w:ascii="맑은 고딕" w:cs="맑은 고딕" w:eastAsia="맑은 고딕" w:hAnsi="맑은 고딕"/>
          <w:sz w:val="22"/>
          <w:szCs w:val="22"/>
        </w:rPr>
        <w:t xml:space="preserve">세 종류의 지식 베이스를 인덱싱한다.</w:t>
      </w:r>
    </w:p>
    <w:p>
      <w:pPr>
        <w:pStyle w:val="Heading3"/>
        <w:spacing w:after="100" w:before="200"/>
      </w:pPr>
      <w:r>
        <w:rPr>
          <w:rFonts w:ascii="맑은 고딕" w:cs="맑은 고딕" w:eastAsia="맑은 고딕" w:hAnsi="맑은 고딕"/>
          <w:b/>
          <w:bCs/>
          <w:sz w:val="23"/>
          <w:szCs w:val="23"/>
        </w:rPr>
        <w:t xml:space="preserve">12.1 Strategy Knowledge Base — 선행 연구 4장의 CS 전략 설명</w:t>
      </w:r>
    </w:p>
    <w:p>
      <w:pPr>
        <w:shd w:fill="F4F4F4" w:val="clear"/>
        <w:spacing w:after="100" w:before="100" w:line="280"/>
        <w:ind w:left="240"/>
      </w:pPr>
      <w:r>
        <w:rPr>
          <w:rFonts w:ascii="Consolas" w:cs="Consolas" w:eastAsia="Consolas" w:hAnsi="Consolas"/>
          <w:color w:val="303030"/>
          <w:sz w:val="18"/>
          <w:szCs w:val="18"/>
        </w:rPr>
        <w:t xml:space="preserve">logical_refutation:
  definition  : 指出以偏概全、因果错误、双重标准等逻辑问题
  suitable_for: 地域黑, 种族泛化, 性别标签化
  avoid       : 直接辱骂对方
positive_reinterpretation:
  definition  : 温和重构攻击性表达，降低对立情绪
  suitable_for: 方言误解, 文化误解, 网络标签误用
fact_based_response:
  definition  : 使用事实、数据、个人经验纠正偏见
  suitable_for: 事实错误, 刻板印象, 极端概括</w:t>
      </w:r>
    </w:p>
    <w:p>
      <w:pPr>
        <w:pStyle w:val="Heading3"/>
        <w:spacing w:after="100" w:before="200"/>
      </w:pPr>
      <w:r>
        <w:rPr>
          <w:rFonts w:ascii="맑은 고딕" w:cs="맑은 고딕" w:eastAsia="맑은 고딕" w:hAnsi="맑은 고딕"/>
          <w:b/>
          <w:bCs/>
          <w:sz w:val="23"/>
          <w:szCs w:val="23"/>
        </w:rPr>
        <w:t xml:space="preserve">12.2 Example Bank — 선행 연구에서 식별한 실제 CS 사례</w:t>
      </w:r>
    </w:p>
    <w:p>
      <w:pPr>
        <w:pStyle w:val="ListParagraph"/>
        <w:numPr>
          <w:ilvl w:val="0"/>
          <w:numId w:val="2"/>
        </w:numPr>
        <w:spacing w:after="80" w:line="300"/>
      </w:pPr>
      <w:r>
        <w:rPr>
          <w:rFonts w:ascii="맑은 고딕" w:cs="맑은 고딕" w:eastAsia="맑은 고딕" w:hAnsi="맑은 고딕"/>
          <w:sz w:val="22"/>
          <w:szCs w:val="22"/>
        </w:rPr>
        <w:t xml:space="preserve">“地图炮就不对了吧” — overgeneralization 지적</w:t>
      </w:r>
    </w:p>
    <w:p>
      <w:pPr>
        <w:pStyle w:val="ListParagraph"/>
        <w:numPr>
          <w:ilvl w:val="0"/>
          <w:numId w:val="2"/>
        </w:numPr>
        <w:spacing w:after="80" w:line="300"/>
      </w:pPr>
      <w:r>
        <w:rPr>
          <w:rFonts w:ascii="맑은 고딕" w:cs="맑은 고딕" w:eastAsia="맑은 고딕" w:hAnsi="맑은 고딕"/>
          <w:sz w:val="22"/>
          <w:szCs w:val="22"/>
        </w:rPr>
        <w:t xml:space="preserve">“一个东北人打人就可以说整个东北三省的人素质低?” — 일반화 오류 지적</w:t>
      </w:r>
    </w:p>
    <w:p>
      <w:pPr>
        <w:pStyle w:val="ListParagraph"/>
        <w:numPr>
          <w:ilvl w:val="0"/>
          <w:numId w:val="2"/>
        </w:numPr>
        <w:spacing w:after="80" w:line="300"/>
      </w:pPr>
      <w:r>
        <w:rPr>
          <w:rFonts w:ascii="맑은 고딕" w:cs="맑은 고딕" w:eastAsia="맑은 고딕" w:hAnsi="맑은 고딕"/>
          <w:sz w:val="22"/>
          <w:szCs w:val="22"/>
        </w:rPr>
        <w:t xml:space="preserve">“歧视黑人在世界各地都是不应该的” — 이중잣대 폭로</w:t>
      </w:r>
    </w:p>
    <w:p>
      <w:pPr>
        <w:pStyle w:val="ListParagraph"/>
        <w:numPr>
          <w:ilvl w:val="0"/>
          <w:numId w:val="2"/>
        </w:numPr>
        <w:spacing w:after="80" w:line="300"/>
      </w:pPr>
      <w:r>
        <w:rPr>
          <w:rFonts w:ascii="맑은 고딕" w:cs="맑은 고딕" w:eastAsia="맑은 고딕" w:hAnsi="맑은 고딕"/>
          <w:sz w:val="22"/>
          <w:szCs w:val="22"/>
        </w:rPr>
        <w:t xml:space="preserve">“何必要标明新疆人呢，直接用小偷代替不就好了” — 적극적 재구성</w:t>
      </w:r>
    </w:p>
    <w:p>
      <w:pPr>
        <w:pStyle w:val="ListParagraph"/>
        <w:numPr>
          <w:ilvl w:val="0"/>
          <w:numId w:val="2"/>
        </w:numPr>
        <w:spacing w:after="80" w:line="300"/>
      </w:pPr>
      <w:r>
        <w:rPr>
          <w:rFonts w:ascii="맑은 고딕" w:cs="맑은 고딕" w:eastAsia="맑은 고딕" w:hAnsi="맑은 고딕"/>
          <w:sz w:val="22"/>
          <w:szCs w:val="22"/>
        </w:rPr>
        <w:t xml:space="preserve">“东北话听着贼有喜感了” — 문화적 명료화</w:t>
      </w:r>
    </w:p>
    <w:p>
      <w:pPr>
        <w:pStyle w:val="ListParagraph"/>
        <w:numPr>
          <w:ilvl w:val="0"/>
          <w:numId w:val="2"/>
        </w:numPr>
        <w:spacing w:after="80" w:line="300"/>
      </w:pPr>
      <w:r>
        <w:rPr>
          <w:rFonts w:ascii="맑은 고딕" w:cs="맑은 고딕" w:eastAsia="맑은 고딕" w:hAnsi="맑은 고딕"/>
          <w:sz w:val="22"/>
          <w:szCs w:val="22"/>
        </w:rPr>
        <w:t xml:space="preserve">“台湾服务业人员大多还是很热情的” — 사실 응답</w:t>
      </w:r>
    </w:p>
    <w:p>
      <w:pPr>
        <w:pStyle w:val="Heading3"/>
        <w:spacing w:after="100" w:before="200"/>
      </w:pPr>
      <w:r>
        <w:rPr>
          <w:rFonts w:ascii="맑은 고딕" w:cs="맑은 고딕" w:eastAsia="맑은 고딕" w:hAnsi="맑은 고딕"/>
          <w:b/>
          <w:bCs/>
          <w:sz w:val="23"/>
          <w:szCs w:val="23"/>
        </w:rPr>
        <w:t xml:space="preserve">12.3 Domain Knowledge</w:t>
      </w:r>
    </w:p>
    <w:p>
      <w:pPr>
        <w:shd w:fill="F4F4F4" w:val="clear"/>
        <w:spacing w:after="100" w:before="100" w:line="280"/>
        <w:ind w:left="240"/>
      </w:pPr>
      <w:r>
        <w:rPr>
          <w:rFonts w:ascii="Consolas" w:cs="Consolas" w:eastAsia="Consolas" w:hAnsi="Consolas"/>
          <w:color w:val="303030"/>
          <w:sz w:val="18"/>
          <w:szCs w:val="18"/>
        </w:rPr>
        <w:t xml:space="preserve">{ "domain": "region",
  "keywords": ["河南人", "东北人", "井盖", "外地人"],
  "common_hate_strategy": ["overgeneralization", "stereotyping"],
  "recommended_counter_strategy": ["logical_refutation", "personal_counterexample"] }</w:t>
      </w:r>
    </w:p>
    <w:p>
      <w:pPr>
        <w:pStyle w:val="Heading1"/>
        <w:spacing w:after="200" w:before="360"/>
      </w:pPr>
      <w:r>
        <w:rPr>
          <w:rFonts w:ascii="맑은 고딕" w:cs="맑은 고딕" w:eastAsia="맑은 고딕" w:hAnsi="맑은 고딕"/>
          <w:b/>
          <w:bCs/>
          <w:sz w:val="32"/>
          <w:szCs w:val="32"/>
        </w:rPr>
        <w:t xml:space="preserve">13. 일정과 마일스톤 (12개월)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3726"/>
      </w:tblGrid>
      <w:tr>
        <w:trPr>
          <w:tblHeader/>
        </w:trPr>
        <w:tc>
          <w:tcPr>
            <w:tcW w:type="dxa" w:w="1300"/>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월차</w:t>
            </w:r>
          </w:p>
        </w:tc>
        <w:tc>
          <w:tcPr>
            <w:tcW w:type="dxa" w:w="4000"/>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핵심 활동</w:t>
            </w:r>
          </w:p>
        </w:tc>
        <w:tc>
          <w:tcPr>
            <w:tcW w:type="dxa" w:w="3726"/>
            <w:tcBorders>
              <w:top w:val="single" w:color="999999" w:sz="6"/>
              <w:left w:val="single" w:color="999999" w:sz="6"/>
              <w:bottom w:val="single" w:color="999999" w:sz="6"/>
              <w:right w:val="single" w:color="999999" w:sz="6"/>
            </w:tcBorders>
            <w:shd w:fill="404040" w:val="clear"/>
            <w:tcMar>
              <w:top w:type="dxa" w:w="90"/>
              <w:left w:type="dxa" w:w="120"/>
              <w:bottom w:type="dxa" w:w="90"/>
              <w:right w:type="dxa" w:w="120"/>
            </w:tcMar>
            <w:vAlign w:val="center"/>
          </w:tcPr>
          <w:p>
            <w:pPr>
              <w:jc w:val="center"/>
            </w:pPr>
            <w:r>
              <w:rPr>
                <w:rFonts w:ascii="맑은 고딕" w:cs="맑은 고딕" w:eastAsia="맑은 고딕" w:hAnsi="맑은 고딕"/>
                <w:b/>
                <w:bCs/>
                <w:color w:val="FFFFFF"/>
                <w:sz w:val="20"/>
                <w:szCs w:val="20"/>
              </w:rPr>
              <w:t xml:space="preserve">산출물</w:t>
            </w:r>
          </w:p>
        </w:tc>
      </w:tr>
      <w:tr>
        <w:tc>
          <w:tcPr>
            <w:tcW w:type="dxa" w:w="13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M1–M2</w:t>
            </w:r>
          </w:p>
        </w:tc>
        <w:tc>
          <w:tcPr>
            <w:tcW w:type="dxa" w:w="4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선행 자원 통합, GX10 환경 셋업 (DGX OS, vLLM, Unsloth)</w:t>
            </w:r>
          </w:p>
        </w:tc>
        <w:tc>
          <w:tcPr>
            <w:tcW w:type="dxa" w:w="37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zh_hate_900.csv + GX10 baseline 노트</w:t>
            </w:r>
          </w:p>
        </w:tc>
      </w:tr>
      <w:tr>
        <w:tc>
          <w:tcPr>
            <w:tcW w:type="dxa" w:w="13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M3–M4</w:t>
            </w:r>
          </w:p>
        </w:tc>
        <w:tc>
          <w:tcPr>
            <w:tcW w:type="dxa" w:w="4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전략 코드북 확정, paired dataset 어노테이션</w:t>
            </w:r>
          </w:p>
        </w:tc>
        <w:tc>
          <w:tcPr>
            <w:tcW w:type="dxa" w:w="37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HateCS-ZH v1.0 (2,000~3,500쌍)</w:t>
            </w:r>
          </w:p>
        </w:tc>
      </w:tr>
      <w:tr>
        <w:tc>
          <w:tcPr>
            <w:tcW w:type="dxa" w:w="13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M5–M6</w:t>
            </w:r>
          </w:p>
        </w:tc>
        <w:tc>
          <w:tcPr>
            <w:tcW w:type="dxa" w:w="4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조건 A/B/C 실험 (Qwen3-14B/32B, DeepSeek)</w:t>
            </w:r>
          </w:p>
        </w:tc>
        <w:tc>
          <w:tcPr>
            <w:tcW w:type="dxa" w:w="37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국내 학회 발표 (중국언어학회 등)</w:t>
            </w:r>
          </w:p>
        </w:tc>
      </w:tr>
      <w:tr>
        <w:tc>
          <w:tcPr>
            <w:tcW w:type="dxa" w:w="13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M7–M8</w:t>
            </w:r>
          </w:p>
        </w:tc>
        <w:tc>
          <w:tcPr>
            <w:tcW w:type="dxa" w:w="4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QLoRA 학습 + 조건 D 실험, 인간 평가 수행</w:t>
            </w:r>
          </w:p>
        </w:tc>
        <w:tc>
          <w:tcPr>
            <w:tcW w:type="dxa" w:w="37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QLoRA 모델, human_scores.xlsx</w:t>
            </w:r>
          </w:p>
        </w:tc>
      </w:tr>
      <w:tr>
        <w:tc>
          <w:tcPr>
            <w:tcW w:type="dxa" w:w="13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M9–M10</w:t>
            </w:r>
          </w:p>
        </w:tc>
        <w:tc>
          <w:tcPr>
            <w:tcW w:type="dxa" w:w="4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LL/KWIC/USAS 사후 분석, 사례 연구 집필</w:t>
            </w:r>
          </w:p>
        </w:tc>
        <w:tc>
          <w:tcPr>
            <w:tcW w:type="dxa" w:w="37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국제 학술지 투고 (CLD, Discourse &amp; Society)</w:t>
            </w:r>
          </w:p>
        </w:tc>
      </w:tr>
      <w:tr>
        <w:tc>
          <w:tcPr>
            <w:tcW w:type="dxa" w:w="13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bCs/>
                <w:sz w:val="20"/>
                <w:szCs w:val="20"/>
              </w:rPr>
              <w:t xml:space="preserve">M11–M12</w:t>
            </w:r>
          </w:p>
        </w:tc>
        <w:tc>
          <w:tcPr>
            <w:tcW w:type="dxa" w:w="4000"/>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오분류 사례 교정 모델, 데모 페이지, 데이터 공개</w:t>
            </w:r>
          </w:p>
        </w:tc>
        <w:tc>
          <w:tcPr>
            <w:tcW w:type="dxa" w:w="3726"/>
            <w:tcBorders>
              <w:top w:val="single" w:color="999999" w:sz="6"/>
              <w:left w:val="single" w:color="999999" w:sz="6"/>
              <w:bottom w:val="single" w:color="999999" w:sz="6"/>
              <w:right w:val="single" w:color="999999" w:sz="6"/>
            </w:tcBorders>
            <w:tcMar>
              <w:top w:type="dxa" w:w="90"/>
              <w:left w:type="dxa" w:w="120"/>
              <w:bottom w:type="dxa" w:w="90"/>
              <w:right w:type="dxa" w:w="120"/>
            </w:tcMar>
            <w:vAlign w:val="center"/>
          </w:tcPr>
          <w:p>
            <w:pPr>
              <w:jc w:val="left"/>
            </w:pPr>
            <w:r>
              <w:rPr>
                <w:rFonts w:ascii="맑은 고딕" w:cs="맑은 고딕" w:eastAsia="맑은 고딕" w:hAnsi="맑은 고딕"/>
                <w:b w:val="false"/>
                <w:bCs w:val="false"/>
                <w:sz w:val="20"/>
                <w:szCs w:val="20"/>
              </w:rPr>
              <w:t xml:space="preserve">HateCS-ZH v2.0 + GitHub 공개</w:t>
            </w:r>
          </w:p>
        </w:tc>
      </w:tr>
    </w:tbl>
    <w:p>
      <w:pPr>
        <w:pStyle w:val="Heading1"/>
        <w:spacing w:after="200" w:before="360"/>
      </w:pPr>
      <w:r>
        <w:rPr>
          <w:rFonts w:ascii="맑은 고딕" w:cs="맑은 고딕" w:eastAsia="맑은 고딕" w:hAnsi="맑은 고딕"/>
          <w:b/>
          <w:bCs/>
          <w:sz w:val="32"/>
          <w:szCs w:val="32"/>
        </w:rPr>
        <w:t xml:space="preserve">14. 연구 윤리와 안전장치</w:t>
      </w:r>
    </w:p>
    <w:p>
      <w:pPr>
        <w:spacing w:after="120" w:line="320"/>
        <w:jc w:val="both"/>
      </w:pPr>
      <w:r>
        <w:rPr>
          <w:rFonts w:ascii="맑은 고딕" w:cs="맑은 고딕" w:eastAsia="맑은 고딕" w:hAnsi="맑은 고딕"/>
          <w:sz w:val="22"/>
          <w:szCs w:val="22"/>
        </w:rPr>
        <w:t xml:space="preserve">혐오표현 연구이므로 다음 6대 원칙을 반드시 적용한다.</w:t>
      </w:r>
    </w:p>
    <w:p>
      <w:pPr>
        <w:pStyle w:val="ListParagraph"/>
        <w:numPr>
          <w:ilvl w:val="0"/>
          <w:numId w:val="3"/>
        </w:numPr>
        <w:spacing w:after="80" w:line="300"/>
      </w:pPr>
      <w:r>
        <w:rPr>
          <w:rFonts w:ascii="맑은 고딕" w:cs="맑은 고딕" w:eastAsia="맑은 고딕" w:hAnsi="맑은 고딕"/>
          <w:sz w:val="22"/>
          <w:szCs w:val="22"/>
        </w:rPr>
        <w:t xml:space="preserve">논문 본문에는 원문 혐오표현을 최소한만 제시한다.</w:t>
      </w:r>
    </w:p>
    <w:p>
      <w:pPr>
        <w:pStyle w:val="ListParagraph"/>
        <w:numPr>
          <w:ilvl w:val="0"/>
          <w:numId w:val="3"/>
        </w:numPr>
        <w:spacing w:after="80" w:line="300"/>
      </w:pPr>
      <w:r>
        <w:rPr>
          <w:rFonts w:ascii="맑은 고딕" w:cs="맑은 고딕" w:eastAsia="맑은 고딕" w:hAnsi="맑은 고딕"/>
          <w:sz w:val="22"/>
          <w:szCs w:val="22"/>
        </w:rPr>
        <w:t xml:space="preserve">심한 표현은 일부 마스킹한다 (예: 黑人 → 黑X, 直男癌 → 直男X).</w:t>
      </w:r>
    </w:p>
    <w:p>
      <w:pPr>
        <w:pStyle w:val="ListParagraph"/>
        <w:numPr>
          <w:ilvl w:val="0"/>
          <w:numId w:val="3"/>
        </w:numPr>
        <w:spacing w:after="80" w:line="300"/>
      </w:pPr>
      <w:r>
        <w:rPr>
          <w:rFonts w:ascii="맑은 고딕" w:cs="맑은 고딕" w:eastAsia="맑은 고딕" w:hAnsi="맑은 고딕"/>
          <w:sz w:val="22"/>
          <w:szCs w:val="22"/>
        </w:rPr>
        <w:t xml:space="preserve">모델 입력·출력은 연구 목적에 한정하며, 외부 노출은 차단한다.</w:t>
      </w:r>
    </w:p>
    <w:p>
      <w:pPr>
        <w:pStyle w:val="ListParagraph"/>
        <w:numPr>
          <w:ilvl w:val="0"/>
          <w:numId w:val="3"/>
        </w:numPr>
        <w:spacing w:after="80" w:line="300"/>
      </w:pPr>
      <w:r>
        <w:rPr>
          <w:rFonts w:ascii="맑은 고딕" w:cs="맑은 고딕" w:eastAsia="맑은 고딕" w:hAnsi="맑은 고딕"/>
          <w:sz w:val="22"/>
          <w:szCs w:val="22"/>
        </w:rPr>
        <w:t xml:space="preserve">생성된 CS가 새로운 혐오표현을 포함하면 자동 폐기(Qwen3Guard).</w:t>
      </w:r>
    </w:p>
    <w:p>
      <w:pPr>
        <w:pStyle w:val="ListParagraph"/>
        <w:numPr>
          <w:ilvl w:val="0"/>
          <w:numId w:val="3"/>
        </w:numPr>
        <w:spacing w:after="80" w:line="300"/>
      </w:pPr>
      <w:r>
        <w:rPr>
          <w:rFonts w:ascii="맑은 고딕" w:cs="맑은 고딕" w:eastAsia="맑은 고딕" w:hAnsi="맑은 고딕"/>
          <w:sz w:val="22"/>
          <w:szCs w:val="22"/>
        </w:rPr>
        <w:t xml:space="preserve">공개 데이터셋은 원문을 비식별화·마스킹하거나 접근 제한한다.</w:t>
      </w:r>
    </w:p>
    <w:p>
      <w:pPr>
        <w:pStyle w:val="ListParagraph"/>
        <w:numPr>
          <w:ilvl w:val="0"/>
          <w:numId w:val="3"/>
        </w:numPr>
        <w:spacing w:after="80" w:line="300"/>
      </w:pPr>
      <w:r>
        <w:rPr>
          <w:rFonts w:ascii="맑은 고딕" w:cs="맑은 고딕" w:eastAsia="맑은 고딕" w:hAnsi="맑은 고딕"/>
          <w:sz w:val="22"/>
          <w:szCs w:val="22"/>
        </w:rPr>
        <w:t xml:space="preserve">LLM이 혐오표현을 “더 세련되게 바꾸는” 방향으로 쓰이지 않도록 prompt를 제한한다.</w:t>
      </w:r>
    </w:p>
    <w:p>
      <w:pPr>
        <w:spacing w:after="120" w:line="320"/>
        <w:jc w:val="both"/>
      </w:pPr>
      <w:r>
        <w:rPr>
          <w:rFonts w:ascii="맑은 고딕" w:cs="맑은 고딕" w:eastAsia="맑은 고딕" w:hAnsi="맑은 고딕"/>
          <w:sz w:val="22"/>
          <w:szCs w:val="22"/>
        </w:rPr>
        <w:t xml:space="preserve">논문 본문에 “본 연구는 혐오표현 생성이 아니라 혐오표현 완화와 대응 발화 생성을 목적으로 한다”는 윤리 선언을 명시한다.</w:t>
      </w:r>
    </w:p>
    <w:p>
      <w:pPr>
        <w:pStyle w:val="Heading2"/>
        <w:spacing w:after="160" w:before="280"/>
      </w:pPr>
      <w:r>
        <w:rPr>
          <w:rFonts w:ascii="맑은 고딕" w:cs="맑은 고딕" w:eastAsia="맑은 고딕" w:hAnsi="맑은 고딕"/>
          <w:b/>
          <w:bCs/>
          <w:sz w:val="26"/>
          <w:szCs w:val="26"/>
        </w:rPr>
        <w:t xml:space="preserve">14.1 데이터 거버넌스 측면의 GX10 활용 이점</w:t>
      </w:r>
    </w:p>
    <w:p>
      <w:pPr>
        <w:spacing w:after="120" w:line="320"/>
        <w:jc w:val="both"/>
      </w:pPr>
      <w:r>
        <w:rPr>
          <w:rFonts w:ascii="맑은 고딕" w:cs="맑은 고딕" w:eastAsia="맑은 고딕" w:hAnsi="맑은 고딕"/>
          <w:sz w:val="22"/>
          <w:szCs w:val="22"/>
        </w:rPr>
        <w:t xml:space="preserve">혐오 발화·종족 비하 표현을 외부 API로 보내는 것은 윤리적·법적 부담이 크다. GX10의 로컬 처리 구조는 (i) IRB 통과를 용이하게 하고, (ii) “민감 자료를 클라우드로 보내지 않는다”는 점을 논문의 장점으로 전환한다. 오직 LLM-as-Judge 교차 검증 단계에서만 익명화된 발화 일부를 GPT-4 API로 보낸다.</w:t>
      </w:r>
    </w:p>
    <w:p>
      <w:pPr>
        <w:pStyle w:val="Heading1"/>
        <w:spacing w:after="200" w:before="360"/>
      </w:pPr>
      <w:r>
        <w:rPr>
          <w:rFonts w:ascii="맑은 고딕" w:cs="맑은 고딕" w:eastAsia="맑은 고딕" w:hAnsi="맑은 고딕"/>
          <w:b/>
          <w:bCs/>
          <w:sz w:val="32"/>
          <w:szCs w:val="32"/>
        </w:rPr>
        <w:t xml:space="preserve">15. 예상 논문 목차</w:t>
      </w:r>
    </w:p>
    <w:p>
      <w:pPr>
        <w:shd w:fill="F4F4F4" w:val="clear"/>
        <w:spacing w:after="100" w:before="100" w:line="280"/>
        <w:ind w:left="240"/>
      </w:pPr>
      <w:r>
        <w:rPr>
          <w:rFonts w:ascii="Consolas" w:cs="Consolas" w:eastAsia="Consolas" w:hAnsi="Consolas"/>
          <w:color w:val="303030"/>
          <w:sz w:val="18"/>
          <w:szCs w:val="18"/>
        </w:rPr>
        <w:t xml:space="preserve">1. Introduction
   1.1 From hate speech detection to counterspeech generation
   1.2 Research questions
2. Previous Research
   2.1 Chinese online hate speech
   2.2 CounterSpeech and anti-hate narratives
   2.3 LLM-based text generation and safety
3. Theoretical Framework
   3.1 Stance-taking
   3.2 Indexicality
   3.3 Enregisterment
   3.4 CounterSpeech strategies
4. Data and Methodology
   4.1 Hate speech corpus
   4.2 CounterSpeech strategy annotation
   4.3 Local LLM environment: ASUS GX10 / DGX Spark
   4.4 Models and generation settings
   4.5 Evaluation metrics
5. Results
   5.1 Overall model performance
   5.2 Domain-based differences (gender / race / region)
   5.3 Strategy-based differences
   5.4 RAG and QLoRA effects
6. Linguistic Discussion
   6.1 CounterSpeech as stance realignment
   6.2 From hate register to inclusive register
   6.3 Limits of LLM-generated CounterSpeech
7. Conclusion</w:t>
      </w:r>
    </w:p>
    <w:p>
      <w:pPr>
        <w:pStyle w:val="Heading1"/>
        <w:spacing w:after="200" w:before="360"/>
      </w:pPr>
      <w:r>
        <w:rPr>
          <w:rFonts w:ascii="맑은 고딕" w:cs="맑은 고딕" w:eastAsia="맑은 고딕" w:hAnsi="맑은 고딕"/>
          <w:b/>
          <w:bCs/>
          <w:sz w:val="32"/>
          <w:szCs w:val="32"/>
        </w:rPr>
        <w:t xml:space="preserve">16. 연구의 기여</w:t>
      </w:r>
    </w:p>
    <w:p>
      <w:pPr>
        <w:pStyle w:val="Heading2"/>
        <w:spacing w:after="160" w:before="280"/>
      </w:pPr>
      <w:r>
        <w:rPr>
          <w:rFonts w:ascii="맑은 고딕" w:cs="맑은 고딕" w:eastAsia="맑은 고딕" w:hAnsi="맑은 고딕"/>
          <w:b/>
          <w:bCs/>
          <w:sz w:val="26"/>
          <w:szCs w:val="26"/>
        </w:rPr>
        <w:t xml:space="preserve">16.1 학문적 기여</w:t>
      </w:r>
    </w:p>
    <w:p>
      <w:pPr>
        <w:pStyle w:val="ListParagraph"/>
        <w:numPr>
          <w:ilvl w:val="0"/>
          <w:numId w:val="3"/>
        </w:numPr>
        <w:spacing w:after="80" w:line="300"/>
      </w:pPr>
      <w:r>
        <w:rPr>
          <w:rFonts w:ascii="맑은 고딕" w:cs="맑은 고딕" w:eastAsia="맑은 고딕" w:hAnsi="맑은 고딕"/>
          <w:sz w:val="22"/>
          <w:szCs w:val="22"/>
        </w:rPr>
        <w:t xml:space="preserve">중국어 CounterSpeech 생성의 언어학적 평가틀 제시 — 사회언어학 이론을 평가 지표로 변환한 최초의 연구</w:t>
      </w:r>
    </w:p>
    <w:p>
      <w:pPr>
        <w:pStyle w:val="ListParagraph"/>
        <w:numPr>
          <w:ilvl w:val="0"/>
          <w:numId w:val="3"/>
        </w:numPr>
        <w:spacing w:after="80" w:line="300"/>
      </w:pPr>
      <w:r>
        <w:rPr>
          <w:rFonts w:ascii="맑은 고딕" w:cs="맑은 고딕" w:eastAsia="맑은 고딕" w:hAnsi="맑은 고딕"/>
          <w:sz w:val="22"/>
          <w:szCs w:val="22"/>
        </w:rPr>
        <w:t xml:space="preserve">혐오표현 분석 연구를 생성형 AI 연구로 확장 — 분석에서 생성으로의 전환</w:t>
      </w:r>
    </w:p>
    <w:p>
      <w:pPr>
        <w:pStyle w:val="ListParagraph"/>
        <w:numPr>
          <w:ilvl w:val="0"/>
          <w:numId w:val="3"/>
        </w:numPr>
        <w:spacing w:after="80" w:line="300"/>
      </w:pPr>
      <w:r>
        <w:rPr>
          <w:rFonts w:ascii="맑은 고딕" w:cs="맑은 고딕" w:eastAsia="맑은 고딕" w:hAnsi="맑은 고딕"/>
          <w:sz w:val="22"/>
          <w:szCs w:val="22"/>
        </w:rPr>
        <w:t xml:space="preserve">LLM을 사회언어학적 실험 도구이자 관찰 대상으로 활용 — 이중 회로(double loop) 방법론</w:t>
      </w:r>
    </w:p>
    <w:p>
      <w:pPr>
        <w:pStyle w:val="ListParagraph"/>
        <w:numPr>
          <w:ilvl w:val="0"/>
          <w:numId w:val="3"/>
        </w:numPr>
        <w:spacing w:after="80" w:line="300"/>
      </w:pPr>
      <w:r>
        <w:rPr>
          <w:rFonts w:ascii="맑은 고딕" w:cs="맑은 고딕" w:eastAsia="맑은 고딕" w:hAnsi="맑은 고딕"/>
          <w:sz w:val="22"/>
          <w:szCs w:val="22"/>
        </w:rPr>
        <w:t xml:space="preserve">GX10 기반 로컬 LLM 연구의 재현 가능한 방법론 제시 — 개인 AI 실험실의 가능성 입증</w:t>
      </w:r>
    </w:p>
    <w:p>
      <w:pPr>
        <w:pStyle w:val="ListParagraph"/>
        <w:numPr>
          <w:ilvl w:val="0"/>
          <w:numId w:val="3"/>
        </w:numPr>
        <w:spacing w:after="80" w:line="300"/>
      </w:pPr>
      <w:r>
        <w:rPr>
          <w:rFonts w:ascii="맑은 고딕" w:cs="맑은 고딕" w:eastAsia="맑은 고딕" w:hAnsi="맑은 고딕"/>
          <w:sz w:val="22"/>
          <w:szCs w:val="22"/>
        </w:rPr>
        <w:t xml:space="preserve">중국어 온라인 담화의 갈등 완화 전략의 실증 분석 — “3부작 완성”의 마지막 조각</w:t>
      </w:r>
    </w:p>
    <w:p>
      <w:pPr>
        <w:pStyle w:val="Heading2"/>
        <w:spacing w:after="160" w:before="280"/>
      </w:pPr>
      <w:r>
        <w:rPr>
          <w:rFonts w:ascii="맑은 고딕" w:cs="맑은 고딕" w:eastAsia="맑은 고딕" w:hAnsi="맑은 고딕"/>
          <w:b/>
          <w:bCs/>
          <w:sz w:val="26"/>
          <w:szCs w:val="26"/>
        </w:rPr>
        <w:t xml:space="preserve">16.2 사회적 기여</w:t>
      </w:r>
    </w:p>
    <w:p>
      <w:pPr>
        <w:pStyle w:val="ListParagraph"/>
        <w:numPr>
          <w:ilvl w:val="0"/>
          <w:numId w:val="2"/>
        </w:numPr>
        <w:spacing w:after="80" w:line="300"/>
      </w:pPr>
      <w:r>
        <w:rPr>
          <w:rFonts w:ascii="맑은 고딕" w:cs="맑은 고딕" w:eastAsia="맑은 고딕" w:hAnsi="맑은 고딕"/>
          <w:sz w:val="22"/>
          <w:szCs w:val="22"/>
        </w:rPr>
        <w:t xml:space="preserve">플랫폼 모더레이션이 활용 가능한 CS 생성 컴포넌트 공개</w:t>
      </w:r>
    </w:p>
    <w:p>
      <w:pPr>
        <w:pStyle w:val="ListParagraph"/>
        <w:numPr>
          <w:ilvl w:val="0"/>
          <w:numId w:val="2"/>
        </w:numPr>
        <w:spacing w:after="80" w:line="300"/>
      </w:pPr>
      <w:r>
        <w:rPr>
          <w:rFonts w:ascii="맑은 고딕" w:cs="맑은 고딕" w:eastAsia="맑은 고딕" w:hAnsi="맑은 고딕"/>
          <w:sz w:val="22"/>
          <w:szCs w:val="22"/>
        </w:rPr>
        <w:t xml:space="preserve">미디어 리터러시 교육용 사례집 — 학생이 직접 CS 전략을 학습할 수 있는 예시 라이브러리</w:t>
      </w:r>
    </w:p>
    <w:p>
      <w:pPr>
        <w:pStyle w:val="Heading1"/>
        <w:spacing w:after="200" w:before="360"/>
      </w:pPr>
      <w:r>
        <w:rPr>
          <w:rFonts w:ascii="맑은 고딕" w:cs="맑은 고딕" w:eastAsia="맑은 고딕" w:hAnsi="맑은 고딕"/>
          <w:b/>
          <w:bCs/>
          <w:sz w:val="32"/>
          <w:szCs w:val="32"/>
        </w:rPr>
        <w:t xml:space="preserve">17. 최종 추천: 첫 실험 — Chinese CounterSpeech-GX10 Pilot</w:t>
      </w:r>
    </w:p>
    <w:p>
      <w:pPr>
        <w:shd w:fill="F4F4F4" w:val="clear"/>
        <w:spacing w:after="100" w:before="100" w:line="280"/>
        <w:ind w:left="240"/>
      </w:pPr>
      <w:r>
        <w:rPr>
          <w:rFonts w:ascii="Consolas" w:cs="Consolas" w:eastAsia="Consolas" w:hAnsi="Consolas"/>
          <w:color w:val="303030"/>
          <w:sz w:val="18"/>
          <w:szCs w:val="18"/>
        </w:rPr>
        <w:t xml:space="preserve">데이터:  중국어 혐오표현 300문장 (성별 100 + 종족 100 + 지역 100)
영역:    성별 / 종족·국적 / 지역
전략:    논리 반박 / 적극적 재구성 / 사실 응답 (+ 7개 세부 전략)
모델:    Qwen3-14B / Qwen3-32B / DeepSeek-R1-Distill-Qwen-32B
조건:    Zero-shot / Strategy-controlled / RAG-assisted ( + QLoRA )
평가:    자동(LLM-as-Judge) + 인간(모어 화자 3인) + 사회언어학(LL/KWIC)
산출:    학회 발표 1회 + 국내 학술지 1편 + 데이터셋 v1 공개</w:t>
      </w:r>
    </w:p>
    <w:p>
      <w:pPr>
        <w:spacing w:after="120" w:line="320"/>
        <w:jc w:val="both"/>
      </w:pPr>
      <w:r>
        <w:rPr>
          <w:rFonts w:ascii="맑은 고딕" w:cs="맑은 고딕" w:eastAsia="맑은 고딕" w:hAnsi="맑은 고딕"/>
          <w:b/>
          <w:bCs/>
          <w:sz w:val="22"/>
          <w:szCs w:val="22"/>
        </w:rPr>
        <w:t xml:space="preserve">한 줄로 정리하면 — 본 연구는 본 연구자의 기존 혐오표현 연구를 “분석 중심”에서 “대응 발화 생성과 사회적 완화 전략”으로 확장하는 가장 자연스럽고 강한 후속 연구이며, GX10을 활용하면 API 의존 없이 로컬에서 생성·RAG·QLoRA·평가까지 모두 닫히는 “개인 AI 실험실 기반 계산사회언어학” 연구가 가능하다.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77777"/>
        <w:sz w:val="18"/>
        <w:szCs w:val="18"/>
      </w:rPr>
      <w:t xml:space="preserve">— </w:t>
    </w:r>
    <w:r>
      <w:rPr>
        <w:rFonts w:ascii="맑은 고딕" w:cs="맑은 고딕" w:eastAsia="맑은 고딕" w:hAnsi="맑은 고딕"/>
        <w:color w:val="777777"/>
        <w:sz w:val="18"/>
        <w:szCs w:val="18"/>
      </w:rPr>
      <w:fldChar w:fldCharType="begin"/>
      <w:instrText xml:space="preserve">PAGE</w:instrText>
      <w:fldChar w:fldCharType="separate"/>
      <w:fldChar w:fldCharType="end"/>
    </w:r>
    <w:r>
      <w:rPr>
        <w:rFonts w:ascii="맑은 고딕" w:cs="맑은 고딕" w:eastAsia="맑은 고딕" w:hAnsi="맑은 고딕"/>
        <w:color w:val="777777"/>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777777"/>
        <w:sz w:val="18"/>
        <w:szCs w:val="18"/>
      </w:rPr>
      <w:t xml:space="preserve">Chinese CounterSpeech-GX10 Experiment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5B6"/>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중국어 CounterSpeech 생성 실험 (v2)</dc:title>
  <dc:creator>박민준</dc:creator>
  <cp:lastModifiedBy>Un-named</cp:lastModifiedBy>
  <cp:revision>1</cp:revision>
  <dcterms:created xsi:type="dcterms:W3CDTF">2026-05-12T11:59:37.812Z</dcterms:created>
  <dcterms:modified xsi:type="dcterms:W3CDTF">2026-05-12T11:59:37.812Z</dcterms:modified>
</cp:coreProperties>
</file>

<file path=docProps/custom.xml><?xml version="1.0" encoding="utf-8"?>
<Properties xmlns="http://schemas.openxmlformats.org/officeDocument/2006/custom-properties" xmlns:vt="http://schemas.openxmlformats.org/officeDocument/2006/docPropsVTypes"/>
</file>