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00" w:after="283"/>
        <w:jc w:val="both"/>
        <w:rPr>
          <w:rFonts w:ascii="Google Sans Flex;Google Sans;Helvetica Neue;sans-serif" w:hAnsi="Google Sans Flex;Google Sans;Helvetica Neue;sans-serif"/>
          <w:b/>
          <w:spacing w:val="0"/>
          <w:sz w:val="33"/>
        </w:rPr>
      </w:pPr>
      <w:r>
        <w:rPr>
          <w:rFonts w:ascii="Google Sans Flex;Google Sans;Helvetica Neue;sans-serif" w:hAnsi="Google Sans Flex;Google Sans;Helvetica Neue;sans-serif"/>
          <w:b/>
          <w:spacing w:val="0"/>
          <w:sz w:val="33"/>
        </w:rPr>
        <w:t>Review</w:t>
      </w:r>
    </w:p>
    <w:p>
      <w:pPr>
        <w:sectPr>
          <w:type w:val="nextPage"/>
          <w:pgSz w:w="12240" w:h="15840"/>
          <w:pgMar w:left="1800" w:right="1800" w:gutter="0" w:header="0" w:top="1440" w:footer="0" w:bottom="1440"/>
          <w:pgNumType w:fmt="decimal"/>
          <w:formProt w:val="false"/>
          <w:textDirection w:val="lrTb"/>
          <w:docGrid w:type="default" w:linePitch="360" w:charSpace="4096"/>
        </w:sectPr>
      </w:pPr>
    </w:p>
    <w:p>
      <w:pPr>
        <w:pStyle w:val="BodyText"/>
        <w:spacing w:lineRule="auto" w:line="420" w:before="0" w:after="240"/>
        <w:ind w:hanging="0"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spacing w:val="0"/>
          <w:sz w:val="20"/>
          <w:szCs w:val="20"/>
        </w:rPr>
        <w:t>Project Title:</w:t>
      </w:r>
      <w:r>
        <w:rPr>
          <w:rFonts w:ascii="Google Sans Flex;Google Sans;Helvetica Neue;sans-serif" w:hAnsi="Google Sans Flex;Google Sans;Helvetica Neue;sans-serif"/>
          <w:b w:val="false"/>
          <w:spacing w:val="0"/>
          <w:sz w:val="20"/>
          <w:szCs w:val="20"/>
        </w:rPr>
        <w:t xml:space="preserve"> Multi-Fidelity 3D Aero Surrogate</w:t>
      </w:r>
    </w:p>
    <w:p>
      <w:pPr>
        <w:pStyle w:val="Heading2"/>
        <w:spacing w:lineRule="atLeast" w:line="420" w:before="420" w:after="120"/>
        <w:ind w:hanging="0" w:left="0" w:right="0"/>
        <w:rPr>
          <w:sz w:val="20"/>
          <w:szCs w:val="20"/>
        </w:rPr>
      </w:pPr>
      <w:r>
        <w:rPr>
          <w:rFonts w:ascii="Google Sans Flex;Google Sans;Helvetica Neue;sans-serif" w:hAnsi="Google Sans Flex;Google Sans;Helvetica Neue;sans-serif"/>
          <w:b/>
          <w:spacing w:val="0"/>
          <w:sz w:val="20"/>
          <w:szCs w:val="20"/>
        </w:rPr>
        <w:t>1. Executive Summary</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 xml:space="preserve">This report defines the architecture for an aerodynamic surrogate platform designed to bridge the gap between </w:t>
      </w:r>
      <w:r>
        <w:rPr>
          <w:rFonts w:ascii="Google Sans Flex;Google Sans;Helvetica Neue;sans-serif" w:hAnsi="Google Sans Flex;Google Sans;Helvetica Neue;sans-serif"/>
          <w:b/>
          <w:spacing w:val="0"/>
          <w:sz w:val="20"/>
          <w:szCs w:val="20"/>
        </w:rPr>
        <w:t>Blended Wing Bodies (BWB)</w:t>
      </w:r>
      <w:r>
        <w:rPr>
          <w:rFonts w:ascii="Google Sans Flex;Google Sans;Helvetica Neue;sans-serif" w:hAnsi="Google Sans Flex;Google Sans;Helvetica Neue;sans-serif"/>
          <w:b w:val="false"/>
          <w:spacing w:val="0"/>
          <w:sz w:val="20"/>
          <w:szCs w:val="20"/>
        </w:rPr>
        <w:t xml:space="preserve"> and </w:t>
      </w:r>
      <w:r>
        <w:rPr>
          <w:rFonts w:ascii="Google Sans Flex;Google Sans;Helvetica Neue;sans-serif" w:hAnsi="Google Sans Flex;Google Sans;Helvetica Neue;sans-serif"/>
          <w:b/>
          <w:spacing w:val="0"/>
          <w:sz w:val="20"/>
          <w:szCs w:val="20"/>
        </w:rPr>
        <w:t>Conventional Fixed-Wing</w:t>
      </w:r>
      <w:r>
        <w:rPr>
          <w:rFonts w:ascii="Google Sans Flex;Google Sans;Helvetica Neue;sans-serif" w:hAnsi="Google Sans Flex;Google Sans;Helvetica Neue;sans-serif"/>
          <w:b w:val="false"/>
          <w:spacing w:val="0"/>
          <w:sz w:val="20"/>
          <w:szCs w:val="20"/>
        </w:rPr>
        <w:t xml:space="preserve"> UAVs. The system operates in two modes: </w:t>
      </w:r>
      <w:r>
        <w:rPr>
          <w:rFonts w:ascii="Google Sans Flex;Google Sans;Helvetica Neue;sans-serif" w:hAnsi="Google Sans Flex;Google Sans;Helvetica Neue;sans-serif"/>
          <w:b/>
          <w:spacing w:val="0"/>
          <w:sz w:val="20"/>
          <w:szCs w:val="20"/>
        </w:rPr>
        <w:t>Inverse Design</w:t>
      </w:r>
      <w:r>
        <w:rPr>
          <w:rFonts w:ascii="Google Sans Flex;Google Sans;Helvetica Neue;sans-serif" w:hAnsi="Google Sans Flex;Google Sans;Helvetica Neue;sans-serif"/>
          <w:b w:val="false"/>
          <w:spacing w:val="0"/>
          <w:sz w:val="20"/>
          <w:szCs w:val="20"/>
        </w:rPr>
        <w:t xml:space="preserve"> (finding the best wing for a mission) and </w:t>
      </w:r>
      <w:r>
        <w:rPr>
          <w:rFonts w:ascii="Google Sans Flex;Google Sans;Helvetica Neue;sans-serif" w:hAnsi="Google Sans Flex;Google Sans;Helvetica Neue;sans-serif"/>
          <w:b/>
          <w:spacing w:val="0"/>
          <w:sz w:val="20"/>
          <w:szCs w:val="20"/>
        </w:rPr>
        <w:t>Forward Analysis</w:t>
      </w:r>
      <w:r>
        <w:rPr>
          <w:rFonts w:ascii="Google Sans Flex;Google Sans;Helvetica Neue;sans-serif" w:hAnsi="Google Sans Flex;Google Sans;Helvetica Neue;sans-serif"/>
          <w:b w:val="false"/>
          <w:spacing w:val="0"/>
          <w:sz w:val="20"/>
          <w:szCs w:val="20"/>
        </w:rPr>
        <w:t xml:space="preserve"> (predicting physics for a user-provided mesh). The core strategy relies on a </w:t>
      </w:r>
      <w:r>
        <w:rPr>
          <w:rFonts w:ascii="Google Sans Flex;Google Sans;Helvetica Neue;sans-serif" w:hAnsi="Google Sans Flex;Google Sans;Helvetica Neue;sans-serif"/>
          <w:b/>
          <w:spacing w:val="0"/>
          <w:sz w:val="20"/>
          <w:szCs w:val="20"/>
        </w:rPr>
        <w:t>Hybrid Input Vector</w:t>
      </w:r>
      <w:r>
        <w:rPr>
          <w:rFonts w:ascii="Google Sans Flex;Google Sans;Helvetica Neue;sans-serif" w:hAnsi="Google Sans Flex;Google Sans;Helvetica Neue;sans-serif"/>
          <w:b w:val="false"/>
          <w:spacing w:val="0"/>
          <w:sz w:val="20"/>
          <w:szCs w:val="20"/>
        </w:rPr>
        <w:t xml:space="preserve"> (Planform + CST) and a </w:t>
      </w:r>
      <w:r>
        <w:rPr>
          <w:rFonts w:ascii="Google Sans Flex;Google Sans;Helvetica Neue;sans-serif" w:hAnsi="Google Sans Flex;Google Sans;Helvetica Neue;sans-serif"/>
          <w:b/>
          <w:spacing w:val="0"/>
          <w:sz w:val="20"/>
          <w:szCs w:val="20"/>
        </w:rPr>
        <w:t>Multi-Fidelity Training</w:t>
      </w:r>
      <w:r>
        <w:rPr>
          <w:rFonts w:ascii="Google Sans Flex;Google Sans;Helvetica Neue;sans-serif" w:hAnsi="Google Sans Flex;Google Sans;Helvetica Neue;sans-serif"/>
          <w:b w:val="false"/>
          <w:spacing w:val="0"/>
          <w:sz w:val="20"/>
          <w:szCs w:val="20"/>
        </w:rPr>
        <w:t xml:space="preserve"> pipeline to ensure high accuracy with minimal CFD cost.</w:t>
      </w:r>
    </w:p>
    <w:p>
      <w:pPr>
        <w:pStyle w:val="HorizontalLine"/>
        <w:spacing w:lineRule="auto" w:line="420"/>
        <w:rPr>
          <w:sz w:val="20"/>
          <w:szCs w:val="20"/>
        </w:rPr>
      </w:pPr>
      <w:r>
        <w:rPr>
          <w:sz w:val="20"/>
          <w:szCs w:val="20"/>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2. Geometric Representation: The Hybrid Input Stack</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To represent the transition from a wide, integrated body (BWB) to a slender wing, we use a two-part input vector. This separates "global layout" from "local curvature."</w:t>
      </w:r>
    </w:p>
    <w:p>
      <w:pPr>
        <w:pStyle w:val="Heading3"/>
        <w:spacing w:lineRule="atLeast" w:line="360" w:before="420" w:after="12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Component 1: Planform Parameters (The "Skeleton")</w:t>
      </w:r>
    </w:p>
    <w:p>
      <w:pPr>
        <w:pStyle w:val="BodyText"/>
        <w:numPr>
          <w:ilvl w:val="0"/>
          <w:numId w:val="7"/>
        </w:numPr>
        <w:tabs>
          <w:tab w:val="clear" w:pos="720"/>
          <w:tab w:val="left" w:pos="0" w:leader="none"/>
        </w:tabs>
        <w:spacing w:lineRule="auto" w:line="288" w:before="120" w:after="120"/>
        <w:ind w:hanging="283"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spacing w:val="0"/>
          <w:sz w:val="20"/>
          <w:szCs w:val="20"/>
        </w:rPr>
        <w:t>Variables:</w:t>
      </w:r>
      <w:r>
        <w:rPr>
          <w:rFonts w:ascii="Google Sans Flex;Google Sans;Helvetica Neue;sans-serif" w:hAnsi="Google Sans Flex;Google Sans;Helvetica Neue;sans-serif"/>
          <w:b w:val="false"/>
          <w:spacing w:val="0"/>
          <w:sz w:val="20"/>
          <w:szCs w:val="20"/>
        </w:rPr>
        <w:t xml:space="preserve"> Wingspan (</w:t>
      </w:r>
      <w:r>
        <w:rPr>
          <w:rFonts w:ascii="KaTeX Math" w:hAnsi="KaTeX Math"/>
          <w:b w:val="false"/>
          <w:i/>
          <w:caps w:val="false"/>
          <w:smallCaps w:val="false"/>
          <w:spacing w:val="0"/>
          <w:sz w:val="20"/>
          <w:szCs w:val="20"/>
        </w:rPr>
        <w:t>b</w:t>
      </w:r>
      <w:r>
        <w:rPr>
          <w:rFonts w:ascii="Google Sans Flex;Google Sans;Helvetica Neue;sans-serif" w:hAnsi="Google Sans Flex;Google Sans;Helvetica Neue;sans-serif"/>
          <w:b w:val="false"/>
          <w:spacing w:val="0"/>
          <w:sz w:val="20"/>
          <w:szCs w:val="20"/>
        </w:rPr>
        <w:t>), Aspect Ratio (</w:t>
      </w:r>
      <w:r>
        <w:rPr>
          <w:rFonts w:ascii="KaTeX Math" w:hAnsi="KaTeX Math"/>
          <w:b w:val="false"/>
          <w:i/>
          <w:caps w:val="false"/>
          <w:smallCaps w:val="false"/>
          <w:spacing w:val="0"/>
          <w:sz w:val="20"/>
          <w:szCs w:val="20"/>
        </w:rPr>
        <w:t>AR</w:t>
      </w:r>
      <w:r>
        <w:rPr>
          <w:rFonts w:ascii="Google Sans Flex;Google Sans;Helvetica Neue;sans-serif" w:hAnsi="Google Sans Flex;Google Sans;Helvetica Neue;sans-serif"/>
          <w:b w:val="false"/>
          <w:spacing w:val="0"/>
          <w:sz w:val="20"/>
          <w:szCs w:val="20"/>
        </w:rPr>
        <w:t>), Taper Ratio (</w:t>
      </w:r>
      <w:r>
        <w:rPr>
          <w:rFonts w:ascii="KaTeX Math" w:hAnsi="KaTeX Math"/>
          <w:b w:val="false"/>
          <w:i/>
          <w:caps w:val="false"/>
          <w:smallCaps w:val="false"/>
          <w:spacing w:val="0"/>
          <w:sz w:val="20"/>
          <w:szCs w:val="20"/>
        </w:rPr>
        <w:t>λ</w:t>
      </w:r>
      <w:r>
        <w:rPr>
          <w:rFonts w:ascii="Google Sans Flex;Google Sans;Helvetica Neue;sans-serif" w:hAnsi="Google Sans Flex;Google Sans;Helvetica Neue;sans-serif"/>
          <w:b w:val="false"/>
          <w:spacing w:val="0"/>
          <w:sz w:val="20"/>
          <w:szCs w:val="20"/>
        </w:rPr>
        <w:t>), Sweep Angle (</w:t>
      </w:r>
      <w:r>
        <w:rPr>
          <w:rFonts w:ascii="KaTeX Main;Times New Roman;serif" w:hAnsi="KaTeX Main;Times New Roman;serif"/>
          <w:b w:val="false"/>
          <w:i w:val="false"/>
          <w:caps w:val="false"/>
          <w:smallCaps w:val="false"/>
          <w:spacing w:val="0"/>
          <w:sz w:val="20"/>
          <w:szCs w:val="20"/>
        </w:rPr>
        <w:t>Λ</w:t>
      </w:r>
      <w:r>
        <w:rPr>
          <w:rFonts w:ascii="Google Sans Flex;Google Sans;Helvetica Neue;sans-serif" w:hAnsi="Google Sans Flex;Google Sans;Helvetica Neue;sans-serif"/>
          <w:b w:val="false"/>
          <w:spacing w:val="0"/>
          <w:sz w:val="20"/>
          <w:szCs w:val="20"/>
        </w:rPr>
        <w:t>), and Dihedral (</w:t>
      </w:r>
      <w:r>
        <w:rPr>
          <w:rFonts w:ascii="KaTeX Main;Times New Roman;serif" w:hAnsi="KaTeX Main;Times New Roman;serif"/>
          <w:b w:val="false"/>
          <w:i w:val="false"/>
          <w:caps w:val="false"/>
          <w:smallCaps w:val="false"/>
          <w:spacing w:val="0"/>
          <w:sz w:val="20"/>
          <w:szCs w:val="20"/>
        </w:rPr>
        <w:t>Γ</w:t>
      </w:r>
      <w:r>
        <w:rPr>
          <w:rFonts w:ascii="Google Sans Flex;Google Sans;Helvetica Neue;sans-serif" w:hAnsi="Google Sans Flex;Google Sans;Helvetica Neue;sans-serif"/>
          <w:b w:val="false"/>
          <w:spacing w:val="0"/>
          <w:sz w:val="20"/>
          <w:szCs w:val="20"/>
        </w:rPr>
        <w:t>).</w:t>
      </w:r>
    </w:p>
    <w:p>
      <w:pPr>
        <w:pStyle w:val="BodyText"/>
        <w:numPr>
          <w:ilvl w:val="0"/>
          <w:numId w:val="7"/>
        </w:numPr>
        <w:tabs>
          <w:tab w:val="clear" w:pos="720"/>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spacing w:val="0"/>
          <w:sz w:val="20"/>
          <w:szCs w:val="20"/>
        </w:rPr>
        <w:t>Role:</w:t>
      </w:r>
      <w:r>
        <w:rPr>
          <w:rFonts w:ascii="Google Sans Flex;Google Sans;Helvetica Neue;sans-serif" w:hAnsi="Google Sans Flex;Google Sans;Helvetica Neue;sans-serif"/>
          <w:b w:val="false"/>
          <w:spacing w:val="0"/>
          <w:sz w:val="20"/>
          <w:szCs w:val="20"/>
        </w:rPr>
        <w:t xml:space="preserve"> These define the macroscopic layout. By providing these as explicit inputs, the AI does not have to "deduce" the wing size from abstract coefficients, improving interpolation stability.</w:t>
      </w:r>
    </w:p>
    <w:p>
      <w:pPr>
        <w:pStyle w:val="Heading3"/>
        <w:spacing w:lineRule="atLeast" w:line="360" w:before="420" w:after="12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Component 2: 3D Class Shape Transformation (The "DNA")</w:t>
      </w:r>
    </w:p>
    <w:p>
      <w:pPr>
        <w:pStyle w:val="BodyText"/>
        <w:numPr>
          <w:ilvl w:val="0"/>
          <w:numId w:val="8"/>
        </w:numPr>
        <w:tabs>
          <w:tab w:val="clear" w:pos="720"/>
          <w:tab w:val="left" w:pos="0" w:leader="none"/>
        </w:tabs>
        <w:spacing w:lineRule="auto" w:line="288" w:before="120" w:after="120"/>
        <w:ind w:hanging="283" w:left="0" w:right="0"/>
        <w:jc w:val="left"/>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spacing w:val="0"/>
          <w:sz w:val="20"/>
          <w:szCs w:val="20"/>
        </w:rPr>
        <w:t>Variables:</w:t>
      </w:r>
      <w:r>
        <w:rPr>
          <w:rFonts w:ascii="Google Sans Flex;Google Sans;Helvetica Neue;sans-serif" w:hAnsi="Google Sans Flex;Google Sans;Helvetica Neue;sans-serif"/>
          <w:b w:val="false"/>
          <w:spacing w:val="0"/>
          <w:sz w:val="20"/>
          <w:szCs w:val="20"/>
        </w:rPr>
        <w:t xml:space="preserve"> A matrix of Bernstein polynomial coefficients (</w:t>
      </w:r>
      <w:r>
        <w:rPr>
          <w:rFonts w:ascii="KaTeX Math" w:hAnsi="KaTeX Math"/>
          <w:b w:val="false"/>
          <w:i/>
          <w:caps w:val="false"/>
          <w:smallCaps w:val="false"/>
          <w:spacing w:val="0"/>
          <w:sz w:val="20"/>
          <w:szCs w:val="20"/>
        </w:rPr>
        <w:t>Bi</w:t>
      </w:r>
      <w:r>
        <w:rPr>
          <w:rFonts w:ascii="KaTeX Main;Times New Roman;serif" w:hAnsi="KaTeX Main;Times New Roman;serif"/>
          <w:b w:val="false"/>
          <w:i w:val="false"/>
          <w:caps w:val="false"/>
          <w:smallCaps w:val="false"/>
          <w:spacing w:val="0"/>
          <w:sz w:val="20"/>
          <w:szCs w:val="20"/>
        </w:rPr>
        <w:t>,</w:t>
      </w:r>
      <w:r>
        <w:rPr>
          <w:rFonts w:ascii="KaTeX Math" w:hAnsi="KaTeX Math"/>
          <w:b w:val="false"/>
          <w:i/>
          <w:caps w:val="false"/>
          <w:smallCaps w:val="false"/>
          <w:spacing w:val="0"/>
          <w:sz w:val="20"/>
          <w:szCs w:val="20"/>
        </w:rPr>
        <w:t>j</w:t>
      </w:r>
      <w:r>
        <w:rPr>
          <w:rFonts w:ascii="KaTeX Main;Times New Roman;serif" w:hAnsi="KaTeX Main;Times New Roman;serif"/>
          <w:b w:val="false"/>
          <w:i w:val="false"/>
          <w:caps w:val="false"/>
          <w:smallCaps w:val="false"/>
          <w:spacing w:val="0"/>
          <w:sz w:val="20"/>
          <w:szCs w:val="20"/>
        </w:rPr>
        <w:t>​</w:t>
      </w:r>
      <w:r>
        <w:rPr>
          <w:rFonts w:ascii="Google Sans Flex;Google Sans;Helvetica Neue;sans-serif" w:hAnsi="Google Sans Flex;Google Sans;Helvetica Neue;sans-serif"/>
          <w:b w:val="false"/>
          <w:spacing w:val="0"/>
          <w:sz w:val="20"/>
          <w:szCs w:val="20"/>
        </w:rPr>
        <w:t>).</w:t>
      </w:r>
    </w:p>
    <w:p>
      <w:pPr>
        <w:pStyle w:val="BodyText"/>
        <w:numPr>
          <w:ilvl w:val="0"/>
          <w:numId w:val="8"/>
        </w:numPr>
        <w:tabs>
          <w:tab w:val="clear" w:pos="720"/>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spacing w:val="0"/>
          <w:sz w:val="20"/>
          <w:szCs w:val="20"/>
        </w:rPr>
        <w:t>Role:</w:t>
      </w:r>
      <w:r>
        <w:rPr>
          <w:rFonts w:ascii="Google Sans Flex;Google Sans;Helvetica Neue;sans-serif" w:hAnsi="Google Sans Flex;Google Sans;Helvetica Neue;sans-serif"/>
          <w:b w:val="false"/>
          <w:spacing w:val="0"/>
          <w:sz w:val="20"/>
          <w:szCs w:val="20"/>
        </w:rPr>
        <w:t xml:space="preserve"> Defines the cross-sectional thickness, camber, and spanwise twist distribution.</w:t>
      </w:r>
    </w:p>
    <w:p>
      <w:pPr>
        <w:pStyle w:val="BodyText"/>
        <w:numPr>
          <w:ilvl w:val="0"/>
          <w:numId w:val="8"/>
        </w:numPr>
        <w:tabs>
          <w:tab w:val="clear" w:pos="720"/>
          <w:tab w:val="left" w:pos="0" w:leader="none"/>
        </w:tabs>
        <w:spacing w:lineRule="auto" w:line="288" w:before="120" w:after="120"/>
        <w:ind w:hanging="283"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spacing w:val="0"/>
          <w:sz w:val="20"/>
          <w:szCs w:val="20"/>
        </w:rPr>
        <w:t>The "BWB" Advantage:</w:t>
      </w:r>
      <w:r>
        <w:rPr>
          <w:rFonts w:ascii="Google Sans Flex;Google Sans;Helvetica Neue;sans-serif" w:hAnsi="Google Sans Flex;Google Sans;Helvetica Neue;sans-serif"/>
          <w:b w:val="false"/>
          <w:spacing w:val="0"/>
          <w:sz w:val="20"/>
          <w:szCs w:val="20"/>
        </w:rPr>
        <w:t xml:space="preserve"> CST is a continuous mathematical function. It allows the center of the aircraft to "bulge" into a fuselage or "thin" into a wing within a single unified coordinate system (</w:t>
      </w:r>
      <w:r>
        <w:rPr>
          <w:rFonts w:ascii="KaTeX Math" w:hAnsi="KaTeX Math"/>
          <w:b w:val="false"/>
          <w:i/>
          <w:caps w:val="false"/>
          <w:smallCaps w:val="false"/>
          <w:spacing w:val="0"/>
          <w:sz w:val="20"/>
          <w:szCs w:val="20"/>
        </w:rPr>
        <w:t>u</w:t>
      </w:r>
      <w:r>
        <w:rPr>
          <w:rFonts w:ascii="KaTeX Main;Times New Roman;serif" w:hAnsi="KaTeX Main;Times New Roman;serif"/>
          <w:b w:val="false"/>
          <w:i w:val="false"/>
          <w:caps w:val="false"/>
          <w:smallCaps w:val="false"/>
          <w:spacing w:val="0"/>
          <w:sz w:val="20"/>
          <w:szCs w:val="20"/>
        </w:rPr>
        <w:t>,</w:t>
      </w:r>
      <w:r>
        <w:rPr>
          <w:rFonts w:ascii="KaTeX Math" w:hAnsi="KaTeX Math"/>
          <w:b w:val="false"/>
          <w:i/>
          <w:caps w:val="false"/>
          <w:smallCaps w:val="false"/>
          <w:spacing w:val="0"/>
          <w:sz w:val="20"/>
          <w:szCs w:val="20"/>
        </w:rPr>
        <w:t>v</w:t>
      </w:r>
      <w:r>
        <w:rPr>
          <w:rFonts w:ascii="Google Sans Flex;Google Sans;Helvetica Neue;sans-serif" w:hAnsi="Google Sans Flex;Google Sans;Helvetica Neue;sans-serif"/>
          <w:b w:val="false"/>
          <w:spacing w:val="0"/>
          <w:sz w:val="20"/>
          <w:szCs w:val="20"/>
        </w:rPr>
        <w:t>).</w:t>
      </w:r>
    </w:p>
    <w:p>
      <w:pPr>
        <w:pStyle w:val="HorizontalLine"/>
        <w:spacing w:lineRule="auto" w:line="420"/>
        <w:rPr>
          <w:sz w:val="20"/>
          <w:szCs w:val="20"/>
        </w:rPr>
      </w:pPr>
      <w:r>
        <w:rPr>
          <w:sz w:val="20"/>
          <w:szCs w:val="20"/>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3. The Multi-Fidelity (MF) Learning Strategy</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 xml:space="preserve">High-fidelity CFD is too expensive to sample the entire design space. We use a </w:t>
      </w:r>
      <w:r>
        <w:rPr>
          <w:rFonts w:ascii="Google Sans Flex;Google Sans;Helvetica Neue;sans-serif" w:hAnsi="Google Sans Flex;Google Sans;Helvetica Neue;sans-serif"/>
          <w:b/>
          <w:spacing w:val="0"/>
          <w:sz w:val="20"/>
          <w:szCs w:val="20"/>
        </w:rPr>
        <w:t>Hierarchical Delta-Learning</w:t>
      </w:r>
      <w:r>
        <w:rPr>
          <w:rFonts w:ascii="Google Sans Flex;Google Sans;Helvetica Neue;sans-serif" w:hAnsi="Google Sans Flex;Google Sans;Helvetica Neue;sans-serif"/>
          <w:b w:val="false"/>
          <w:spacing w:val="0"/>
          <w:sz w:val="20"/>
          <w:szCs w:val="20"/>
        </w:rPr>
        <w:t xml:space="preserve"> approach.</w:t>
      </w:r>
    </w:p>
    <w:p>
      <w:pPr>
        <w:pStyle w:val="Heading3"/>
        <w:spacing w:lineRule="atLeast" w:line="360" w:before="420" w:after="12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The Fidelity Split</w:t>
      </w:r>
    </w:p>
    <w:p>
      <w:pPr>
        <w:pStyle w:val="BodyText"/>
        <w:numPr>
          <w:ilvl w:val="0"/>
          <w:numId w:val="9"/>
        </w:numPr>
        <w:tabs>
          <w:tab w:val="clear" w:pos="720"/>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spacing w:val="0"/>
          <w:sz w:val="20"/>
          <w:szCs w:val="20"/>
        </w:rPr>
        <w:t>Low-Fidelity (VLM - 80% of data):</w:t>
      </w:r>
      <w:r>
        <w:rPr>
          <w:rFonts w:ascii="Google Sans Flex;Google Sans;Helvetica Neue;sans-serif" w:hAnsi="Google Sans Flex;Google Sans;Helvetica Neue;sans-serif"/>
          <w:b w:val="false"/>
          <w:spacing w:val="0"/>
          <w:sz w:val="20"/>
          <w:szCs w:val="20"/>
        </w:rPr>
        <w:t xml:space="preserve"> 2,000+ samples. Provides the "trend." It teaches the AI the linear lift-slope and basic induced drag patterns.</w:t>
      </w:r>
    </w:p>
    <w:p>
      <w:pPr>
        <w:pStyle w:val="BodyText"/>
        <w:numPr>
          <w:ilvl w:val="0"/>
          <w:numId w:val="9"/>
        </w:numPr>
        <w:tabs>
          <w:tab w:val="clear" w:pos="720"/>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spacing w:val="0"/>
          <w:sz w:val="20"/>
          <w:szCs w:val="20"/>
        </w:rPr>
        <w:t>High-Fidelity (CFD - 20% of data):</w:t>
      </w:r>
      <w:r>
        <w:rPr>
          <w:rFonts w:ascii="Google Sans Flex;Google Sans;Helvetica Neue;sans-serif" w:hAnsi="Google Sans Flex;Google Sans;Helvetica Neue;sans-serif"/>
          <w:b w:val="false"/>
          <w:spacing w:val="0"/>
          <w:sz w:val="20"/>
          <w:szCs w:val="20"/>
        </w:rPr>
        <w:t xml:space="preserve"> 100–300 samples. Provides the "correction." It teaches the AI about viscous drag, flow separation at the BWB-wing junction, and transonic shockwaves.</w:t>
      </w:r>
    </w:p>
    <w:p>
      <w:pPr>
        <w:pStyle w:val="Heading3"/>
        <w:spacing w:lineRule="atLeast" w:line="360" w:before="420" w:after="12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The "Delta" Architecture</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The model is trained to predict:</w:t>
      </w:r>
    </w:p>
    <w:p>
      <w:pPr>
        <w:pStyle w:val="BodyText"/>
        <w:spacing w:lineRule="auto" w:line="288"/>
        <w:ind w:hanging="0" w:left="0" w:right="0"/>
        <w:jc w:val="left"/>
        <w:rPr>
          <w:rFonts w:ascii="KaTeX Main;Times New Roman;serif" w:hAnsi="KaTeX Main;Times New Roman;serif"/>
          <w:b w:val="false"/>
          <w:i w:val="false"/>
          <w:i w:val="false"/>
          <w:caps w:val="false"/>
          <w:smallCaps w:val="false"/>
          <w:spacing w:val="0"/>
          <w:sz w:val="20"/>
          <w:szCs w:val="20"/>
        </w:rPr>
      </w:pPr>
      <w:r>
        <w:rPr>
          <w:rFonts w:ascii="KaTeX Math" w:hAnsi="KaTeX Math"/>
          <w:b w:val="false"/>
          <w:i/>
          <w:caps w:val="false"/>
          <w:smallCaps w:val="false"/>
          <w:spacing w:val="0"/>
          <w:sz w:val="20"/>
          <w:szCs w:val="20"/>
        </w:rPr>
        <w:t>Result</w:t>
      </w:r>
      <w:r>
        <w:rPr>
          <w:rFonts w:ascii="KaTeX Main;Times New Roman;serif" w:hAnsi="KaTeX Main;Times New Roman;serif"/>
          <w:b w:val="false"/>
          <w:i w:val="false"/>
          <w:caps w:val="false"/>
          <w:smallCaps w:val="false"/>
          <w:spacing w:val="0"/>
          <w:sz w:val="20"/>
          <w:szCs w:val="20"/>
        </w:rPr>
        <w:t>=</w:t>
      </w:r>
      <w:r>
        <w:rPr>
          <w:rFonts w:ascii="KaTeX Math" w:hAnsi="KaTeX Math"/>
          <w:b w:val="false"/>
          <w:i/>
          <w:caps w:val="false"/>
          <w:smallCaps w:val="false"/>
          <w:spacing w:val="0"/>
          <w:sz w:val="20"/>
          <w:szCs w:val="20"/>
        </w:rPr>
        <w:t>ModelVLM</w:t>
      </w:r>
      <w:r>
        <w:rPr>
          <w:rFonts w:ascii="KaTeX Main;Times New Roman;serif" w:hAnsi="KaTeX Main;Times New Roman;serif"/>
          <w:b w:val="false"/>
          <w:i w:val="false"/>
          <w:caps w:val="false"/>
          <w:smallCaps w:val="false"/>
          <w:spacing w:val="0"/>
          <w:sz w:val="20"/>
          <w:szCs w:val="20"/>
        </w:rPr>
        <w:t>​(</w:t>
      </w:r>
      <w:r>
        <w:rPr>
          <w:rFonts w:ascii="KaTeX Math" w:hAnsi="KaTeX Math"/>
          <w:b w:val="false"/>
          <w:i/>
          <w:caps w:val="false"/>
          <w:smallCaps w:val="false"/>
          <w:spacing w:val="0"/>
          <w:sz w:val="20"/>
          <w:szCs w:val="20"/>
        </w:rPr>
        <w:t>X</w:t>
      </w:r>
      <w:r>
        <w:rPr>
          <w:rFonts w:ascii="KaTeX Main;Times New Roman;serif" w:hAnsi="KaTeX Main;Times New Roman;serif"/>
          <w:b w:val="false"/>
          <w:i w:val="false"/>
          <w:caps w:val="false"/>
          <w:smallCaps w:val="false"/>
          <w:spacing w:val="0"/>
          <w:sz w:val="20"/>
          <w:szCs w:val="20"/>
        </w:rPr>
        <w:t>)+Δ</w:t>
      </w:r>
      <w:r>
        <w:rPr>
          <w:rFonts w:ascii="KaTeX Math" w:hAnsi="KaTeX Math"/>
          <w:b w:val="false"/>
          <w:i/>
          <w:caps w:val="false"/>
          <w:smallCaps w:val="false"/>
          <w:spacing w:val="0"/>
          <w:sz w:val="20"/>
          <w:szCs w:val="20"/>
        </w:rPr>
        <w:t>Error</w:t>
      </w:r>
      <w:r>
        <w:rPr>
          <w:rFonts w:ascii="KaTeX Main;Times New Roman;serif" w:hAnsi="KaTeX Main;Times New Roman;serif"/>
          <w:b w:val="false"/>
          <w:i w:val="false"/>
          <w:caps w:val="false"/>
          <w:smallCaps w:val="false"/>
          <w:spacing w:val="0"/>
          <w:sz w:val="20"/>
          <w:szCs w:val="20"/>
        </w:rPr>
        <w:t>​(</w:t>
      </w:r>
      <w:r>
        <w:rPr>
          <w:rFonts w:ascii="KaTeX Math" w:hAnsi="KaTeX Math"/>
          <w:b w:val="false"/>
          <w:i/>
          <w:caps w:val="false"/>
          <w:smallCaps w:val="false"/>
          <w:spacing w:val="0"/>
          <w:sz w:val="20"/>
          <w:szCs w:val="20"/>
        </w:rPr>
        <w:t>X</w:t>
      </w:r>
      <w:r>
        <w:rPr>
          <w:rFonts w:ascii="KaTeX Main;Times New Roman;serif" w:hAnsi="KaTeX Main;Times New Roman;serif"/>
          <w:b w:val="false"/>
          <w:i w:val="false"/>
          <w:caps w:val="false"/>
          <w:smallCaps w:val="false"/>
          <w:spacing w:val="0"/>
          <w:sz w:val="20"/>
          <w:szCs w:val="20"/>
        </w:rPr>
        <w:t>)</w:t>
      </w:r>
    </w:p>
    <w:p>
      <w:pPr>
        <w:pStyle w:val="BodyText"/>
        <w:spacing w:lineRule="auto" w:line="288" w:before="0" w:after="240"/>
        <w:ind w:hanging="0" w:left="0" w:right="0"/>
        <w:jc w:val="left"/>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 xml:space="preserve">Where </w:t>
      </w:r>
      <w:r>
        <w:rPr>
          <w:rFonts w:ascii="KaTeX Main;Times New Roman;serif" w:hAnsi="KaTeX Main;Times New Roman;serif"/>
          <w:b w:val="false"/>
          <w:i w:val="false"/>
          <w:caps w:val="false"/>
          <w:smallCaps w:val="false"/>
          <w:spacing w:val="0"/>
          <w:sz w:val="20"/>
          <w:szCs w:val="20"/>
        </w:rPr>
        <w:t>Δ</w:t>
      </w:r>
      <w:r>
        <w:rPr>
          <w:rFonts w:ascii="KaTeX Math" w:hAnsi="KaTeX Math"/>
          <w:b w:val="false"/>
          <w:i/>
          <w:caps w:val="false"/>
          <w:smallCaps w:val="false"/>
          <w:spacing w:val="0"/>
          <w:sz w:val="20"/>
          <w:szCs w:val="20"/>
        </w:rPr>
        <w:t>Error</w:t>
      </w:r>
      <w:r>
        <w:rPr>
          <w:rFonts w:ascii="KaTeX Main;Times New Roman;serif" w:hAnsi="KaTeX Main;Times New Roman;serif"/>
          <w:b w:val="false"/>
          <w:i w:val="false"/>
          <w:caps w:val="false"/>
          <w:smallCaps w:val="false"/>
          <w:spacing w:val="0"/>
          <w:sz w:val="20"/>
          <w:szCs w:val="20"/>
        </w:rPr>
        <w:t>​</w:t>
      </w:r>
      <w:r>
        <w:rPr>
          <w:rFonts w:ascii="Google Sans Flex;Google Sans;Helvetica Neue;sans-serif" w:hAnsi="Google Sans Flex;Google Sans;Helvetica Neue;sans-serif"/>
          <w:b w:val="false"/>
          <w:spacing w:val="0"/>
          <w:sz w:val="20"/>
          <w:szCs w:val="20"/>
        </w:rPr>
        <w:t xml:space="preserve"> is the specific difference between VLM and CFD. This ensures that even with few CFD runs, the model remains physically grounded by the VLM's global trends.</w:t>
      </w:r>
    </w:p>
    <w:p>
      <w:pPr>
        <w:pStyle w:val="HorizontalLine"/>
        <w:spacing w:lineRule="auto" w:line="420"/>
        <w:rPr>
          <w:sz w:val="20"/>
          <w:szCs w:val="20"/>
        </w:rPr>
      </w:pPr>
      <w:r>
        <w:rPr>
          <w:sz w:val="20"/>
          <w:szCs w:val="20"/>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4. Operational Pipelines</w:t>
      </w:r>
    </w:p>
    <w:p>
      <w:pPr>
        <w:pStyle w:val="Heading3"/>
        <w:spacing w:lineRule="atLeast" w:line="360" w:before="420" w:after="12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Pipeline A: Optimization (Requirements → Best Wing)</w:t>
      </w:r>
    </w:p>
    <w:p>
      <w:pPr>
        <w:pStyle w:val="BodyText"/>
        <w:numPr>
          <w:ilvl w:val="0"/>
          <w:numId w:val="10"/>
        </w:numPr>
        <w:tabs>
          <w:tab w:val="clear" w:pos="720"/>
          <w:tab w:val="left" w:pos="0" w:leader="none"/>
        </w:tabs>
        <w:spacing w:lineRule="auto" w:line="288" w:before="120" w:after="120"/>
        <w:ind w:hanging="283" w:left="0" w:right="0"/>
        <w:jc w:val="left"/>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spacing w:val="0"/>
          <w:sz w:val="20"/>
          <w:szCs w:val="20"/>
        </w:rPr>
        <w:t>User Input:</w:t>
      </w:r>
      <w:r>
        <w:rPr>
          <w:rFonts w:ascii="Google Sans Flex;Google Sans;Helvetica Neue;sans-serif" w:hAnsi="Google Sans Flex;Google Sans;Helvetica Neue;sans-serif"/>
          <w:b w:val="false"/>
          <w:spacing w:val="0"/>
          <w:sz w:val="20"/>
          <w:szCs w:val="20"/>
        </w:rPr>
        <w:t xml:space="preserve"> Target </w:t>
      </w:r>
      <w:r>
        <w:rPr>
          <w:rFonts w:ascii="KaTeX Math" w:hAnsi="KaTeX Math"/>
          <w:b w:val="false"/>
          <w:i/>
          <w:caps w:val="false"/>
          <w:smallCaps w:val="false"/>
          <w:spacing w:val="0"/>
          <w:sz w:val="20"/>
          <w:szCs w:val="20"/>
        </w:rPr>
        <w:t>CL</w:t>
      </w:r>
      <w:r>
        <w:rPr>
          <w:rFonts w:ascii="KaTeX Main;Times New Roman;serif" w:hAnsi="KaTeX Main;Times New Roman;serif"/>
          <w:b w:val="false"/>
          <w:i w:val="false"/>
          <w:caps w:val="false"/>
          <w:smallCaps w:val="false"/>
          <w:spacing w:val="0"/>
          <w:sz w:val="20"/>
          <w:szCs w:val="20"/>
        </w:rPr>
        <w:t>​</w:t>
      </w:r>
      <w:r>
        <w:rPr>
          <w:rFonts w:ascii="Google Sans Flex;Google Sans;Helvetica Neue;sans-serif" w:hAnsi="Google Sans Flex;Google Sans;Helvetica Neue;sans-serif"/>
          <w:b w:val="false"/>
          <w:spacing w:val="0"/>
          <w:sz w:val="20"/>
          <w:szCs w:val="20"/>
        </w:rPr>
        <w:t xml:space="preserve">, </w:t>
      </w:r>
      <w:r>
        <w:rPr>
          <w:rFonts w:ascii="KaTeX Math" w:hAnsi="KaTeX Math"/>
          <w:b w:val="false"/>
          <w:i/>
          <w:caps w:val="false"/>
          <w:smallCaps w:val="false"/>
          <w:spacing w:val="0"/>
          <w:sz w:val="20"/>
          <w:szCs w:val="20"/>
        </w:rPr>
        <w:t>CD</w:t>
      </w:r>
      <w:r>
        <w:rPr>
          <w:rFonts w:ascii="KaTeX Main;Times New Roman;serif" w:hAnsi="KaTeX Main;Times New Roman;serif"/>
          <w:b w:val="false"/>
          <w:i w:val="false"/>
          <w:caps w:val="false"/>
          <w:smallCaps w:val="false"/>
          <w:spacing w:val="0"/>
          <w:sz w:val="20"/>
          <w:szCs w:val="20"/>
        </w:rPr>
        <w:t>​</w:t>
      </w:r>
      <w:r>
        <w:rPr>
          <w:rFonts w:ascii="Google Sans Flex;Google Sans;Helvetica Neue;sans-serif" w:hAnsi="Google Sans Flex;Google Sans;Helvetica Neue;sans-serif"/>
          <w:b w:val="false"/>
          <w:spacing w:val="0"/>
          <w:sz w:val="20"/>
          <w:szCs w:val="20"/>
        </w:rPr>
        <w:t xml:space="preserve"> limits, and internal volume requirements.</w:t>
      </w:r>
    </w:p>
    <w:p>
      <w:pPr>
        <w:pStyle w:val="BodyText"/>
        <w:numPr>
          <w:ilvl w:val="0"/>
          <w:numId w:val="10"/>
        </w:numPr>
        <w:tabs>
          <w:tab w:val="clear" w:pos="720"/>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spacing w:val="0"/>
          <w:sz w:val="20"/>
          <w:szCs w:val="20"/>
        </w:rPr>
        <w:t>Core Model:</w:t>
      </w:r>
      <w:r>
        <w:rPr>
          <w:rFonts w:ascii="Google Sans Flex;Google Sans;Helvetica Neue;sans-serif" w:hAnsi="Google Sans Flex;Google Sans;Helvetica Neue;sans-serif"/>
          <w:b w:val="false"/>
          <w:spacing w:val="0"/>
          <w:sz w:val="20"/>
          <w:szCs w:val="20"/>
        </w:rPr>
        <w:t xml:space="preserve"> A fast </w:t>
      </w:r>
      <w:r>
        <w:rPr>
          <w:rFonts w:ascii="Google Sans Flex;Google Sans;Helvetica Neue;sans-serif" w:hAnsi="Google Sans Flex;Google Sans;Helvetica Neue;sans-serif"/>
          <w:b/>
          <w:spacing w:val="0"/>
          <w:sz w:val="20"/>
          <w:szCs w:val="20"/>
        </w:rPr>
        <w:t>Multi-Layer Perceptron (MLP)</w:t>
      </w:r>
      <w:r>
        <w:rPr>
          <w:rFonts w:ascii="Google Sans Flex;Google Sans;Helvetica Neue;sans-serif" w:hAnsi="Google Sans Flex;Google Sans;Helvetica Neue;sans-serif"/>
          <w:b w:val="false"/>
          <w:spacing w:val="0"/>
          <w:sz w:val="20"/>
          <w:szCs w:val="20"/>
        </w:rPr>
        <w:t>.</w:t>
      </w:r>
    </w:p>
    <w:p>
      <w:pPr>
        <w:pStyle w:val="BodyText"/>
        <w:numPr>
          <w:ilvl w:val="0"/>
          <w:numId w:val="10"/>
        </w:numPr>
        <w:tabs>
          <w:tab w:val="clear" w:pos="720"/>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spacing w:val="0"/>
          <w:sz w:val="20"/>
          <w:szCs w:val="20"/>
        </w:rPr>
        <w:t>Process:</w:t>
      </w:r>
      <w:r>
        <w:rPr>
          <w:rFonts w:ascii="Google Sans Flex;Google Sans;Helvetica Neue;sans-serif" w:hAnsi="Google Sans Flex;Google Sans;Helvetica Neue;sans-serif"/>
          <w:b w:val="false"/>
          <w:spacing w:val="0"/>
          <w:sz w:val="20"/>
          <w:szCs w:val="20"/>
        </w:rPr>
        <w:t xml:space="preserve"> An optimization algorithm (e.g., Genetic Algorithm or Bayesian Opt) iterates through the Input Vector. The MLP predicts the performance of 10,000 designs in seconds to find the global optimum.</w:t>
      </w:r>
    </w:p>
    <w:p>
      <w:pPr>
        <w:pStyle w:val="Heading3"/>
        <w:spacing w:lineRule="atLeast" w:line="360" w:before="420" w:after="12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Pipeline B: Analysis (Uploaded Mesh → Results)</w:t>
      </w:r>
    </w:p>
    <w:p>
      <w:pPr>
        <w:pStyle w:val="BodyText"/>
        <w:numPr>
          <w:ilvl w:val="0"/>
          <w:numId w:val="11"/>
        </w:numPr>
        <w:tabs>
          <w:tab w:val="clear" w:pos="720"/>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spacing w:val="0"/>
          <w:sz w:val="20"/>
          <w:szCs w:val="20"/>
        </w:rPr>
        <w:t>User Input:</w:t>
      </w:r>
      <w:r>
        <w:rPr>
          <w:rFonts w:ascii="Google Sans Flex;Google Sans;Helvetica Neue;sans-serif" w:hAnsi="Google Sans Flex;Google Sans;Helvetica Neue;sans-serif"/>
          <w:b w:val="false"/>
          <w:spacing w:val="0"/>
          <w:sz w:val="20"/>
          <w:szCs w:val="20"/>
        </w:rPr>
        <w:t xml:space="preserve"> Raw STL/OBJ mesh.</w:t>
      </w:r>
    </w:p>
    <w:p>
      <w:pPr>
        <w:pStyle w:val="BodyText"/>
        <w:numPr>
          <w:ilvl w:val="0"/>
          <w:numId w:val="11"/>
        </w:numPr>
        <w:tabs>
          <w:tab w:val="clear" w:pos="720"/>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spacing w:val="0"/>
          <w:sz w:val="20"/>
          <w:szCs w:val="20"/>
        </w:rPr>
        <w:t>The Fitting Step:</w:t>
      </w:r>
      <w:r>
        <w:rPr>
          <w:rFonts w:ascii="Google Sans Flex;Google Sans;Helvetica Neue;sans-serif" w:hAnsi="Google Sans Flex;Google Sans;Helvetica Neue;sans-serif"/>
          <w:b w:val="false"/>
          <w:spacing w:val="0"/>
          <w:sz w:val="20"/>
          <w:szCs w:val="20"/>
        </w:rPr>
        <w:t xml:space="preserve"> A "Reverse Engineering" algorithm fits the uploaded mesh to a </w:t>
      </w:r>
      <w:r>
        <w:rPr>
          <w:rFonts w:ascii="Google Sans Flex;Google Sans;Helvetica Neue;sans-serif" w:hAnsi="Google Sans Flex;Google Sans;Helvetica Neue;sans-serif"/>
          <w:b/>
          <w:spacing w:val="0"/>
          <w:sz w:val="20"/>
          <w:szCs w:val="20"/>
        </w:rPr>
        <w:t>3D-CST + Planform</w:t>
      </w:r>
      <w:r>
        <w:rPr>
          <w:rFonts w:ascii="Google Sans Flex;Google Sans;Helvetica Neue;sans-serif" w:hAnsi="Google Sans Flex;Google Sans;Helvetica Neue;sans-serif"/>
          <w:b w:val="false"/>
          <w:spacing w:val="0"/>
          <w:sz w:val="20"/>
          <w:szCs w:val="20"/>
        </w:rPr>
        <w:t xml:space="preserve"> vector using Least-Squares optimization.</w:t>
      </w:r>
    </w:p>
    <w:p>
      <w:pPr>
        <w:pStyle w:val="BodyText"/>
        <w:numPr>
          <w:ilvl w:val="0"/>
          <w:numId w:val="11"/>
        </w:numPr>
        <w:tabs>
          <w:tab w:val="clear" w:pos="720"/>
          <w:tab w:val="left" w:pos="0" w:leader="none"/>
        </w:tabs>
        <w:spacing w:lineRule="auto" w:line="288" w:before="120" w:after="120"/>
        <w:ind w:hanging="283" w:left="0" w:right="0"/>
        <w:jc w:val="left"/>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spacing w:val="0"/>
          <w:sz w:val="20"/>
          <w:szCs w:val="20"/>
        </w:rPr>
        <w:t>Field Prediction:</w:t>
      </w:r>
      <w:r>
        <w:rPr>
          <w:rFonts w:ascii="Google Sans Flex;Google Sans;Helvetica Neue;sans-serif" w:hAnsi="Google Sans Flex;Google Sans;Helvetica Neue;sans-serif"/>
          <w:b w:val="false"/>
          <w:spacing w:val="0"/>
          <w:sz w:val="20"/>
          <w:szCs w:val="20"/>
        </w:rPr>
        <w:t xml:space="preserve"> A </w:t>
      </w:r>
      <w:r>
        <w:rPr>
          <w:rFonts w:ascii="Google Sans Flex;Google Sans;Helvetica Neue;sans-serif" w:hAnsi="Google Sans Flex;Google Sans;Helvetica Neue;sans-serif"/>
          <w:b/>
          <w:spacing w:val="0"/>
          <w:sz w:val="20"/>
          <w:szCs w:val="20"/>
        </w:rPr>
        <w:t>Convolutional Neural Network (CNN)</w:t>
      </w:r>
      <w:r>
        <w:rPr>
          <w:rFonts w:ascii="Google Sans Flex;Google Sans;Helvetica Neue;sans-serif" w:hAnsi="Google Sans Flex;Google Sans;Helvetica Neue;sans-serif"/>
          <w:b w:val="false"/>
          <w:spacing w:val="0"/>
          <w:sz w:val="20"/>
          <w:szCs w:val="20"/>
        </w:rPr>
        <w:t xml:space="preserve"> treats the wing as a "Shared Topology" (a </w:t>
      </w:r>
      <w:r>
        <w:rPr>
          <w:rFonts w:ascii="KaTeX Main;Times New Roman;serif" w:hAnsi="KaTeX Main;Times New Roman;serif"/>
          <w:b w:val="false"/>
          <w:i w:val="false"/>
          <w:caps w:val="false"/>
          <w:smallCaps w:val="false"/>
          <w:spacing w:val="0"/>
          <w:sz w:val="20"/>
          <w:szCs w:val="20"/>
        </w:rPr>
        <w:t>64×64</w:t>
      </w:r>
      <w:r>
        <w:rPr>
          <w:rFonts w:ascii="Google Sans Flex;Google Sans;Helvetica Neue;sans-serif" w:hAnsi="Google Sans Flex;Google Sans;Helvetica Neue;sans-serif"/>
          <w:b w:val="false"/>
          <w:spacing w:val="0"/>
          <w:sz w:val="20"/>
          <w:szCs w:val="20"/>
        </w:rPr>
        <w:t xml:space="preserve"> grid). It predicts the </w:t>
      </w:r>
      <w:r>
        <w:rPr>
          <w:rFonts w:ascii="Google Sans Flex;Google Sans;Helvetica Neue;sans-serif" w:hAnsi="Google Sans Flex;Google Sans;Helvetica Neue;sans-serif"/>
          <w:b/>
          <w:spacing w:val="0"/>
          <w:sz w:val="20"/>
          <w:szCs w:val="20"/>
        </w:rPr>
        <w:t>Pressure Field (</w:t>
      </w:r>
      <w:r>
        <w:rPr>
          <w:rFonts w:ascii="KaTeX Math" w:hAnsi="KaTeX Math"/>
          <w:b w:val="false"/>
          <w:i/>
          <w:caps w:val="false"/>
          <w:smallCaps w:val="false"/>
          <w:spacing w:val="0"/>
          <w:sz w:val="20"/>
          <w:szCs w:val="20"/>
        </w:rPr>
        <w:t>Cp</w:t>
      </w:r>
      <w:r>
        <w:rPr>
          <w:rFonts w:ascii="KaTeX Main;Times New Roman;serif" w:hAnsi="KaTeX Main;Times New Roman;serif"/>
          <w:b w:val="false"/>
          <w:i w:val="false"/>
          <w:caps w:val="false"/>
          <w:smallCaps w:val="false"/>
          <w:spacing w:val="0"/>
          <w:sz w:val="20"/>
          <w:szCs w:val="20"/>
        </w:rPr>
        <w:t>​</w:t>
      </w:r>
      <w:r>
        <w:rPr>
          <w:rFonts w:ascii="Google Sans Flex;Google Sans;Helvetica Neue;sans-serif" w:hAnsi="Google Sans Flex;Google Sans;Helvetica Neue;sans-serif"/>
          <w:b/>
          <w:spacing w:val="0"/>
          <w:sz w:val="20"/>
          <w:szCs w:val="20"/>
        </w:rPr>
        <w:t>)</w:t>
      </w:r>
      <w:r>
        <w:rPr>
          <w:rFonts w:ascii="Google Sans Flex;Google Sans;Helvetica Neue;sans-serif" w:hAnsi="Google Sans Flex;Google Sans;Helvetica Neue;sans-serif"/>
          <w:b w:val="false"/>
          <w:spacing w:val="0"/>
          <w:sz w:val="20"/>
          <w:szCs w:val="20"/>
        </w:rPr>
        <w:t xml:space="preserve"> across the surface, which is then re-projected back onto the user's original STL.</w:t>
      </w:r>
    </w:p>
    <w:p>
      <w:pPr>
        <w:pStyle w:val="HorizontalLine"/>
        <w:spacing w:lineRule="auto" w:line="420"/>
        <w:rPr>
          <w:sz w:val="20"/>
          <w:szCs w:val="20"/>
        </w:rPr>
      </w:pPr>
      <w:r>
        <w:rPr>
          <w:sz w:val="20"/>
          <w:szCs w:val="20"/>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5. Critical Technical Risks &amp; Mitigation</w:t>
      </w:r>
    </w:p>
    <w:tbl>
      <w:tblPr>
        <w:tblW w:w="8640" w:type="dxa"/>
        <w:jc w:val="left"/>
        <w:tblInd w:w="28" w:type="dxa"/>
        <w:tblLayout w:type="fixed"/>
        <w:tblCellMar>
          <w:top w:w="28" w:type="dxa"/>
          <w:left w:w="28" w:type="dxa"/>
          <w:bottom w:w="28" w:type="dxa"/>
          <w:right w:w="28" w:type="dxa"/>
        </w:tblCellMar>
      </w:tblPr>
      <w:tblGrid>
        <w:gridCol w:w="2324"/>
        <w:gridCol w:w="3006"/>
        <w:gridCol w:w="3310"/>
      </w:tblGrid>
      <w:tr>
        <w:trPr>
          <w:tblHeader w:val="true"/>
        </w:trPr>
        <w:tc>
          <w:tcPr>
            <w:tcW w:w="2324" w:type="dxa"/>
            <w:tcBorders/>
            <w:vAlign w:val="center"/>
          </w:tcPr>
          <w:p>
            <w:pPr>
              <w:pStyle w:val="TableContents"/>
              <w:spacing w:lineRule="atLeast" w:line="300" w:before="0" w:after="20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Risk</w:t>
            </w:r>
          </w:p>
        </w:tc>
        <w:tc>
          <w:tcPr>
            <w:tcW w:w="3006" w:type="dxa"/>
            <w:tcBorders/>
            <w:vAlign w:val="center"/>
          </w:tcPr>
          <w:p>
            <w:pPr>
              <w:pStyle w:val="TableContents"/>
              <w:spacing w:lineRule="atLeast" w:line="300" w:before="0" w:after="20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Description</w:t>
            </w:r>
          </w:p>
        </w:tc>
        <w:tc>
          <w:tcPr>
            <w:tcW w:w="3310" w:type="dxa"/>
            <w:tcBorders/>
            <w:vAlign w:val="center"/>
          </w:tcPr>
          <w:p>
            <w:pPr>
              <w:pStyle w:val="TableContents"/>
              <w:spacing w:lineRule="atLeast" w:line="300" w:before="0" w:after="20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Mitigation Strategy</w:t>
            </w:r>
          </w:p>
        </w:tc>
      </w:tr>
      <w:tr>
        <w:trPr/>
        <w:tc>
          <w:tcPr>
            <w:tcW w:w="2324" w:type="dxa"/>
            <w:tcBorders/>
            <w:vAlign w:val="center"/>
          </w:tcPr>
          <w:p>
            <w:pPr>
              <w:pStyle w:val="TableContents"/>
              <w:spacing w:lineRule="atLeast" w:line="300" w:before="0" w:after="20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Representational Error</w:t>
            </w:r>
          </w:p>
        </w:tc>
        <w:tc>
          <w:tcPr>
            <w:tcW w:w="3006" w:type="dxa"/>
            <w:tcBorders/>
            <w:vAlign w:val="center"/>
          </w:tcPr>
          <w:p>
            <w:pPr>
              <w:pStyle w:val="TableContents"/>
              <w:spacing w:lineRule="atLeast" w:line="300" w:before="0" w:after="200"/>
              <w:ind w:hanging="0"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CST might "smooth out" local features (like sharp kinks) that affect drag.</w:t>
            </w:r>
          </w:p>
        </w:tc>
        <w:tc>
          <w:tcPr>
            <w:tcW w:w="3310" w:type="dxa"/>
            <w:tcBorders/>
            <w:vAlign w:val="center"/>
          </w:tcPr>
          <w:p>
            <w:pPr>
              <w:pStyle w:val="TableContents"/>
              <w:spacing w:lineRule="atLeast" w:line="300" w:before="0" w:after="200"/>
              <w:ind w:hanging="0"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Use </w:t>
            </w:r>
            <w:r>
              <w:rPr>
                <w:rFonts w:ascii="Google Sans Flex;Google Sans;Helvetica Neue;sans-serif" w:hAnsi="Google Sans Flex;Google Sans;Helvetica Neue;sans-serif"/>
                <w:b/>
                <w:spacing w:val="0"/>
                <w:sz w:val="20"/>
                <w:szCs w:val="20"/>
              </w:rPr>
              <w:t>Piecewise CST</w:t>
            </w:r>
            <w:r>
              <w:rPr>
                <w:rFonts w:ascii="Google Sans Flex;Google Sans;Helvetica Neue;sans-serif" w:hAnsi="Google Sans Flex;Google Sans;Helvetica Neue;sans-serif"/>
                <w:b w:val="false"/>
                <w:spacing w:val="0"/>
                <w:sz w:val="20"/>
                <w:szCs w:val="20"/>
              </w:rPr>
              <w:t> blocks for the center-body and outer-wing to capture localized curvature.</w:t>
            </w:r>
          </w:p>
        </w:tc>
      </w:tr>
      <w:tr>
        <w:trPr/>
        <w:tc>
          <w:tcPr>
            <w:tcW w:w="2324" w:type="dxa"/>
            <w:tcBorders/>
            <w:vAlign w:val="center"/>
          </w:tcPr>
          <w:p>
            <w:pPr>
              <w:pStyle w:val="TableContents"/>
              <w:spacing w:lineRule="atLeast" w:line="300" w:before="0" w:after="20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The Curse of Dimensionality</w:t>
            </w:r>
          </w:p>
        </w:tc>
        <w:tc>
          <w:tcPr>
            <w:tcW w:w="3006" w:type="dxa"/>
            <w:tcBorders/>
            <w:vAlign w:val="center"/>
          </w:tcPr>
          <w:p>
            <w:pPr>
              <w:pStyle w:val="TableContents"/>
              <w:spacing w:lineRule="auto" w:line="288" w:before="0" w:after="200"/>
              <w:ind w:hanging="0"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Having </w:t>
            </w:r>
            <w:r>
              <w:rPr>
                <w:rFonts w:ascii="KaTeX Main;Times New Roman;serif" w:hAnsi="KaTeX Main;Times New Roman;serif"/>
                <w:b w:val="false"/>
                <w:i w:val="false"/>
                <w:caps w:val="false"/>
                <w:smallCaps w:val="false"/>
                <w:spacing w:val="0"/>
                <w:sz w:val="20"/>
                <w:szCs w:val="20"/>
              </w:rPr>
              <w:t>&gt;50</w:t>
            </w:r>
            <w:r>
              <w:rPr>
                <w:rFonts w:ascii="Google Sans Flex;Google Sans;Helvetica Neue;sans-serif" w:hAnsi="Google Sans Flex;Google Sans;Helvetica Neue;sans-serif"/>
                <w:b w:val="false"/>
                <w:spacing w:val="0"/>
                <w:sz w:val="20"/>
                <w:szCs w:val="20"/>
              </w:rPr>
              <w:t> inputs (CST + Planform) makes the design space too large to search.</w:t>
            </w:r>
          </w:p>
        </w:tc>
        <w:tc>
          <w:tcPr>
            <w:tcW w:w="3310" w:type="dxa"/>
            <w:tcBorders/>
            <w:vAlign w:val="center"/>
          </w:tcPr>
          <w:p>
            <w:pPr>
              <w:pStyle w:val="TableContents"/>
              <w:spacing w:lineRule="atLeast" w:line="300" w:before="0" w:after="200"/>
              <w:ind w:hanging="0"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Use </w:t>
            </w:r>
            <w:r>
              <w:rPr>
                <w:rFonts w:ascii="Google Sans Flex;Google Sans;Helvetica Neue;sans-serif" w:hAnsi="Google Sans Flex;Google Sans;Helvetica Neue;sans-serif"/>
                <w:b/>
                <w:spacing w:val="0"/>
                <w:sz w:val="20"/>
                <w:szCs w:val="20"/>
              </w:rPr>
              <w:t>Active Subspaces</w:t>
            </w:r>
            <w:r>
              <w:rPr>
                <w:rFonts w:ascii="Google Sans Flex;Google Sans;Helvetica Neue;sans-serif" w:hAnsi="Google Sans Flex;Google Sans;Helvetica Neue;sans-serif"/>
                <w:b w:val="false"/>
                <w:spacing w:val="0"/>
                <w:sz w:val="20"/>
                <w:szCs w:val="20"/>
              </w:rPr>
              <w:t> to identify which 10–12 variables actually drive 90% of the performance change.</w:t>
            </w:r>
          </w:p>
        </w:tc>
      </w:tr>
      <w:tr>
        <w:trPr/>
        <w:tc>
          <w:tcPr>
            <w:tcW w:w="2324" w:type="dxa"/>
            <w:tcBorders/>
            <w:vAlign w:val="center"/>
          </w:tcPr>
          <w:p>
            <w:pPr>
              <w:pStyle w:val="TableContents"/>
              <w:spacing w:lineRule="atLeast" w:line="300" w:before="0" w:after="20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Extrapolation Failure</w:t>
            </w:r>
          </w:p>
        </w:tc>
        <w:tc>
          <w:tcPr>
            <w:tcW w:w="3006" w:type="dxa"/>
            <w:tcBorders/>
            <w:vAlign w:val="center"/>
          </w:tcPr>
          <w:p>
            <w:pPr>
              <w:pStyle w:val="TableContents"/>
              <w:spacing w:lineRule="atLeast" w:line="300" w:before="0" w:after="200"/>
              <w:ind w:hanging="0"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The AI will "hallucinate" incorrect physics if asked to predict a wing far outside the training set.</w:t>
            </w:r>
          </w:p>
        </w:tc>
        <w:tc>
          <w:tcPr>
            <w:tcW w:w="3310" w:type="dxa"/>
            <w:tcBorders/>
            <w:vAlign w:val="center"/>
          </w:tcPr>
          <w:p>
            <w:pPr>
              <w:pStyle w:val="TableContents"/>
              <w:spacing w:lineRule="atLeast" w:line="300" w:before="0" w:after="20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Implement </w:t>
            </w:r>
            <w:r>
              <w:rPr>
                <w:rFonts w:ascii="Google Sans Flex;Google Sans;Helvetica Neue;sans-serif" w:hAnsi="Google Sans Flex;Google Sans;Helvetica Neue;sans-serif"/>
                <w:b/>
                <w:spacing w:val="0"/>
                <w:sz w:val="20"/>
                <w:szCs w:val="20"/>
              </w:rPr>
              <w:t>Active Learning</w:t>
            </w:r>
            <w:r>
              <w:rPr>
                <w:rFonts w:ascii="Google Sans Flex;Google Sans;Helvetica Neue;sans-serif" w:hAnsi="Google Sans Flex;Google Sans;Helvetica Neue;sans-serif"/>
                <w:b w:val="false"/>
                <w:spacing w:val="0"/>
                <w:sz w:val="20"/>
                <w:szCs w:val="20"/>
              </w:rPr>
              <w:t>. If the model's uncertainty is high, automatically trigger a new CFD run to "fill the gap."</w:t>
            </w:r>
          </w:p>
        </w:tc>
      </w:tr>
    </w:tbl>
    <w:p>
      <w:pPr>
        <w:pStyle w:val="HorizontalLine"/>
        <w:spacing w:lineRule="auto" w:line="420"/>
        <w:rPr>
          <w:sz w:val="20"/>
          <w:szCs w:val="20"/>
        </w:rPr>
      </w:pPr>
      <w:r>
        <w:rPr>
          <w:sz w:val="20"/>
          <w:szCs w:val="20"/>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20"/>
          <w:szCs w:val="20"/>
        </w:rPr>
      </w:pPr>
      <w:r>
        <w:rPr>
          <w:rFonts w:ascii="Google Sans Flex;Google Sans;Helvetica Neue;sans-serif" w:hAnsi="Google Sans Flex;Google Sans;Helvetica Neue;sans-serif"/>
          <w:b/>
          <w:spacing w:val="0"/>
          <w:sz w:val="20"/>
          <w:szCs w:val="20"/>
        </w:rPr>
        <w:t>6. Implementation Checklist for the Team</w:t>
      </w:r>
    </w:p>
    <w:p>
      <w:pPr>
        <w:pStyle w:val="BodyText"/>
        <w:numPr>
          <w:ilvl w:val="0"/>
          <w:numId w:val="12"/>
        </w:numPr>
        <w:tabs>
          <w:tab w:val="clear" w:pos="720"/>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 xml:space="preserve">[ ] </w:t>
      </w:r>
      <w:r>
        <w:rPr>
          <w:rFonts w:ascii="Google Sans Flex;Google Sans;Helvetica Neue;sans-serif" w:hAnsi="Google Sans Flex;Google Sans;Helvetica Neue;sans-serif"/>
          <w:b/>
          <w:spacing w:val="0"/>
          <w:sz w:val="20"/>
          <w:szCs w:val="20"/>
        </w:rPr>
        <w:t>Geometry Script:</w:t>
      </w:r>
      <w:r>
        <w:rPr>
          <w:rFonts w:ascii="Google Sans Flex;Google Sans;Helvetica Neue;sans-serif" w:hAnsi="Google Sans Flex;Google Sans;Helvetica Neue;sans-serif"/>
          <w:b w:val="false"/>
          <w:spacing w:val="0"/>
          <w:sz w:val="20"/>
          <w:szCs w:val="20"/>
        </w:rPr>
        <w:t xml:space="preserve"> Develop the 3D-CST generator that accepts Planform scalars.</w:t>
      </w:r>
    </w:p>
    <w:p>
      <w:pPr>
        <w:pStyle w:val="BodyText"/>
        <w:numPr>
          <w:ilvl w:val="0"/>
          <w:numId w:val="12"/>
        </w:numPr>
        <w:tabs>
          <w:tab w:val="clear" w:pos="720"/>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 xml:space="preserve">[ ] </w:t>
      </w:r>
      <w:r>
        <w:rPr>
          <w:rFonts w:ascii="Google Sans Flex;Google Sans;Helvetica Neue;sans-serif" w:hAnsi="Google Sans Flex;Google Sans;Helvetica Neue;sans-serif"/>
          <w:b/>
          <w:spacing w:val="0"/>
          <w:sz w:val="20"/>
          <w:szCs w:val="20"/>
        </w:rPr>
        <w:t>Data Gen:</w:t>
      </w:r>
      <w:r>
        <w:rPr>
          <w:rFonts w:ascii="Google Sans Flex;Google Sans;Helvetica Neue;sans-serif" w:hAnsi="Google Sans Flex;Google Sans;Helvetica Neue;sans-serif"/>
          <w:b w:val="false"/>
          <w:spacing w:val="0"/>
          <w:sz w:val="20"/>
          <w:szCs w:val="20"/>
        </w:rPr>
        <w:t xml:space="preserve"> Set up an automated pipeline (OpenVSP for VLM, OpenFOAM/SU2 for CFD).</w:t>
      </w:r>
    </w:p>
    <w:p>
      <w:pPr>
        <w:pStyle w:val="BodyText"/>
        <w:numPr>
          <w:ilvl w:val="0"/>
          <w:numId w:val="12"/>
        </w:numPr>
        <w:tabs>
          <w:tab w:val="clear" w:pos="720"/>
          <w:tab w:val="left" w:pos="0" w:leader="none"/>
        </w:tabs>
        <w:spacing w:lineRule="auto" w:line="288" w:before="120" w:after="120"/>
        <w:ind w:hanging="283"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 xml:space="preserve">[ ] </w:t>
      </w:r>
      <w:r>
        <w:rPr>
          <w:rFonts w:ascii="Google Sans Flex;Google Sans;Helvetica Neue;sans-serif" w:hAnsi="Google Sans Flex;Google Sans;Helvetica Neue;sans-serif"/>
          <w:b/>
          <w:spacing w:val="0"/>
          <w:sz w:val="20"/>
          <w:szCs w:val="20"/>
        </w:rPr>
        <w:t>Mapping:</w:t>
      </w:r>
      <w:r>
        <w:rPr>
          <w:rFonts w:ascii="Google Sans Flex;Google Sans;Helvetica Neue;sans-serif" w:hAnsi="Google Sans Flex;Google Sans;Helvetica Neue;sans-serif"/>
          <w:b w:val="false"/>
          <w:spacing w:val="0"/>
          <w:sz w:val="20"/>
          <w:szCs w:val="20"/>
        </w:rPr>
        <w:t xml:space="preserve"> Create the "Shared Topology" mapper to turn 3D CFD results into </w:t>
      </w:r>
      <w:r>
        <w:rPr>
          <w:rFonts w:ascii="KaTeX Main;Times New Roman;serif" w:hAnsi="KaTeX Main;Times New Roman;serif"/>
          <w:b w:val="false"/>
          <w:i w:val="false"/>
          <w:caps w:val="false"/>
          <w:smallCaps w:val="false"/>
          <w:spacing w:val="0"/>
          <w:sz w:val="20"/>
          <w:szCs w:val="20"/>
        </w:rPr>
        <w:t>64×64</w:t>
      </w:r>
      <w:r>
        <w:rPr>
          <w:rFonts w:ascii="Google Sans Flex;Google Sans;Helvetica Neue;sans-serif" w:hAnsi="Google Sans Flex;Google Sans;Helvetica Neue;sans-serif"/>
          <w:b w:val="false"/>
          <w:spacing w:val="0"/>
          <w:sz w:val="20"/>
          <w:szCs w:val="20"/>
        </w:rPr>
        <w:t xml:space="preserve"> pressure images.</w:t>
      </w:r>
    </w:p>
    <w:p>
      <w:pPr>
        <w:pStyle w:val="BodyText"/>
        <w:numPr>
          <w:ilvl w:val="0"/>
          <w:numId w:val="12"/>
        </w:numPr>
        <w:tabs>
          <w:tab w:val="clear" w:pos="720"/>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 xml:space="preserve">[ ] </w:t>
      </w:r>
      <w:r>
        <w:rPr>
          <w:rFonts w:ascii="Google Sans Flex;Google Sans;Helvetica Neue;sans-serif" w:hAnsi="Google Sans Flex;Google Sans;Helvetica Neue;sans-serif"/>
          <w:b/>
          <w:spacing w:val="0"/>
          <w:sz w:val="20"/>
          <w:szCs w:val="20"/>
        </w:rPr>
        <w:t>Model Training:</w:t>
      </w:r>
      <w:r>
        <w:rPr>
          <w:rFonts w:ascii="Google Sans Flex;Google Sans;Helvetica Neue;sans-serif" w:hAnsi="Google Sans Flex;Google Sans;Helvetica Neue;sans-serif"/>
          <w:b w:val="false"/>
          <w:spacing w:val="0"/>
          <w:sz w:val="20"/>
          <w:szCs w:val="20"/>
        </w:rPr>
        <w:t xml:space="preserve"> Build the Multi-Fidelity Delta-Network in PyTorch.</w:t>
      </w:r>
    </w:p>
    <w:p>
      <w:pPr>
        <w:pStyle w:val="BodyText"/>
        <w:numPr>
          <w:ilvl w:val="0"/>
          <w:numId w:val="12"/>
        </w:numPr>
        <w:tabs>
          <w:tab w:val="clear" w:pos="720"/>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val="false"/>
          <w:spacing w:val="0"/>
          <w:sz w:val="20"/>
          <w:szCs w:val="20"/>
        </w:rPr>
        <w:t xml:space="preserve">[ ] </w:t>
      </w:r>
      <w:r>
        <w:rPr>
          <w:rFonts w:ascii="Google Sans Flex;Google Sans;Helvetica Neue;sans-serif" w:hAnsi="Google Sans Flex;Google Sans;Helvetica Neue;sans-serif"/>
          <w:b/>
          <w:spacing w:val="0"/>
          <w:sz w:val="20"/>
          <w:szCs w:val="20"/>
        </w:rPr>
        <w:t>The "Fitter":</w:t>
      </w:r>
      <w:r>
        <w:rPr>
          <w:rFonts w:ascii="Google Sans Flex;Google Sans;Helvetica Neue;sans-serif" w:hAnsi="Google Sans Flex;Google Sans;Helvetica Neue;sans-serif"/>
          <w:b w:val="false"/>
          <w:spacing w:val="0"/>
          <w:sz w:val="20"/>
          <w:szCs w:val="20"/>
        </w:rPr>
        <w:t xml:space="preserve"> Develop the STL-to-CST optimization script for user uploads.</w:t>
      </w:r>
    </w:p>
    <w:p>
      <w:pPr>
        <w:pStyle w:val="HorizontalLine"/>
        <w:spacing w:lineRule="auto" w:line="420"/>
        <w:rPr>
          <w:sz w:val="20"/>
          <w:szCs w:val="20"/>
        </w:rPr>
      </w:pPr>
      <w:r>
        <w:rPr>
          <w:sz w:val="20"/>
          <w:szCs w:val="20"/>
        </w:rPr>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0"/>
          <w:szCs w:val="20"/>
        </w:rPr>
      </w:pPr>
      <w:r>
        <w:rPr>
          <w:rFonts w:ascii="Google Sans Flex;Google Sans;Helvetica Neue;sans-serif" w:hAnsi="Google Sans Flex;Google Sans;Helvetica Neue;sans-serif"/>
          <w:b/>
          <w:spacing w:val="0"/>
          <w:sz w:val="20"/>
          <w:szCs w:val="20"/>
        </w:rPr>
        <w:t>Conclusion:</w:t>
      </w:r>
      <w:r>
        <w:rPr>
          <w:rFonts w:ascii="Google Sans Flex;Google Sans;Helvetica Neue;sans-serif" w:hAnsi="Google Sans Flex;Google Sans;Helvetica Neue;sans-serif"/>
          <w:b w:val="false"/>
          <w:spacing w:val="0"/>
          <w:sz w:val="20"/>
          <w:szCs w:val="20"/>
        </w:rPr>
        <w:t xml:space="preserve"> This architecture avoids the "Big Data" requirement of pure Graph Neural Networks while maintaining the physical rigor of CFD. By using CST as the mathematical bridge, the platform can seamlessly transition between BWB and Fixed-Wing designs, providing a truly unified design environment for the next generation of UAVs.</w:t>
      </w:r>
    </w:p>
    <w:p>
      <w:pPr>
        <w:sectPr>
          <w:type w:val="continuous"/>
          <w:pgSz w:w="12240" w:h="15840"/>
          <w:pgMar w:left="1800" w:right="1800" w:gutter="0" w:header="0" w:top="1440" w:footer="0" w:bottom="1440"/>
          <w:formProt w:val="false"/>
          <w:textDirection w:val="lrTb"/>
          <w:docGrid w:type="default" w:linePitch="360" w:charSpace="4096"/>
        </w:sectPr>
      </w:pPr>
    </w:p>
    <w:p>
      <w:pPr>
        <w:pStyle w:val="BodyText"/>
        <w:rPr/>
      </w:pPr>
      <w:r>
        <w:rP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148330"/>
                <wp:effectExtent l="0" t="0" r="0" b="0"/>
                <wp:wrapNone/>
                <wp:docPr id="1" name="Frame1"/>
                <a:graphic xmlns:a="http://schemas.openxmlformats.org/drawingml/2006/main">
                  <a:graphicData uri="http://schemas.microsoft.com/office/word/2010/wordprocessingShape">
                    <wps:wsp>
                      <wps:cNvSpPr/>
                      <wps:spPr>
                        <a:xfrm>
                          <a:off x="0" y="0"/>
                          <a:ext cx="14760" cy="3148200"/>
                        </a:xfrm>
                        <a:prstGeom prst="rect">
                          <a:avLst/>
                        </a:prstGeom>
                        <a:solidFill>
                          <a:srgbClr val="ffffff"/>
                        </a:solidFill>
                        <a:ln w="0">
                          <a:noFill/>
                        </a:ln>
                      </wps:spPr>
                      <wps:style>
                        <a:lnRef idx="0"/>
                        <a:fillRef idx="0"/>
                        <a:effectRef idx="0"/>
                        <a:fontRef idx="minor"/>
                      </wps:style>
                      <wps:txbx>
                        <w:txbxContent>
                          <w:p>
                            <w:pPr>
                              <w:pStyle w:val="Heading2"/>
                              <w:widowControl/>
                              <w:spacing w:before="200" w:after="283"/>
                              <w:ind w:hanging="0" w:left="0" w:right="0"/>
                              <w:rPr>
                                <w:rFonts w:ascii="Times New Roman" w:hAnsi="Times New Roman"/>
                                <w:b w:val="false"/>
                                <w:i w:val="false"/>
                                <w:i w:val="false"/>
                                <w:caps w:val="false"/>
                                <w:smallCaps w:val="false"/>
                                <w:color w:val="E3E3E3"/>
                                <w:spacing w:val="0"/>
                              </w:rPr>
                            </w:pPr>
                            <w:r>
                              <w:rPr>
                                <w:rFonts w:ascii="Times New Roman" w:hAnsi="Times New Roman"/>
                                <w:b w:val="false"/>
                                <w:i w:val="false"/>
                                <w:caps w:val="false"/>
                                <w:smallCaps w:val="false"/>
                                <w:color w:val="E3E3E3"/>
                                <w:spacing w:val="0"/>
                              </w:rPr>
                              <w:t>Το Gemini είπε</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0pt;margin-top:-0.05pt;width:1.1pt;height:247.85pt;mso-wrap-style:square;v-text-anchor:top;mso-position-horizontal-relative:page">
                <v:fill o:detectmouseclick="t" type="solid" color2="black"/>
                <v:stroke color="#3465a4" joinstyle="round" endcap="flat"/>
                <v:textbox>
                  <w:txbxContent>
                    <w:p>
                      <w:pPr>
                        <w:pStyle w:val="Heading2"/>
                        <w:widowControl/>
                        <w:spacing w:before="200" w:after="283"/>
                        <w:ind w:hanging="0" w:left="0" w:right="0"/>
                        <w:rPr>
                          <w:rFonts w:ascii="Times New Roman" w:hAnsi="Times New Roman"/>
                          <w:b w:val="false"/>
                          <w:i w:val="false"/>
                          <w:i w:val="false"/>
                          <w:caps w:val="false"/>
                          <w:smallCaps w:val="false"/>
                          <w:color w:val="E3E3E3"/>
                          <w:spacing w:val="0"/>
                        </w:rPr>
                      </w:pPr>
                      <w:r>
                        <w:rPr>
                          <w:rFonts w:ascii="Times New Roman" w:hAnsi="Times New Roman"/>
                          <w:b w:val="false"/>
                          <w:i w:val="false"/>
                          <w:caps w:val="false"/>
                          <w:smallCaps w:val="false"/>
                          <w:color w:val="E3E3E3"/>
                          <w:spacing w:val="0"/>
                        </w:rPr>
                        <w:t>Το Gemini είπε</w:t>
                      </w:r>
                    </w:p>
                  </w:txbxContent>
                </v:textbox>
                <w10:wrap type="none"/>
              </v:rect>
            </w:pict>
          </mc:Fallback>
        </mc:AlternateContent>
      </w:r>
    </w:p>
    <w:p>
      <w:pPr>
        <w:pStyle w:val="Normal"/>
        <w:spacing w:before="200" w:after="283"/>
        <w:jc w:val="both"/>
        <w:rPr/>
      </w:pPr>
      <w:r>
        <w:rPr/>
      </w:r>
    </w:p>
    <w:p>
      <w:pPr>
        <w:pStyle w:val="Heading1"/>
        <w:rPr/>
      </w:pPr>
      <w:r>
        <w:rPr/>
        <w:t>Considerations</w:t>
        <w:br/>
      </w:r>
    </w:p>
    <w:p>
      <w:pPr>
        <w:pStyle w:val="BodyText"/>
        <w:rPr/>
      </w:pPr>
      <w:r>
        <w:rPr/>
        <w:br/>
      </w:r>
      <w:r>
        <w:rPr/>
        <w:t xml:space="preserve">Yes — </w:t>
      </w:r>
      <w:r>
        <w:rPr>
          <w:rStyle w:val="Strong"/>
        </w:rPr>
        <w:t>for your design surrogate, using CST directly is sensible</w:t>
      </w:r>
      <w:r>
        <w:rPr/>
        <w:t>.</w:t>
        <w:br/>
        <w:t xml:space="preserve">No — </w:t>
      </w:r>
      <w:r>
        <w:rPr>
          <w:rStyle w:val="Strong"/>
        </w:rPr>
        <w:t>for a mesh GNN, replacing the encoder with CST is usually the wrong move</w:t>
      </w:r>
      <w:r>
        <w:rPr/>
        <w:t>.</w:t>
      </w:r>
    </w:p>
    <w:p>
      <w:pPr>
        <w:pStyle w:val="BodyText"/>
        <w:rPr/>
      </w:pPr>
      <w:r>
        <w:rPr/>
        <w:t>That’s the clean answer.</w:t>
      </w:r>
    </w:p>
    <w:p>
      <w:pPr>
        <w:pStyle w:val="Heading2"/>
        <w:spacing w:before="200" w:after="283"/>
        <w:rPr/>
      </w:pPr>
      <w:r>
        <w:rPr/>
        <w:t>1) Your instinct is not stupid at all</w:t>
      </w:r>
    </w:p>
    <w:p>
      <w:pPr>
        <w:pStyle w:val="BodyText"/>
        <w:rPr/>
      </w:pPr>
      <w:r>
        <w:rPr/>
        <w:t>If the geometry is already represented by:</w:t>
      </w:r>
    </w:p>
    <w:p>
      <w:pPr>
        <w:pStyle w:val="BodyText"/>
        <w:numPr>
          <w:ilvl w:val="0"/>
          <w:numId w:val="13"/>
        </w:numPr>
        <w:tabs>
          <w:tab w:val="clear" w:pos="720"/>
          <w:tab w:val="left" w:pos="0" w:leader="none"/>
        </w:tabs>
        <w:ind w:hanging="283" w:left="709"/>
        <w:rPr/>
      </w:pPr>
      <w:r>
        <w:rPr/>
        <w:t>planform scalars</w:t>
      </w:r>
    </w:p>
    <w:p>
      <w:pPr>
        <w:pStyle w:val="BodyText"/>
        <w:numPr>
          <w:ilvl w:val="0"/>
          <w:numId w:val="13"/>
        </w:numPr>
        <w:tabs>
          <w:tab w:val="clear" w:pos="720"/>
          <w:tab w:val="left" w:pos="0" w:leader="none"/>
        </w:tabs>
        <w:ind w:hanging="283" w:left="709"/>
        <w:rPr/>
      </w:pPr>
      <w:r>
        <w:rPr/>
        <w:t>CST coefficients</w:t>
      </w:r>
    </w:p>
    <w:p>
      <w:pPr>
        <w:pStyle w:val="BodyText"/>
        <w:numPr>
          <w:ilvl w:val="0"/>
          <w:numId w:val="13"/>
        </w:numPr>
        <w:tabs>
          <w:tab w:val="clear" w:pos="720"/>
          <w:tab w:val="left" w:pos="0" w:leader="none"/>
        </w:tabs>
        <w:ind w:hanging="283" w:left="709"/>
        <w:rPr/>
      </w:pPr>
      <w:r>
        <w:rPr/>
        <w:t>flow variables</w:t>
      </w:r>
    </w:p>
    <w:p>
      <w:pPr>
        <w:pStyle w:val="BodyText"/>
        <w:rPr/>
      </w:pPr>
      <w:r>
        <w:rPr/>
        <w:t xml:space="preserve">then for a </w:t>
      </w:r>
      <w:r>
        <w:rPr>
          <w:rStyle w:val="Strong"/>
        </w:rPr>
        <w:t>global surrogate</w:t>
      </w:r>
      <w:r>
        <w:rPr/>
        <w:t xml:space="preserve"> that predicts things like:</w:t>
      </w:r>
    </w:p>
    <w:p>
      <w:pPr>
        <w:pStyle w:val="BodyText"/>
        <w:numPr>
          <w:ilvl w:val="0"/>
          <w:numId w:val="14"/>
        </w:numPr>
        <w:tabs>
          <w:tab w:val="clear" w:pos="720"/>
          <w:tab w:val="left" w:pos="0" w:leader="none"/>
        </w:tabs>
        <w:ind w:hanging="283" w:left="709"/>
        <w:rPr/>
      </w:pPr>
      <w:r>
        <w:rPr/>
        <w:t>CL​</w:t>
      </w:r>
    </w:p>
    <w:p>
      <w:pPr>
        <w:pStyle w:val="BodyText"/>
        <w:numPr>
          <w:ilvl w:val="0"/>
          <w:numId w:val="14"/>
        </w:numPr>
        <w:tabs>
          <w:tab w:val="clear" w:pos="720"/>
          <w:tab w:val="left" w:pos="0" w:leader="none"/>
        </w:tabs>
        <w:ind w:hanging="283" w:left="709"/>
        <w:rPr/>
      </w:pPr>
      <w:r>
        <w:rPr/>
        <w:t>CD​</w:t>
      </w:r>
    </w:p>
    <w:p>
      <w:pPr>
        <w:pStyle w:val="BodyText"/>
        <w:numPr>
          <w:ilvl w:val="0"/>
          <w:numId w:val="14"/>
        </w:numPr>
        <w:tabs>
          <w:tab w:val="clear" w:pos="720"/>
          <w:tab w:val="left" w:pos="0" w:leader="none"/>
        </w:tabs>
        <w:ind w:hanging="283" w:left="709"/>
        <w:rPr/>
      </w:pPr>
      <w:r>
        <w:rPr/>
        <w:t>Cm​</w:t>
      </w:r>
    </w:p>
    <w:p>
      <w:pPr>
        <w:pStyle w:val="BodyText"/>
        <w:numPr>
          <w:ilvl w:val="0"/>
          <w:numId w:val="14"/>
        </w:numPr>
        <w:tabs>
          <w:tab w:val="clear" w:pos="720"/>
          <w:tab w:val="left" w:pos="0" w:leader="none"/>
        </w:tabs>
        <w:ind w:hanging="283" w:left="709"/>
        <w:rPr/>
      </w:pPr>
      <w:r>
        <w:rPr/>
        <w:t>maybe volume, static margin, etc.</w:t>
      </w:r>
    </w:p>
    <w:p>
      <w:pPr>
        <w:pStyle w:val="BodyText"/>
        <w:rPr/>
      </w:pPr>
      <w:r>
        <w:rPr/>
        <w:t>you can absolutely do:</w:t>
      </w:r>
    </w:p>
    <w:p>
      <w:pPr>
        <w:pStyle w:val="BodyText"/>
        <w:rPr/>
      </w:pPr>
      <w:r>
        <w:rPr/>
        <w:t> </w:t>
      </w:r>
      <w:r>
        <w:rPr/>
        <w:t xml:space="preserve">vars[CST+flow vars]→MLP→[CL​,CD​,Cm​] </w:t>
      </w:r>
    </w:p>
    <w:p>
      <w:pPr>
        <w:pStyle w:val="BodyText"/>
        <w:rPr/>
      </w:pPr>
      <w:r>
        <w:rPr/>
        <w:t xml:space="preserve">That is a normal and efficient architecture for conceptual design. In your case, it is probably the </w:t>
      </w:r>
      <w:r>
        <w:rPr>
          <w:rStyle w:val="Strong"/>
        </w:rPr>
        <w:t>right default</w:t>
      </w:r>
      <w:r>
        <w:rPr/>
        <w:t>.</w:t>
      </w:r>
    </w:p>
    <w:p>
      <w:pPr>
        <w:pStyle w:val="BodyText"/>
        <w:rPr/>
      </w:pPr>
      <w:r>
        <w:rPr/>
        <w:t xml:space="preserve">The trap begins only when you move to a </w:t>
      </w:r>
      <w:r>
        <w:rPr>
          <w:rStyle w:val="Strong"/>
        </w:rPr>
        <w:t>mesh-based field predictor</w:t>
      </w:r>
      <w:r>
        <w:rPr/>
        <w:t>.</w:t>
      </w:r>
    </w:p>
    <w:p>
      <w:pPr>
        <w:pStyle w:val="HorizontalLine"/>
        <w:rPr/>
      </w:pPr>
      <w:r>
        <w:rPr/>
      </w:r>
    </w:p>
    <w:p>
      <w:pPr>
        <w:pStyle w:val="Heading2"/>
        <w:spacing w:before="200" w:after="283"/>
        <w:rPr/>
      </w:pPr>
      <w:r>
        <w:rPr/>
        <w:t>2) Why CST cannot simply replace the mesh encoder in a GNN</w:t>
      </w:r>
    </w:p>
    <w:p>
      <w:pPr>
        <w:pStyle w:val="BodyText"/>
        <w:rPr/>
      </w:pPr>
      <w:r>
        <w:rPr/>
        <w:t xml:space="preserve">In a mesh GNN, the model predicts quantities </w:t>
      </w:r>
      <w:r>
        <w:rPr>
          <w:rStyle w:val="Strong"/>
        </w:rPr>
        <w:t>at many points on the surface</w:t>
      </w:r>
      <w:r>
        <w:rPr/>
        <w:t xml:space="preserve">, not just one global scalar. NVIDIA’s MeshGraphNet-style workflows operate on graphs built from geometry/mesh connectivity, where node and edge attributes are encoded before message passing. Their external aerodynamics examples target outputs such as surface pressure and wall shear, not just global coefficients. </w:t>
      </w:r>
    </w:p>
    <w:p>
      <w:pPr>
        <w:pStyle w:val="BodyText"/>
        <w:rPr/>
      </w:pPr>
      <w:r>
        <w:rPr/>
        <w:t xml:space="preserve">That means the model needs </w:t>
      </w:r>
      <w:r>
        <w:rPr>
          <w:rStyle w:val="Strong"/>
        </w:rPr>
        <w:t>local state per node</w:t>
      </w:r>
      <w:r>
        <w:rPr/>
        <w:t>.</w:t>
      </w:r>
    </w:p>
    <w:p>
      <w:pPr>
        <w:pStyle w:val="BodyText"/>
        <w:rPr/>
      </w:pPr>
      <w:r>
        <w:rPr/>
        <w:t>So each node needs something like:</w:t>
      </w:r>
    </w:p>
    <w:p>
      <w:pPr>
        <w:pStyle w:val="BodyText"/>
        <w:numPr>
          <w:ilvl w:val="0"/>
          <w:numId w:val="15"/>
        </w:numPr>
        <w:tabs>
          <w:tab w:val="clear" w:pos="720"/>
          <w:tab w:val="left" w:pos="0" w:leader="none"/>
        </w:tabs>
        <w:ind w:hanging="283" w:left="709"/>
        <w:rPr/>
      </w:pPr>
      <w:r>
        <w:rPr/>
        <w:t>where am I?</w:t>
      </w:r>
    </w:p>
    <w:p>
      <w:pPr>
        <w:pStyle w:val="BodyText"/>
        <w:numPr>
          <w:ilvl w:val="0"/>
          <w:numId w:val="15"/>
        </w:numPr>
        <w:tabs>
          <w:tab w:val="clear" w:pos="720"/>
          <w:tab w:val="left" w:pos="0" w:leader="none"/>
        </w:tabs>
        <w:ind w:hanging="283" w:left="709"/>
        <w:rPr/>
      </w:pPr>
      <w:r>
        <w:rPr/>
        <w:t>what is my normal?</w:t>
      </w:r>
    </w:p>
    <w:p>
      <w:pPr>
        <w:pStyle w:val="BodyText"/>
        <w:numPr>
          <w:ilvl w:val="0"/>
          <w:numId w:val="15"/>
        </w:numPr>
        <w:tabs>
          <w:tab w:val="clear" w:pos="720"/>
          <w:tab w:val="left" w:pos="0" w:leader="none"/>
        </w:tabs>
        <w:ind w:hanging="283" w:left="709"/>
        <w:rPr/>
      </w:pPr>
      <w:r>
        <w:rPr/>
        <w:t>who are my neighbors?</w:t>
      </w:r>
    </w:p>
    <w:p>
      <w:pPr>
        <w:pStyle w:val="BodyText"/>
        <w:numPr>
          <w:ilvl w:val="0"/>
          <w:numId w:val="15"/>
        </w:numPr>
        <w:tabs>
          <w:tab w:val="clear" w:pos="720"/>
          <w:tab w:val="left" w:pos="0" w:leader="none"/>
        </w:tabs>
        <w:ind w:hanging="283" w:left="709"/>
        <w:rPr/>
      </w:pPr>
      <w:r>
        <w:rPr/>
        <w:t>what is the flow condition?</w:t>
      </w:r>
    </w:p>
    <w:p>
      <w:pPr>
        <w:pStyle w:val="BodyText"/>
        <w:rPr/>
      </w:pPr>
      <w:r>
        <w:rPr/>
        <w:t xml:space="preserve">CST is </w:t>
      </w:r>
      <w:r>
        <w:rPr>
          <w:rStyle w:val="Strong"/>
        </w:rPr>
        <w:t>global</w:t>
      </w:r>
      <w:r>
        <w:rPr/>
        <w:t>.</w:t>
        <w:br/>
        <w:t xml:space="preserve">A node embedding is </w:t>
      </w:r>
      <w:r>
        <w:rPr>
          <w:rStyle w:val="Strong"/>
        </w:rPr>
        <w:t>local</w:t>
      </w:r>
      <w:r>
        <w:rPr/>
        <w:t>.</w:t>
      </w:r>
    </w:p>
    <w:p>
      <w:pPr>
        <w:pStyle w:val="BodyText"/>
        <w:rPr/>
      </w:pPr>
      <w:r>
        <w:rPr/>
        <w:t>Those are not interchangeable.</w:t>
      </w:r>
    </w:p>
    <w:p>
      <w:pPr>
        <w:pStyle w:val="BodyText"/>
        <w:rPr/>
      </w:pPr>
      <w:r>
        <w:rPr/>
        <w:t>If you inject the same CST vector into every node and say “done, no encoder,” you are basically forcing the model to reconstruct local geometry from a repeated global code. That is clumsy and usually wasteful.</w:t>
      </w:r>
    </w:p>
    <w:p>
      <w:pPr>
        <w:pStyle w:val="Normal"/>
        <w:spacing w:before="200" w:after="283"/>
        <w:jc w:val="both"/>
        <w:rPr/>
      </w:pPr>
      <w:r>
        <w:rPr/>
      </w:r>
    </w:p>
    <w:sectPr>
      <w:type w:val="continuous"/>
      <w:pgSz w:w="12240" w:h="15840"/>
      <w:pgMar w:left="1800" w:right="1800" w:gutter="0" w:header="0" w:top="1440" w:footer="0" w:bottom="1440"/>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Google Sans Flex">
    <w:altName w:val="Google Sans"/>
    <w:charset w:val="01"/>
    <w:family w:val="roman"/>
    <w:pitch w:val="variable"/>
  </w:font>
  <w:font w:name="KaTeX Math">
    <w:charset w:val="01"/>
    <w:family w:val="roman"/>
    <w:pitch w:val="variable"/>
  </w:font>
  <w:font w:name="KaTeX Main">
    <w:altName w:val="Times New Roman"/>
    <w:charset w:val="01"/>
    <w:family w:val="roman"/>
    <w:pitch w:val="variable"/>
  </w:font>
  <w:font w:name="Times New Roman">
    <w:charset w:val="01"/>
    <w:family w:val="roman"/>
    <w:pitch w:val="variable"/>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5</Pages>
  <Words>934</Words>
  <Characters>5014</Characters>
  <CharactersWithSpaces>6164</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2026-03-09T16:55:20Z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