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— Handling Rate Limits (HTTP 429 / ERR-RATE-429)</w:t>
      </w:r>
    </w:p>
    <w:p>
      <w:r>
        <w:t>Last updated: 2026-02-14</w:t>
      </w:r>
    </w:p>
    <w:p>
      <w:pPr>
        <w:pStyle w:val="Heading2"/>
      </w:pPr>
      <w:r>
        <w:t>Purpose</w:t>
      </w:r>
    </w:p>
    <w:p>
      <w:r>
        <w:t>Standardize Tier 1 response when connectors hit rate limiting.</w:t>
      </w:r>
    </w:p>
    <w:p>
      <w:pPr>
        <w:pStyle w:val="Heading2"/>
      </w:pPr>
      <w:r>
        <w:t>Procedure</w:t>
      </w:r>
    </w:p>
    <w:p>
      <w:r>
        <w:t>Step 1: Confirm whether error is HTTP 429 or ERR-RATE-429; capture retry-after value.</w:t>
      </w:r>
    </w:p>
    <w:p>
      <w:r>
        <w:t>Step 2: Enable exponential backoff in connector settings.</w:t>
      </w:r>
    </w:p>
    <w:p>
      <w:r>
        <w:t>Step 3: Reduce concurrency (workers/threads) and retry.</w:t>
      </w:r>
    </w:p>
    <w:p>
      <w:r>
        <w:t>Step 4: If persistent, request quota increase with evidence (RunId, timestamps, volume).</w:t>
      </w:r>
    </w:p>
    <w:p>
      <w:pPr>
        <w:pStyle w:val="Heading2"/>
      </w:pPr>
      <w:r>
        <w:t>Reference screenshot</w:t>
      </w:r>
    </w:p>
    <w:p>
      <w:r>
        <w:drawing>
          <wp:inline xmlns:a="http://schemas.openxmlformats.org/drawingml/2006/main" xmlns:pic="http://schemas.openxmlformats.org/drawingml/2006/picture">
            <wp:extent cx="5303520" cy="2981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