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SOP — Handling ToolX Login Failures (Tier 1)</w:t>
      </w:r>
    </w:p>
    <w:p>
      <w:r>
        <w:t>Last updated: 2026-02-14</w:t>
      </w:r>
    </w:p>
    <w:p>
      <w:pPr>
        <w:pStyle w:val="Heading2"/>
      </w:pPr>
      <w:r>
        <w:t>Purpose</w:t>
      </w:r>
    </w:p>
    <w:p>
      <w:r>
        <w:t>Provide a consistent Tier 1 process for resolving ToolX sign-in issues.</w:t>
      </w:r>
    </w:p>
    <w:p>
      <w:pPr>
        <w:pStyle w:val="Heading2"/>
      </w:pPr>
      <w:r>
        <w:t>Procedure</w:t>
      </w:r>
    </w:p>
    <w:p>
      <w:r>
        <w:t>Step 1: Collect the error code and TraceId from the user.</w:t>
      </w:r>
    </w:p>
    <w:p>
      <w:r>
        <w:t>Step 2: Ask the user to hard refresh (Ctrl+Shift+R).</w:t>
      </w:r>
    </w:p>
    <w:p>
      <w:r>
        <w:t>Step 3: If still failing, have user sign out and sign in again.</w:t>
      </w:r>
    </w:p>
    <w:p>
      <w:r>
        <w:t>Step 4: Check third-party cookie setting (temporary test).</w:t>
      </w:r>
    </w:p>
    <w:p>
      <w:r>
        <w:t>Step 5: If unresolved, capture browser version and environment and escalate to Tier 2.</w:t>
      </w:r>
    </w:p>
    <w:p>
      <w:pPr>
        <w:pStyle w:val="Heading2"/>
      </w:pPr>
      <w:r>
        <w:t>Reference screenshot</w:t>
      </w:r>
    </w:p>
    <w:p>
      <w:r>
        <w:drawing>
          <wp:inline xmlns:a="http://schemas.openxmlformats.org/drawingml/2006/main" xmlns:pic="http://schemas.openxmlformats.org/drawingml/2006/picture">
            <wp:extent cx="5303520" cy="2983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x_auth_4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