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spacing w:lineRule="auto" w:line="240" w:before="120" w:after="120"/>
        <w:jc w:val="center"/>
        <w:rPr/>
      </w:pPr>
      <w:r>
        <w:rPr>
          <w:rFonts w:cs="Times New Roman" w:ascii="Times New Roman" w:hAnsi="Times New Roman"/>
          <w:b/>
          <w:i w:val="0"/>
          <w:sz w:val="48"/>
        </w:rPr>
        <w:t>CareerScence: An AI-Powered Career and Placement Readiness Platform Using Retrieval-Augmented Generation</w:t>
      </w:r>
    </w:p>
    <w:tbl>
      <w:tblPr>
        <w:tblW w:w="5000" w:type="pct"/>
        <w:jc w:val="center"/>
        <w:tblInd w:w="0" w:type="dxa"/>
        <w:tblLayout w:type="autofit"/>
        <w:tblCellMar>
          <w:top w:w="0" w:type="dxa"/>
          <w:left w:w="108" w:type="dxa"/>
          <w:bottom w:w="0" w:type="dxa"/>
          <w:right w:w="108" w:type="dxa"/>
        </w:tblCellMar>
      </w:tblPr>
      <w:tblGrid>
        <w:gridCol w:w="3000"/>
        <w:gridCol w:w="3000"/>
        <w:gridCol w:w="3000"/>
      </w:tblGrid>
      <w:tr>
        <w:trPr>
          <w:cantSplit/>
        </w:trPr>
        <w:tc>
          <w:tcPr>
            <w:tcW w:w="3000" w:type="dxa"/>
          </w:tcPr>
          <w:p>
            <w:pPr>
              <w:jc w:val="center"/>
              <w:spacing w:before="0" w:after="0"/>
            </w:pPr>
            <w:r>
              <w:rPr>
                <w:rFonts w:ascii="Times New Roman" w:hAnsi="Times New Roman"/>
                <w:sz w:val="18"/>
                <w:b/>
              </w:rPr>
              <w:t>K. Sasirekha</w:t>
            </w:r>
          </w:p>
          <w:p>
            <w:pPr>
              <w:jc w:val="center"/>
              <w:spacing w:before="0" w:after="0"/>
            </w:pPr>
            <w:r>
              <w:rPr>
                <w:rFonts w:ascii="Times New Roman" w:hAnsi="Times New Roman"/>
                <w:sz w:val="18"/>
                <w:i/>
              </w:rPr>
              <w:t>Department of Master of Computer Applications</w:t>
            </w:r>
          </w:p>
          <w:p>
            <w:pPr>
              <w:jc w:val="center"/>
              <w:spacing w:before="0" w:after="0"/>
            </w:pPr>
            <w:r>
              <w:rPr>
                <w:rFonts w:ascii="Times New Roman" w:hAnsi="Times New Roman"/>
                <w:sz w:val="18"/>
                <w:i/>
              </w:rPr>
              <w:t>Sona College of Technology</w:t>
            </w:r>
          </w:p>
          <w:p>
            <w:pPr>
              <w:jc w:val="center"/>
              <w:spacing w:before="0" w:after="0"/>
            </w:pPr>
            <w:r>
              <w:rPr>
                <w:rFonts w:ascii="Times New Roman" w:hAnsi="Times New Roman"/>
                <w:sz w:val="18"/>
              </w:rPr>
              <w:t>Salem, India</w:t>
            </w:r>
          </w:p>
          <w:p>
            <w:pPr>
              <w:jc w:val="center"/>
              <w:spacing w:before="0" w:after="0"/>
            </w:pPr>
            <w:r>
              <w:rPr>
                <w:rFonts w:ascii="Times New Roman" w:hAnsi="Times New Roman"/>
                <w:sz w:val="18"/>
              </w:rPr>
              <w:t>sasirekha.mca@sonatech.ac.in</w:t>
            </w:r>
          </w:p>
        </w:tc>
        <w:tc>
          <w:tcPr>
            <w:tcW w:w="3000" w:type="dxa"/>
          </w:tcPr>
          <w:p>
            <w:pPr>
              <w:jc w:val="center"/>
              <w:spacing w:before="0" w:after="0"/>
            </w:pPr>
            <w:r>
              <w:rPr>
                <w:rFonts w:ascii="Times New Roman" w:hAnsi="Times New Roman"/>
                <w:sz w:val="18"/>
                <w:b/>
              </w:rPr>
              <w:t>Karmugilan A.S</w:t>
            </w:r>
          </w:p>
          <w:p>
            <w:pPr>
              <w:jc w:val="center"/>
              <w:spacing w:before="0" w:after="0"/>
            </w:pPr>
            <w:r>
              <w:rPr>
                <w:rFonts w:ascii="Times New Roman" w:hAnsi="Times New Roman"/>
                <w:sz w:val="18"/>
                <w:i/>
              </w:rPr>
              <w:t>Department of Master of Computer Applications</w:t>
            </w:r>
          </w:p>
          <w:p>
            <w:pPr>
              <w:jc w:val="center"/>
              <w:spacing w:before="0" w:after="0"/>
            </w:pPr>
            <w:r>
              <w:rPr>
                <w:rFonts w:ascii="Times New Roman" w:hAnsi="Times New Roman"/>
                <w:sz w:val="18"/>
                <w:i/>
              </w:rPr>
              <w:t>Sona College of Technology</w:t>
            </w:r>
          </w:p>
          <w:p>
            <w:pPr>
              <w:jc w:val="center"/>
              <w:spacing w:before="0" w:after="0"/>
            </w:pPr>
            <w:r>
              <w:rPr>
                <w:rFonts w:ascii="Times New Roman" w:hAnsi="Times New Roman"/>
                <w:sz w:val="18"/>
              </w:rPr>
              <w:t>Salem, India</w:t>
            </w:r>
          </w:p>
        </w:tc>
        <w:tc>
          <w:tcPr>
            <w:tcW w:w="3000" w:type="dxa"/>
          </w:tcPr>
          <w:p>
            <w:pPr>
              <w:jc w:val="center"/>
              <w:spacing w:before="0" w:after="0"/>
            </w:pPr>
            <w:r>
              <w:rPr>
                <w:rFonts w:ascii="Times New Roman" w:hAnsi="Times New Roman"/>
                <w:sz w:val="18"/>
                <w:b/>
              </w:rPr>
              <w:t>Lavanya M.V</w:t>
            </w:r>
          </w:p>
          <w:p>
            <w:pPr>
              <w:jc w:val="center"/>
              <w:spacing w:before="0" w:after="0"/>
            </w:pPr>
            <w:r>
              <w:rPr>
                <w:rFonts w:ascii="Times New Roman" w:hAnsi="Times New Roman"/>
                <w:sz w:val="18"/>
                <w:i/>
              </w:rPr>
              <w:t>Department of Master of Computer Applications</w:t>
            </w:r>
          </w:p>
          <w:p>
            <w:pPr>
              <w:jc w:val="center"/>
              <w:spacing w:before="0" w:after="0"/>
            </w:pPr>
            <w:r>
              <w:rPr>
                <w:rFonts w:ascii="Times New Roman" w:hAnsi="Times New Roman"/>
                <w:sz w:val="18"/>
                <w:i/>
              </w:rPr>
              <w:t>Sona College of Technology</w:t>
            </w:r>
          </w:p>
          <w:p>
            <w:pPr>
              <w:jc w:val="center"/>
              <w:spacing w:before="0" w:after="0"/>
            </w:pPr>
            <w:r>
              <w:rPr>
                <w:rFonts w:ascii="Times New Roman" w:hAnsi="Times New Roman"/>
                <w:sz w:val="18"/>
              </w:rPr>
              <w:t>Salem, India</w:t>
            </w:r>
          </w:p>
        </w:tc>
      </w:tr>
    </w:tbl>
    <w:p>
      <w:pPr>
        <w:spacing w:after="0" w:line="240" w:lineRule="auto"/>
        <w:jc w:val="both"/>
      </w:pPr>
    </w:p>
    <w:p>
      <w:pPr>
        <w:pStyle w:val="Abstract"/>
        <w:spacing w:before="120" w:after="120"/>
        <w:jc w:val="both"/>
        <w:rPr/>
      </w:pPr>
      <w:r>
        <w:rPr>
          <w:rFonts w:ascii="Times New Roman" w:hAnsi="Times New Roman"/>
          <w:b/>
          <w:sz w:val="18"/>
        </w:rPr>
        <w:t>Abstract—</w:t>
      </w:r>
      <w:r>
        <w:rPr>
          <w:rFonts w:ascii="Times New Roman" w:hAnsi="Times New Roman"/>
          <w:b w:val="0"/>
          <w:i w:val="0"/>
          <w:sz w:val="18"/>
        </w:rPr>
        <w:t>Moving from college to employment can be difficult because placement preparation is often spread across different activities, evaluation can vary between students, many students are unfamiliar with ATS-based screening, and career guidance may not be connected to institutional requirements. This paper presents CareerScence, a career and placement readiness platform developed with SvelteKit 2, Firebase, and Google Gemini 2.5 Flash. To keep generated responses connected to the available institutional material, CareerScence uses an in-engine Retrieval-Augmented Generation (RAG) pipeline based on Term Frequency (TF) vectors, cosine similarity, and metadata-based boosting. The platform brings together seven main functional areas: an ATS resume auditor with deterministic skill ingestion, dynamic five-category skill-gap analysis, an adaptive multi-round mock interview and coding evaluation portal, personalized AI career roadmapping, company-specific syllabus preparation, a deterministic composite placement readiness scoring engine, and an institutional administrative analytics suite. Functional testing was used to check structured JSON generation, readiness-score consistency in Firebase and LocalStorage modes, and RAG-based grounding in the assessment workflows.</w:t>
      </w:r>
    </w:p>
    <w:p>
      <w:pPr>
        <w:pStyle w:val="Keywords"/>
        <w:spacing w:before="60" w:after="140"/>
        <w:jc w:val="both"/>
        <w:rPr/>
        <w:sectPr>
          <w:type w:val="nextPage"/>
          <w:pgSz w:w="11906" w:h="16838"/>
          <w:pgMar w:left="893" w:right="893" w:gutter="0" w:header="0" w:top="540" w:footer="0" w:bottom="1440"/>
          <w:pgNumType w:fmt="decimal"/>
          <w:cols w:num="1" w:space="720" w:equalWidth="true" w:sep="false"/>
          <w:formProt w:val="false"/>
          <w:textDirection w:val="lrTb"/>
          <w:docGrid w:type="default" w:linePitch="600" w:charSpace="40960"/>
        </w:sectPr>
      </w:pPr>
      <w:r>
        <w:rPr>
          <w:rFonts w:ascii="Times New Roman" w:hAnsi="Times New Roman"/>
          <w:b/>
          <w:i/>
          <w:sz w:val="18"/>
        </w:rPr>
        <w:t>Keywords—</w:t>
      </w:r>
      <w:r>
        <w:rPr>
          <w:rFonts w:ascii="Times New Roman" w:hAnsi="Times New Roman"/>
          <w:b w:val="0"/>
          <w:i/>
          <w:sz w:val="18"/>
        </w:rPr>
        <w:t>Career Readiness, Resume Analysis, Retrieval-Augmented Generation, Large Language Models, Skill Gap Analysis, Placement Management, Artificial Intelligence, SvelteKit.</w:t>
      </w:r>
    </w:p>
    <w:p>
      <w:pPr>
        <w:pStyle w:val="Heading1"/>
        <w:spacing w:before="160" w:after="80"/>
        <w:ind w:hanging="0"/>
        <w:jc w:val="center"/>
        <w:rPr/>
      </w:pPr>
      <w:r>
        <w:rPr>
          <w:rFonts w:ascii="Times New Roman" w:hAnsi="Times New Roman"/>
          <w:b/>
          <w:i w:val="0"/>
          <w:sz w:val="20"/>
        </w:rPr>
        <w:t>INTRODUCTION</w:t>
      </w:r>
    </w:p>
    <w:p>
      <w:pPr>
        <w:pStyle w:val="Normal"/>
        <w:spacing w:lineRule="auto" w:line="240" w:before="0" w:after="0"/>
        <w:ind w:firstLine="200"/>
        <w:jc w:val="both"/>
        <w:rPr/>
      </w:pPr>
      <w:r>
        <w:rPr>
          <w:rFonts w:ascii="Times New Roman" w:hAnsi="Times New Roman"/>
          <w:sz w:val="20"/>
        </w:rPr>
        <w:t>Moving from academic study to industry employment is an important stage for students in higher technical education [1]. Universities provide foundational computer science knowledge, while recruitment processes commonly include several stages of screening. In contemporary campus recruitment, technical competency alone is insufficient; candidates must demonstrate verified domain proficiency, possess optimized resumes compliant with corporate Applicant Tracking Systems (ATS), exhibit structural problem-solving under real-time coding conditions, and articulate behavioral responses using structured methodologies such as STAR (Situation, Task, Action, Result) [2].</w:t>
      </w:r>
    </w:p>
    <w:p>
      <w:pPr>
        <w:pStyle w:val="Normal"/>
        <w:spacing w:lineRule="auto" w:line="240" w:before="0" w:after="0"/>
        <w:ind w:firstLine="200"/>
        <w:jc w:val="both"/>
        <w:rPr/>
      </w:pPr>
      <w:r>
        <w:rPr>
          <w:rFonts w:ascii="Times New Roman" w:hAnsi="Times New Roman"/>
          <w:sz w:val="20"/>
        </w:rPr>
        <w:t>Traditional placement preparation also creates several practical difficulties: manual resume proofreading by faculty is time-intensive and non-standardized; conducting personalized mock interviews for hundreds of students is logistically unfeasible; and student academic, project, and interview records remain scattered across detached spreadsheets. Furthermore, while students increasingly turn to commercial Large Language Model (LLM) chatbots for career guidance, generic LLMs lack institutional context, frequently generate ungrounded advice, and fail to reflect specific corporate hiring rubrics [3], [4].</w:t>
      </w:r>
    </w:p>
    <w:p>
      <w:pPr>
        <w:pStyle w:val="Normal"/>
        <w:spacing w:lineRule="auto" w:line="240" w:before="0" w:after="0"/>
        <w:ind w:firstLine="200"/>
        <w:jc w:val="both"/>
        <w:rPr/>
      </w:pPr>
      <w:r>
        <w:rPr>
          <w:rFonts w:ascii="Times New Roman" w:hAnsi="Times New Roman"/>
          <w:sz w:val="20"/>
        </w:rPr>
        <w:t>To address these issues, we designed and implemented CareerScence as an integrated career and placement readiness platform. CareerScence unifies candidate profiling, ATS resume auditing, dynamic skill gap tracking, adaptive multi-round mock interviews, coding evaluation, personalized career roadmapping, and institutional placement management into a cohesive, service-oriented architecture.</w:t>
      </w:r>
    </w:p>
    <w:p>
      <w:pPr>
        <w:pStyle w:val="Normal"/>
        <w:spacing w:lineRule="auto" w:line="240" w:before="0" w:after="0"/>
        <w:ind w:firstLine="200"/>
        <w:jc w:val="both"/>
        <w:rPr/>
      </w:pPr>
      <w:r>
        <w:rPr>
          <w:rFonts w:ascii="Times New Roman" w:hAnsi="Times New Roman"/>
          <w:sz w:val="20"/>
        </w:rPr>
        <w:t>The main contributions of this work are: (1) An architectural integration of SvelteKit 2 (Svelte 5 Runes) and Firebase featuring a dual-mode hybrid storage architecture with zero-dependency LocalStorage offline resilience; (2) An in-engine RAG pipeline utilizing Term Frequency (TF) vectorization, cosine similarity ranking, and multi-factor metadata boosting across institutional archives; (3) An automated ATS resume auditor that returns structured JSON diagnostics and automatically synchronizes extracted competencies into a five-category skill matrix; (4) A deterministic, multi-factor placement readiness mathematical formulation; and (5) Empirical verification across functional test cases demonstrating reproducible scoring and grounded responses.</w:t>
      </w:r>
    </w:p>
    <w:p>
      <w:pPr>
        <w:pStyle w:val="Heading1"/>
        <w:spacing w:before="160" w:after="80"/>
        <w:ind w:hanging="0"/>
        <w:jc w:val="center"/>
        <w:rPr/>
      </w:pPr>
      <w:r>
        <w:rPr>
          <w:rFonts w:ascii="Times New Roman" w:hAnsi="Times New Roman"/>
          <w:b/>
          <w:i w:val="0"/>
          <w:sz w:val="20"/>
        </w:rPr>
        <w:t>RELATED WORK</w:t>
      </w:r>
    </w:p>
    <w:p>
      <w:pPr>
        <w:pStyle w:val="Normal"/>
        <w:spacing w:lineRule="auto" w:line="240" w:before="0" w:after="0"/>
        <w:ind w:firstLine="200"/>
        <w:jc w:val="both"/>
        <w:rPr/>
      </w:pPr>
      <w:r>
        <w:rPr>
          <w:rFonts w:ascii="Times New Roman" w:hAnsi="Times New Roman"/>
          <w:sz w:val="20"/>
        </w:rPr>
        <w:t>Earlier resume screening approaches commonly used regular expressions and Named Entity Recognition (NER) [5]. These methods can work well with structured resumes but may be less effective when layouts or wording vary. Castleman et al. [3] examined the validity of LLM-based resume screening, demonstrating that modern generative transformers excel at zero-shot semantic matching against job specifications while highlighting the necessity of structured prompt constraints to prevent scoring drift. CareerScence leverages structured JSON schema enforcement with Gemini 2.5 Flash to achieve consistent resume entity extraction and ATS diagnostics.</w:t>
      </w:r>
    </w:p>
    <w:p>
      <w:pPr>
        <w:pStyle w:val="Normal"/>
        <w:spacing w:lineRule="auto" w:line="240" w:before="0" w:after="0"/>
        <w:ind w:firstLine="200"/>
        <w:jc w:val="both"/>
        <w:rPr/>
      </w:pPr>
      <w:r>
        <w:rPr>
          <w:rFonts w:ascii="Times New Roman" w:hAnsi="Times New Roman"/>
          <w:sz w:val="20"/>
        </w:rPr>
        <w:t>Standard language models can produce unsupported information when they are asked about specialized domain knowledge [4]. Lewis et al. [6] established Retrieval-Augmented Generation (RAG) to ground parametric LLM generation with non-parametric retrieved document chunks. In educational contexts, RAG enables language models to access institutional policies, syllabus requirements, and historical recruitment archives [7]. While large-scale systems employ dense neural vector databases [8], lightweight lexical and Term Frequency (TF) retrieval pipelines combined with cosine similarity provide deterministic, low-latency grounding for constrained knowledge bases [9]. CareerScence implements an in-engine vector retrieval layer that performs cosine similarity ranking over TF vectors with domain and company metadata boosting.</w:t>
      </w:r>
    </w:p>
    <w:p>
      <w:pPr>
        <w:pStyle w:val="Normal"/>
        <w:spacing w:lineRule="auto" w:line="240" w:before="0" w:after="0"/>
        <w:ind w:firstLine="200"/>
        <w:jc w:val="both"/>
        <w:rPr/>
      </w:pPr>
      <w:r>
        <w:rPr>
          <w:rFonts w:ascii="Times New Roman" w:hAnsi="Times New Roman"/>
          <w:sz w:val="20"/>
        </w:rPr>
        <w:t>Mock interview systems have developed from fixed multiple-choice tests toward conversational systems that can evaluate natural-language responses [10]. Studies by Kumar and Patel [11] confirmed that multi-axis visual analytics dashboards (such as radar charts) substantially enhance learner self-reflection compared to tabular reports. CareerScence builds upon these findings by integrating an interactive mock interview portal with multi-dimensional evaluation and dynamic Chart.js visual analytics.</w:t>
      </w:r>
    </w:p>
    <w:p>
      <w:pPr>
        <w:pStyle w:val="Heading1"/>
        <w:spacing w:before="160" w:after="80"/>
        <w:ind w:hanging="0"/>
        <w:jc w:val="center"/>
        <w:rPr/>
      </w:pPr>
      <w:r>
        <w:rPr>
          <w:rFonts w:ascii="Times New Roman" w:hAnsi="Times New Roman"/>
          <w:b/>
          <w:i w:val="0"/>
          <w:sz w:val="20"/>
        </w:rPr>
        <w:t>PROBLEM STATEMENT AND OBJECTIVES</w:t>
      </w:r>
    </w:p>
    <w:p>
      <w:pPr>
        <w:pStyle w:val="Normal"/>
        <w:spacing w:lineRule="auto" w:line="240" w:before="0" w:after="0"/>
        <w:ind w:firstLine="200"/>
        <w:jc w:val="both"/>
        <w:rPr/>
      </w:pPr>
      <w:r>
        <w:rPr>
          <w:rFonts w:ascii="Times New Roman" w:hAnsi="Times New Roman"/>
          <w:sz w:val="20"/>
        </w:rPr>
        <w:t>This work focuses on the need for a platform that can assess student career readiness, review resumes against ATS requirements, identify skill gaps, and support multi-round recruitment practice without depending entirely on manual evaluation.</w:t>
      </w:r>
    </w:p>
    <w:p>
      <w:pPr>
        <w:pStyle w:val="Normal"/>
        <w:spacing w:lineRule="auto" w:line="240" w:before="0" w:after="0"/>
        <w:ind w:firstLine="200"/>
        <w:jc w:val="both"/>
        <w:rPr/>
      </w:pPr>
      <w:r>
        <w:rPr>
          <w:rFonts w:ascii="Times New Roman" w:hAnsi="Times New Roman"/>
          <w:sz w:val="20"/>
        </w:rPr>
        <w:t>The primary objectives of CareerScence are: (1) Automate resume ATS auditing and skill extraction via structured LLM pipelines; (2) Implement an in-engine RAG pipeline across company recruitment archives and technical rubrics; (3) Simulate multi-round mock interviews (Technical, HR, Coding) with automated multi-dimensional grading; (4) Formulate a deterministic placement readiness metric combining academic, skill, and interview performance; and (5) Provide placement officers with cohort-level analytics and drive broadcast management.</w:t>
      </w:r>
    </w:p>
    <w:p>
      <w:pPr>
        <w:pStyle w:val="Heading1"/>
        <w:spacing w:before="160" w:after="80"/>
        <w:ind w:hanging="0"/>
        <w:jc w:val="center"/>
        <w:rPr/>
      </w:pPr>
      <w:r>
        <w:rPr>
          <w:rFonts w:ascii="Times New Roman" w:hAnsi="Times New Roman"/>
          <w:b/>
          <w:i w:val="0"/>
          <w:sz w:val="20"/>
        </w:rPr>
        <w:t>SYSTEM ARCHITECTURE</w:t>
      </w:r>
    </w:p>
    <w:p>
      <w:pPr>
        <w:pStyle w:val="Normal"/>
        <w:spacing w:lineRule="auto" w:line="240" w:before="0" w:after="0"/>
        <w:ind w:firstLine="200"/>
        <w:jc w:val="both"/>
        <w:rPr/>
      </w:pPr>
      <w:r>
        <w:rPr>
          <w:rFonts w:ascii="Times New Roman" w:hAnsi="Times New Roman"/>
          <w:sz w:val="20"/>
        </w:rPr>
        <w:t>Fig. 1 shows the multi-tier architecture of CareerScence. The system is organized into three main layers: the Presentation Layer, Application &amp; AI Services Layer, and Hybrid Data Persistence Layer.</w:t>
      </w:r>
    </w:p>
    <w:p>
      <w:pPr>
        <w:pStyle w:val="Normal"/>
        <w:spacing w:before="120" w:after="0" w:line="240" w:lineRule="auto"/>
        <w:jc w:val="both"/>
        <w:rPr/>
      </w:pPr>
      <w:r>
        <w:rPr>
          <w:rFonts w:ascii="Times New Roman" w:hAnsi="Times New Roman"/>
          <w:sz w:val="20"/>
        </w:rPr>
      </w:r>
    </w:p>
    <w:p>
      <w:pPr>
        <w:spacing w:before="40" w:after="40"/>
        <w:jc w:val="center"/>
      </w:pPr>
      <w:r>
        <w:drawing>
          <wp:inline xmlns:a="http://schemas.openxmlformats.org/drawingml/2006/main">
            <wp:extent cx="2971800" cy="1084460"/>
            <wp:docPr id="1" name="Picture 1"/>
            <wp:cNvGraphicFramePr>
              <a:graphicFrameLocks noChangeAspect="1"/>
            </wp:cNvGraphicFramePr>
            <a:graphic>
              <a:graphicData uri="http://schemas.openxmlformats.org/drawingml/2006/picture">
                <pic:pic>
                  <pic:nvPicPr>
                    <pic:cNvPr id="0" name="figure1_clean.png"/>
                    <pic:cNvPicPr/>
                  </pic:nvPicPr>
                  <pic:blipFill>
                    <a:blip r:embed="rId7"/>
                    <a:stretch>
                      <a:fillRect/>
                    </a:stretch>
                  </pic:blipFill>
                  <pic:spPr>
                    <a:xfrm>
                      <a:off x="0" y="0"/>
                      <a:ext cx="2971800" cy="1084460"/>
                    </a:xfrm>
                    <a:prstGeom prst="rect"/>
                  </pic:spPr>
                </pic:pic>
              </a:graphicData>
            </a:graphic>
          </wp:inline>
        </w:drawing>
      </w:r>
    </w:p>
    <w:p>
      <w:pPr>
        <w:pStyle w:val="Normal"/>
        <w:spacing w:before="40" w:after="80"/>
        <w:jc w:val="center"/>
        <w:rPr/>
      </w:pPr>
      <w:r>
        <w:rPr>
          <w:rFonts w:ascii="Times New Roman" w:hAnsi="Times New Roman"/>
          <w:b w:val="0"/>
          <w:i w:val="0"/>
          <w:sz w:val="16"/>
        </w:rPr>
        <w:t>Fig. 1. Framework and multi-tier architecture of the CareerScence platform.</w:t>
      </w:r>
    </w:p>
    <w:p>
      <w:pPr>
        <w:pStyle w:val="Normal"/>
        <w:spacing w:lineRule="auto" w:line="240" w:before="0" w:after="0"/>
        <w:ind w:firstLine="200"/>
        <w:jc w:val="both"/>
        <w:rPr/>
      </w:pPr>
      <w:r>
        <w:rPr>
          <w:rFonts w:ascii="Times New Roman" w:hAnsi="Times New Roman"/>
          <w:sz w:val="20"/>
        </w:rPr>
        <w:t>The Presentation Layer is developed using SvelteKit 2 with Svelte 5 Runes ($state, $derived, $effect). Svelte 5 compiles reactive state transitions directly into optimized JavaScript DOM manipulation instructions at build time, eliminating Virtual DOM diffing overhead. Styling is implemented with TailwindCSS v4, and analytical charts are rendered with Chart.js v4.5.1 [12]–[15]. Cross-platform mobile deployment is enabled via Capacitor JS v8.5.0.</w:t>
      </w:r>
    </w:p>
    <w:p>
      <w:pPr>
        <w:pStyle w:val="Normal"/>
        <w:spacing w:lineRule="auto" w:line="240" w:before="0" w:after="0"/>
        <w:ind w:firstLine="200"/>
        <w:jc w:val="both"/>
        <w:rPr/>
      </w:pPr>
      <w:r>
        <w:rPr>
          <w:rFonts w:ascii="Times New Roman" w:hAnsi="Times New Roman"/>
          <w:sz w:val="20"/>
        </w:rPr>
        <w:t>The Application and AI Services Layer encapsulates business logic across dedicated services. The AI service interfaces with Google Gemini 2.5 Flash via direct HTTPS REST endpoints and Firebase Cloud Functions, enforcing structured JSON output (responseMimeType: "application/json").</w:t>
      </w:r>
    </w:p>
    <w:p>
      <w:pPr>
        <w:pStyle w:val="Normal"/>
        <w:spacing w:lineRule="auto" w:line="240" w:before="0" w:after="0"/>
        <w:ind w:firstLine="200"/>
        <w:jc w:val="both"/>
        <w:rPr/>
      </w:pPr>
      <w:r>
        <w:rPr>
          <w:rFonts w:ascii="Times New Roman" w:hAnsi="Times New Roman"/>
        </w:rPr>
        <w:t>The Hybrid Data Persistence Layer provides dual-mode persistence through a hybrid strategy: (1) Live Cloud Mode using Firebase Authentication, Cloud Firestore, Cloud Storage, and Cloud Functions; and (2) Offline Mock Adapter Mode utilizing HTML5 LocalStorage for zero-dependency local execution.</w:t>
      </w:r>
    </w:p>
    <w:p>
      <w:pPr>
        <w:pStyle w:val="Heading1"/>
        <w:spacing w:before="160" w:after="80"/>
        <w:ind w:hanging="0"/>
        <w:jc w:val="center"/>
        <w:rPr/>
      </w:pPr>
      <w:r>
        <w:rPr>
          <w:rFonts w:ascii="Times New Roman" w:hAnsi="Times New Roman"/>
          <w:b/>
          <w:i w:val="0"/>
          <w:sz w:val="20"/>
        </w:rPr>
        <w:t>SYSTEM WORKFLOW AND METHODOLOGY</w:t>
      </w:r>
    </w:p>
    <w:p>
      <w:pPr>
        <w:pStyle w:val="Normal"/>
        <w:spacing w:lineRule="auto" w:line="240" w:before="0" w:after="0"/>
        <w:ind w:firstLine="200"/>
        <w:jc w:val="both"/>
        <w:rPr/>
      </w:pPr>
      <w:r>
        <w:rPr>
          <w:rFonts w:ascii="Times New Roman" w:hAnsi="Times New Roman"/>
          <w:sz w:val="20"/>
        </w:rPr>
        <w:t>The workflow links authentication and profile setup with resume analysis, skill extraction, skill-gap planning, RAG-supported interview practice, and readiness-score calculation.</w:t>
      </w:r>
    </w:p>
    <w:p>
      <w:pPr>
        <w:pStyle w:val="Normal"/>
        <w:spacing w:before="120" w:after="0" w:line="240" w:lineRule="auto"/>
        <w:jc w:val="both"/>
        <w:rPr/>
      </w:pPr>
      <w:r>
        <w:rPr>
          <w:rFonts w:ascii="Times New Roman" w:hAnsi="Times New Roman"/>
          <w:sz w:val="20"/>
        </w:rPr>
      </w:r>
    </w:p>
    <w:p>
      <w:pPr>
        <w:spacing w:before="40" w:after="40"/>
        <w:jc w:val="center"/>
      </w:pPr>
      <w:r>
        <w:drawing>
          <wp:inline xmlns:a="http://schemas.openxmlformats.org/drawingml/2006/main">
            <wp:extent cx="2971800" cy="1240522"/>
            <wp:docPr id="2" name="Picture 2"/>
            <wp:cNvGraphicFramePr>
              <a:graphicFrameLocks noChangeAspect="1"/>
            </wp:cNvGraphicFramePr>
            <a:graphic>
              <a:graphicData uri="http://schemas.openxmlformats.org/drawingml/2006/picture">
                <pic:pic>
                  <pic:nvPicPr>
                    <pic:cNvPr id="0" name="image2.png"/>
                    <pic:cNvPicPr/>
                  </pic:nvPicPr>
                  <pic:blipFill>
                    <a:blip r:embed="rId8"/>
                    <a:stretch>
                      <a:fillRect/>
                    </a:stretch>
                  </pic:blipFill>
                  <pic:spPr>
                    <a:xfrm>
                      <a:off x="0" y="0"/>
                      <a:ext cx="2971800" cy="1240522"/>
                    </a:xfrm>
                    <a:prstGeom prst="rect"/>
                  </pic:spPr>
                </pic:pic>
              </a:graphicData>
            </a:graphic>
          </wp:inline>
        </w:drawing>
      </w:r>
    </w:p>
    <w:p>
      <w:pPr>
        <w:pStyle w:val="Normal"/>
        <w:spacing w:before="40" w:after="80"/>
        <w:jc w:val="center"/>
        <w:rPr/>
      </w:pPr>
      <w:r>
        <w:rPr>
          <w:rFonts w:ascii="Times New Roman" w:hAnsi="Times New Roman"/>
          <w:b w:val="0"/>
          <w:i w:val="0"/>
          <w:sz w:val="16"/>
        </w:rPr>
        <w:t>Fig. 2. Retrieval-Augmented Generation (RAG) and prompt grounding workflow.</w:t>
      </w:r>
    </w:p>
    <w:p>
      <w:pPr>
        <w:pStyle w:val="Heading2"/>
        <w:spacing w:before="100" w:after="40"/>
        <w:jc w:val="left"/>
        <w:rPr/>
      </w:pPr>
      <w:r>
        <w:rPr>
          <w:rFonts w:ascii="Times New Roman" w:hAnsi="Times New Roman"/>
          <w:b w:val="0"/>
          <w:i/>
          <w:sz w:val="20"/>
        </w:rPr>
        <w:t>Resume Processing and ATS Parsing</w:t>
      </w:r>
    </w:p>
    <w:p>
      <w:pPr>
        <w:pStyle w:val="Normal"/>
        <w:spacing w:lineRule="auto" w:line="240" w:before="0" w:after="0"/>
        <w:ind w:firstLine="200"/>
        <w:jc w:val="both"/>
        <w:rPr/>
      </w:pPr>
      <w:r>
        <w:rPr>
          <w:rFonts w:ascii="Times New Roman" w:hAnsi="Times New Roman"/>
          <w:sz w:val="20"/>
        </w:rPr>
        <w:t>When a student uploads a resume, the document metadata and candidate profile are transmitted to Gemini 2.5 Flash under a strict ATS reviewer system instruction. The model evaluates formatting, keyword density, and syntax, returning a structured JSON document containing the overall ATS score (0–100), parsed biographical data, grammar corrections, matched/missing keywords, strengths, weaknesses, recruiter feedback, and actionable suggestions.</w:t>
      </w:r>
    </w:p>
    <w:p>
      <w:pPr>
        <w:pStyle w:val="Heading2"/>
        <w:spacing w:before="100" w:after="40"/>
        <w:jc w:val="left"/>
        <w:rPr/>
      </w:pPr>
      <w:r>
        <w:rPr>
          <w:rFonts w:ascii="Times New Roman" w:hAnsi="Times New Roman"/>
          <w:b w:val="0"/>
          <w:i/>
          <w:sz w:val="20"/>
        </w:rPr>
        <w:t>Skill Extraction and Categorization</w:t>
      </w:r>
    </w:p>
    <w:p>
      <w:pPr>
        <w:pStyle w:val="Normal"/>
        <w:spacing w:lineRule="auto" w:line="240" w:before="0" w:after="0"/>
        <w:ind w:firstLine="200"/>
        <w:jc w:val="both"/>
        <w:rPr/>
      </w:pPr>
      <w:r>
        <w:rPr>
          <w:rFonts w:ascii="Times New Roman" w:hAnsi="Times New Roman"/>
          <w:sz w:val="20"/>
        </w:rPr>
        <w:t>Skills identified by the ATS parser are automatically mapped into the student skill matrix across five technical domains using a deterministic classifier: Database (SQL, MongoDB, PostgreSQL, MySQL, Firestore, Firebase); Cloud (AWS, Azure, GCP, Docker, Kubernetes, Cloud, DevOps); AI (AI, ML, TensorFlow, PyTorch, Deep Learning, NLP, Gemini); Soft Skills (Communication, Leadership, Teamwork, Problem Solving); and Programming (all other programming languages and frameworks).</w:t>
      </w:r>
    </w:p>
    <w:p>
      <w:pPr>
        <w:pStyle w:val="Heading2"/>
        <w:spacing w:before="100" w:after="40"/>
        <w:jc w:val="left"/>
        <w:rPr/>
      </w:pPr>
      <w:r>
        <w:rPr>
          <w:rFonts w:ascii="Times New Roman" w:hAnsi="Times New Roman"/>
          <w:b w:val="0"/>
          <w:i/>
          <w:sz w:val="20"/>
        </w:rPr>
        <w:t>Skill Gap Diagnostics and Learning Roadmap</w:t>
      </w:r>
    </w:p>
    <w:p>
      <w:pPr>
        <w:pStyle w:val="Normal"/>
        <w:spacing w:lineRule="auto" w:line="240" w:before="0" w:after="0"/>
        <w:ind w:firstLine="200"/>
        <w:jc w:val="both"/>
        <w:rPr/>
      </w:pPr>
      <w:r>
        <w:rPr>
          <w:rFonts w:ascii="Times New Roman" w:hAnsi="Times New Roman"/>
          <w:sz w:val="20"/>
        </w:rPr>
        <w:t>The skill gap engine compares active student competencies against targeted career roles, generating a personalized preparation roadmap comprising: (1) Structured milestone focus areas (e.g., Weeks 1–2); (2) Curated online courses (Coursera, Udemy); (3) Video playlists (YouTube); (4) Coding platforms (LeetCode); (5) Reference textbooks and project blueprints; and (6) A 7-day weekly study schedule and monthly target goals.</w:t>
      </w:r>
    </w:p>
    <w:p>
      <w:pPr>
        <w:pStyle w:val="Heading2"/>
        <w:spacing w:before="100" w:after="40"/>
        <w:jc w:val="left"/>
        <w:rPr/>
      </w:pPr>
      <w:r>
        <w:rPr>
          <w:rFonts w:ascii="Times New Roman" w:hAnsi="Times New Roman"/>
          <w:b w:val="0"/>
          <w:i/>
          <w:sz w:val="20"/>
        </w:rPr>
        <w:t>Multi-Round Mock Interview and Coding Portal</w:t>
      </w:r>
    </w:p>
    <w:p>
      <w:pPr>
        <w:pStyle w:val="Normal"/>
        <w:spacing w:lineRule="auto" w:line="240" w:before="0" w:after="0"/>
        <w:ind w:firstLine="200"/>
        <w:jc w:val="both"/>
        <w:rPr/>
      </w:pPr>
      <w:r>
        <w:rPr>
          <w:rFonts w:ascii="Times New Roman" w:hAnsi="Times New Roman"/>
          <w:sz w:val="20"/>
        </w:rPr>
        <w:t>The interview portal supports three evaluation tracks: (1) Technical &amp; HR Q&amp;A spanning specific IT domains (Web Dev, Cloud, Database, DSA, AI, Cybersecurity) grounded via RAG rubrics; (2) In-browser coding challenges evaluated for correctness, time complexity (O(N), O(N log N)), space complexity, and edge-case handling; and (3) Company-specific multi-round assessment simulations for top campus recruiters (TCS, Zoho, Infosys, Capgemini, Accenture, Amazon).</w:t>
      </w:r>
    </w:p>
    <w:p>
      <w:pPr>
        <w:pStyle w:val="Heading1"/>
        <w:spacing w:before="160" w:after="80"/>
        <w:ind w:hanging="0"/>
        <w:jc w:val="center"/>
        <w:rPr/>
      </w:pPr>
      <w:r>
        <w:rPr>
          <w:rFonts w:ascii="Times New Roman" w:hAnsi="Times New Roman"/>
          <w:b/>
          <w:i w:val="0"/>
          <w:sz w:val="20"/>
        </w:rPr>
        <w:t>RAG ARCHITECTURE</w:t>
      </w:r>
    </w:p>
    <w:p>
      <w:pPr>
        <w:pStyle w:val="Normal"/>
        <w:spacing w:lineRule="auto" w:line="240" w:before="0" w:after="0"/>
        <w:ind w:firstLine="200"/>
        <w:jc w:val="both"/>
        <w:rPr/>
      </w:pPr>
      <w:r>
        <w:rPr>
          <w:rFonts w:ascii="Times New Roman" w:hAnsi="Times New Roman"/>
        </w:rPr>
        <w:t>CareerScence uses an in-engine lexical RAG architecture to connect generated responses with the available institutional documents.</w:t>
      </w:r>
    </w:p>
    <w:p>
      <w:pPr>
        <w:pStyle w:val="Heading2"/>
        <w:spacing w:before="100" w:after="40"/>
        <w:jc w:val="left"/>
        <w:rPr/>
      </w:pPr>
      <w:r>
        <w:rPr>
          <w:rFonts w:ascii="Times New Roman" w:hAnsi="Times New Roman"/>
          <w:b w:val="0"/>
          <w:i/>
          <w:sz w:val="20"/>
        </w:rPr>
        <w:t>Knowledge Base Repository</w:t>
      </w:r>
    </w:p>
    <w:p>
      <w:pPr>
        <w:pStyle w:val="Normal"/>
        <w:spacing w:lineRule="auto" w:line="240" w:before="0" w:after="0"/>
        <w:ind w:firstLine="200"/>
        <w:jc w:val="both"/>
        <w:rPr/>
      </w:pPr>
      <w:r>
        <w:rPr>
          <w:rFonts w:ascii="Times New Roman" w:hAnsi="Times New Roman"/>
          <w:sz w:val="20"/>
        </w:rPr>
        <w:t>The knowledge base (ragKnowledgeBase.js) comprises 13 curated documents: (1) Company Placement Archives detailing specific interview patterns and technical evaluation rubrics for TCS, Zoho, Capgemini, Infosys, Accenture, and Amazon; (2) Technical Domain Rubrics for Full Stack Web, Cloud/DevOps, Database Systems, DSA/OOP, and Applied AI; and (3) Institutional Placement Policies and HR STAR behavioral rubrics.</w:t>
      </w:r>
    </w:p>
    <w:p>
      <w:pPr>
        <w:pStyle w:val="Heading2"/>
        <w:spacing w:before="100" w:after="40"/>
        <w:jc w:val="left"/>
        <w:rPr/>
      </w:pPr>
      <w:r>
        <w:rPr>
          <w:rFonts w:ascii="Times New Roman" w:hAnsi="Times New Roman"/>
          <w:b w:val="0"/>
          <w:i/>
          <w:sz w:val="20"/>
        </w:rPr>
        <w:t>Vector Indexing and Cosine Similarity Matching</w:t>
      </w:r>
    </w:p>
    <w:p>
      <w:pPr>
        <w:pStyle w:val="Normal"/>
        <w:spacing w:lineRule="auto" w:line="240" w:before="0" w:after="0"/>
        <w:ind w:firstLine="200"/>
        <w:jc w:val="both"/>
        <w:rPr/>
      </w:pPr>
      <w:r>
        <w:rPr>
          <w:rFonts w:ascii="Times New Roman" w:hAnsi="Times New Roman"/>
          <w:sz w:val="20"/>
        </w:rPr>
        <w:t>Documents and queries are tokenized, normalized to lower case, and stripped of punctuation and 50+ standard English stopwords. For query q and document d, normalized Term Frequency (TF) vectors are computed. The base similarity is calculated via Cosine Similarity:</w:t>
      </w:r>
    </w:p>
    <w:p>
      <w:pPr>
        <w:pStyle w:val="Normal"/>
        <w:spacing w:lineRule="auto" w:line="240" w:before="40" w:after="40"/>
        <w:ind w:left="240"/>
        <w:jc w:val="center"/>
        <w:rPr/>
      </w:pPr>
      <w:r>
        <w:rPr>
          <w:rFonts w:ascii="Times New Roman" w:hAnsi="Times New Roman"/>
          <w:sz w:val="20"/>
        </w:rPr>
        <w:t>cos(q, d) = (q . d) / (||q|| * ||d||)</w:t>
      </w:r>
    </w:p>
    <w:p>
      <w:pPr>
        <w:pStyle w:val="Heading2"/>
        <w:spacing w:before="100" w:after="40"/>
        <w:jc w:val="left"/>
        <w:rPr/>
      </w:pPr>
      <w:r>
        <w:rPr>
          <w:rFonts w:ascii="Times New Roman" w:hAnsi="Times New Roman"/>
          <w:b w:val="0"/>
          <w:i/>
          <w:sz w:val="20"/>
        </w:rPr>
        <w:t>Multi-Factor Metadata Boosting</w:t>
      </w:r>
    </w:p>
    <w:p>
      <w:pPr>
        <w:pStyle w:val="Normal"/>
        <w:spacing w:lineRule="auto" w:line="240" w:before="0" w:after="0"/>
        <w:ind w:firstLine="200"/>
        <w:jc w:val="both"/>
        <w:rPr/>
      </w:pPr>
      <w:r>
        <w:rPr>
          <w:rFonts w:ascii="Times New Roman" w:hAnsi="Times New Roman"/>
          <w:sz w:val="20"/>
        </w:rPr>
        <w:t>Metadata is then used to refine the base similarity score: an exact company match adds +0.35, a matching technical domain adds +0.20, and each matched query tag adds +0.08:</w:t>
      </w:r>
    </w:p>
    <w:p>
      <w:pPr>
        <w:pStyle w:val="Normal"/>
        <w:spacing w:lineRule="auto" w:line="240" w:before="40" w:after="40"/>
        <w:ind w:left="240"/>
        <w:jc w:val="center"/>
        <w:rPr/>
      </w:pPr>
      <w:r>
        <w:rPr>
          <w:rFonts w:ascii="Times New Roman" w:hAnsi="Times New Roman"/>
          <w:sz w:val="20"/>
        </w:rPr>
        <w:t>Score(q, d) = min(1.0, cos(q, d) + Boost_company + Boost_domain + Boost_tags)</w:t>
      </w:r>
    </w:p>
    <w:p>
      <w:pPr>
        <w:pStyle w:val="Normal"/>
        <w:spacing w:lineRule="auto" w:line="240" w:before="40" w:after="40"/>
        <w:ind w:firstLine="200"/>
        <w:jc w:val="center"/>
        <w:rPr/>
      </w:pPr>
      <w:r>
        <w:rPr>
          <w:rFonts w:ascii="Times New Roman" w:hAnsi="Times New Roman"/>
          <w:sz w:val="20"/>
        </w:rPr>
        <w:t>Documents with Score(q, d) &gt;= 0.05 are sorted in descending order, truncated to top-K (K in [2, 3]), formatted into a grounding context block, and injected into the Gemini prompt.</w:t>
      </w:r>
    </w:p>
    <w:p>
      <w:pPr>
        <w:pStyle w:val="Heading1"/>
        <w:spacing w:before="160" w:after="80"/>
        <w:ind w:hanging="0"/>
        <w:jc w:val="center"/>
        <w:rPr/>
      </w:pPr>
      <w:r>
        <w:rPr>
          <w:rFonts w:ascii="Times New Roman" w:hAnsi="Times New Roman"/>
          <w:b/>
          <w:i w:val="0"/>
          <w:sz w:val="20"/>
        </w:rPr>
        <w:t>ALGORITHMS</w:t>
      </w:r>
    </w:p>
    <w:p>
      <w:pPr>
        <w:pStyle w:val="Heading2"/>
        <w:spacing w:before="100" w:after="40"/>
        <w:jc w:val="left"/>
        <w:rPr/>
      </w:pPr>
      <w:r>
        <w:rPr>
          <w:rFonts w:ascii="Times New Roman" w:hAnsi="Times New Roman"/>
          <w:b w:val="0"/>
          <w:i/>
          <w:sz w:val="20"/>
        </w:rPr>
        <w:t>Algorithm 1: Resume Skill Extraction &amp; Auto-Categorization</w:t>
      </w:r>
    </w:p>
    <w:p>
      <w:pPr>
        <w:pStyle w:val="Normal"/>
        <w:spacing w:lineRule="auto" w:line="240" w:before="20" w:after="0"/>
        <w:ind w:left="240"/>
        <w:jc w:val="both"/>
        <w:rPr/>
      </w:pPr>
      <w:r>
        <w:rPr>
          <w:rFonts w:ascii="Times New Roman" w:hAnsi="Times New Roman"/>
          <w:sz w:val="20"/>
        </w:rPr>
        <w:t>Input: studentId, resumeId, resumeText</w:t>
      </w:r>
    </w:p>
    <w:p>
      <w:pPr>
        <w:pStyle w:val="Normal"/>
        <w:spacing w:lineRule="auto" w:line="240" w:before="20" w:after="0"/>
        <w:ind w:left="240"/>
        <w:jc w:val="both"/>
        <w:rPr/>
      </w:pPr>
      <w:r>
        <w:rPr>
          <w:rFonts w:ascii="Times New Roman" w:hAnsi="Times New Roman"/>
          <w:sz w:val="20"/>
        </w:rPr>
        <w:t>Output: analysisResult, updatedSkills</w:t>
      </w:r>
    </w:p>
    <w:p>
      <w:pPr>
        <w:pStyle w:val="Normal"/>
        <w:spacing w:lineRule="auto" w:line="240" w:before="20" w:after="0"/>
        <w:ind w:left="240"/>
        <w:jc w:val="both"/>
        <w:rPr/>
      </w:pPr>
      <w:r>
        <w:rPr>
          <w:rFonts w:ascii="Times New Roman" w:hAnsi="Times New Roman"/>
          <w:sz w:val="20"/>
        </w:rPr>
        <w:t>1: profile &lt;- studentService.getProfile(studentId)</w:t>
      </w:r>
    </w:p>
    <w:p>
      <w:pPr>
        <w:pStyle w:val="Normal"/>
        <w:spacing w:lineRule="auto" w:line="240" w:before="20" w:after="0"/>
        <w:ind w:left="240"/>
        <w:jc w:val="both"/>
        <w:rPr/>
      </w:pPr>
      <w:r>
        <w:rPr>
          <w:rFonts w:ascii="Times New Roman" w:hAnsi="Times New Roman"/>
          <w:sz w:val="20"/>
        </w:rPr>
        <w:t>2: currentSkills &lt;- studentService.getSkills(studentId)</w:t>
      </w:r>
    </w:p>
    <w:p>
      <w:pPr>
        <w:pStyle w:val="Normal"/>
        <w:spacing w:lineRule="auto" w:line="240" w:before="20" w:after="0"/>
        <w:ind w:left="240"/>
        <w:jc w:val="both"/>
        <w:rPr/>
      </w:pPr>
      <w:r>
        <w:rPr>
          <w:rFonts w:ascii="Times New Roman" w:hAnsi="Times New Roman"/>
          <w:sz w:val="20"/>
        </w:rPr>
        <w:t>3: prompt &lt;- ConstructPrompt(profile, currentSkills, resumeText)</w:t>
      </w:r>
    </w:p>
    <w:p>
      <w:pPr>
        <w:pStyle w:val="Normal"/>
        <w:spacing w:lineRule="auto" w:line="240" w:before="20" w:after="0"/>
        <w:ind w:left="240"/>
        <w:jc w:val="both"/>
        <w:rPr/>
      </w:pPr>
      <w:r>
        <w:rPr>
          <w:rFonts w:ascii="Times New Roman" w:hAnsi="Times New Roman"/>
          <w:sz w:val="20"/>
        </w:rPr>
        <w:t>4: rawJson &lt;- GeminiDirectCall(prompt, SYSTEM_ATS_PROMPT)</w:t>
      </w:r>
    </w:p>
    <w:p>
      <w:pPr>
        <w:pStyle w:val="Normal"/>
        <w:spacing w:lineRule="auto" w:line="240" w:before="20" w:after="0"/>
        <w:ind w:left="240"/>
        <w:jc w:val="both"/>
        <w:rPr/>
      </w:pPr>
      <w:r>
        <w:rPr>
          <w:rFonts w:ascii="Times New Roman" w:hAnsi="Times New Roman"/>
          <w:sz w:val="20"/>
        </w:rPr>
        <w:t>5: analysisResult &lt;- JSON.parse(rawJson)</w:t>
      </w:r>
    </w:p>
    <w:p>
      <w:pPr>
        <w:pStyle w:val="Normal"/>
        <w:spacing w:lineRule="auto" w:line="240" w:before="20" w:after="0"/>
        <w:ind w:left="240"/>
        <w:jc w:val="both"/>
        <w:rPr/>
      </w:pPr>
      <w:r>
        <w:rPr>
          <w:rFonts w:ascii="Times New Roman" w:hAnsi="Times New Roman"/>
          <w:sz w:val="20"/>
        </w:rPr>
        <w:t>6: SaveResumeAnalysis(resumeId, analysisResult)</w:t>
      </w:r>
    </w:p>
    <w:p>
      <w:pPr>
        <w:pStyle w:val="Normal"/>
        <w:spacing w:lineRule="auto" w:line="240" w:before="20" w:after="0"/>
        <w:ind w:left="240"/>
        <w:jc w:val="both"/>
        <w:rPr/>
      </w:pPr>
      <w:r>
        <w:rPr>
          <w:rFonts w:ascii="Times New Roman" w:hAnsi="Times New Roman"/>
          <w:sz w:val="20"/>
        </w:rPr>
        <w:t>7: for each skill in analysisResult.parsedData.skills do</w:t>
      </w:r>
    </w:p>
    <w:p>
      <w:pPr>
        <w:pStyle w:val="Normal"/>
        <w:spacing w:lineRule="auto" w:line="240" w:before="20" w:after="0"/>
        <w:ind w:left="240"/>
        <w:jc w:val="both"/>
        <w:rPr/>
      </w:pPr>
      <w:r>
        <w:rPr>
          <w:rFonts w:ascii="Times New Roman" w:hAnsi="Times New Roman"/>
          <w:sz w:val="20"/>
        </w:rPr>
        <w:t>8:    cat &lt;- ClassifyCategory(skill)</w:t>
      </w:r>
    </w:p>
    <w:p>
      <w:pPr>
        <w:pStyle w:val="Normal"/>
        <w:spacing w:lineRule="auto" w:line="240" w:before="20" w:after="0"/>
        <w:ind w:left="240"/>
        <w:jc w:val="both"/>
        <w:rPr/>
      </w:pPr>
      <w:r>
        <w:rPr>
          <w:rFonts w:ascii="Times New Roman" w:hAnsi="Times New Roman"/>
          <w:sz w:val="20"/>
        </w:rPr>
        <w:t>9:    if skill not in currentSkills[cat] then</w:t>
      </w:r>
    </w:p>
    <w:p>
      <w:pPr>
        <w:pStyle w:val="Normal"/>
        <w:spacing w:lineRule="auto" w:line="240" w:before="20" w:after="0"/>
        <w:ind w:left="240"/>
        <w:jc w:val="both"/>
        <w:rPr/>
      </w:pPr>
      <w:r>
        <w:rPr>
          <w:rFonts w:ascii="Times New Roman" w:hAnsi="Times New Roman"/>
          <w:sz w:val="20"/>
        </w:rPr>
        <w:t>10:      currentSkills[cat].append({name: skill, rating: 75})</w:t>
      </w:r>
    </w:p>
    <w:p>
      <w:pPr>
        <w:pStyle w:val="Normal"/>
        <w:spacing w:lineRule="auto" w:line="240" w:before="20" w:after="0"/>
        <w:ind w:left="240"/>
        <w:jc w:val="both"/>
        <w:rPr/>
      </w:pPr>
      <w:r>
        <w:rPr>
          <w:rFonts w:ascii="Times New Roman" w:hAnsi="Times New Roman"/>
          <w:sz w:val="20"/>
        </w:rPr>
        <w:t>11:   end if</w:t>
      </w:r>
    </w:p>
    <w:p>
      <w:pPr>
        <w:pStyle w:val="Normal"/>
        <w:spacing w:lineRule="auto" w:line="240" w:before="20" w:after="0"/>
        <w:ind w:left="240"/>
        <w:jc w:val="both"/>
        <w:rPr/>
      </w:pPr>
      <w:r>
        <w:rPr>
          <w:rFonts w:ascii="Times New Roman" w:hAnsi="Times New Roman"/>
          <w:sz w:val="20"/>
        </w:rPr>
        <w:t>12: end for</w:t>
      </w:r>
    </w:p>
    <w:p>
      <w:pPr>
        <w:pStyle w:val="Normal"/>
        <w:spacing w:lineRule="auto" w:line="240" w:before="20" w:after="0"/>
        <w:ind w:left="240"/>
        <w:jc w:val="both"/>
        <w:rPr/>
      </w:pPr>
      <w:r>
        <w:rPr>
          <w:rFonts w:ascii="Times New Roman" w:hAnsi="Times New Roman"/>
          <w:sz w:val="20"/>
        </w:rPr>
        <w:t>13: studentService.saveSkills(studentId, currentSkills)</w:t>
      </w:r>
    </w:p>
    <w:p>
      <w:pPr>
        <w:pStyle w:val="Normal"/>
        <w:spacing w:lineRule="auto" w:line="240" w:before="20" w:after="0"/>
        <w:ind w:left="240"/>
        <w:jc w:val="both"/>
        <w:rPr/>
      </w:pPr>
      <w:r>
        <w:rPr>
          <w:rFonts w:ascii="Times New Roman" w:hAnsi="Times New Roman"/>
          <w:sz w:val="20"/>
        </w:rPr>
        <w:t>14: studentService.recalculateReadinessScore(studentId)</w:t>
      </w:r>
    </w:p>
    <w:p>
      <w:pPr>
        <w:pStyle w:val="Normal"/>
        <w:spacing w:lineRule="auto" w:line="240" w:before="20" w:after="0"/>
        <w:ind w:left="240"/>
        <w:jc w:val="both"/>
        <w:rPr/>
      </w:pPr>
      <w:r>
        <w:rPr>
          <w:rFonts w:ascii="Times New Roman" w:hAnsi="Times New Roman"/>
          <w:sz w:val="20"/>
        </w:rPr>
        <w:t>15: return analysisResult</w:t>
      </w:r>
    </w:p>
    <w:p>
      <w:pPr>
        <w:pStyle w:val="Heading2"/>
        <w:spacing w:before="100" w:after="40"/>
        <w:jc w:val="left"/>
        <w:rPr/>
      </w:pPr>
      <w:r>
        <w:rPr>
          <w:rFonts w:ascii="Times New Roman" w:hAnsi="Times New Roman"/>
          <w:b w:val="0"/>
          <w:i/>
          <w:sz w:val="20"/>
        </w:rPr>
        <w:t>Algorithm 2: TF-Cosine Vector Retrieval with Metadata Boost</w:t>
      </w:r>
    </w:p>
    <w:p>
      <w:pPr>
        <w:pStyle w:val="Normal"/>
        <w:spacing w:lineRule="auto" w:line="240" w:before="20" w:after="0"/>
        <w:ind w:left="240"/>
        <w:jc w:val="both"/>
        <w:rPr/>
      </w:pPr>
      <w:r>
        <w:rPr>
          <w:rFonts w:ascii="Times New Roman" w:hAnsi="Times New Roman"/>
          <w:sz w:val="20"/>
        </w:rPr>
        <w:t>Input: query q, options {domain, company, limit K, minScore}</w:t>
      </w:r>
    </w:p>
    <w:p>
      <w:pPr>
        <w:pStyle w:val="Normal"/>
        <w:spacing w:lineRule="auto" w:line="240" w:before="20" w:after="0"/>
        <w:ind w:left="240"/>
        <w:jc w:val="both"/>
        <w:rPr/>
      </w:pPr>
      <w:r>
        <w:rPr>
          <w:rFonts w:ascii="Times New Roman" w:hAnsi="Times New Roman"/>
          <w:sz w:val="20"/>
        </w:rPr>
        <w:t>Output: Top-K retrieved grounded chunks</w:t>
      </w:r>
    </w:p>
    <w:p>
      <w:pPr>
        <w:pStyle w:val="Normal"/>
        <w:spacing w:lineRule="auto" w:line="240" w:before="20" w:after="0"/>
        <w:ind w:left="240"/>
        <w:jc w:val="both"/>
        <w:rPr/>
      </w:pPr>
      <w:r>
        <w:rPr>
          <w:rFonts w:ascii="Times New Roman" w:hAnsi="Times New Roman"/>
          <w:sz w:val="20"/>
        </w:rPr>
        <w:t>1: qTokens &lt;- TokenizeAndFilterStopWords(q)</w:t>
      </w:r>
    </w:p>
    <w:p>
      <w:pPr>
        <w:pStyle w:val="Normal"/>
        <w:spacing w:lineRule="auto" w:line="240" w:before="20" w:after="0"/>
        <w:ind w:left="240"/>
        <w:jc w:val="both"/>
        <w:rPr/>
      </w:pPr>
      <w:r>
        <w:rPr>
          <w:rFonts w:ascii="Times New Roman" w:hAnsi="Times New Roman"/>
          <w:sz w:val="20"/>
        </w:rPr>
        <w:t>2: qVector &lt;- ComputeNormalizedTF(qTokens)</w:t>
      </w:r>
    </w:p>
    <w:p>
      <w:pPr>
        <w:pStyle w:val="Normal"/>
        <w:spacing w:lineRule="auto" w:line="240" w:before="20" w:after="0"/>
        <w:ind w:left="240"/>
        <w:jc w:val="both"/>
        <w:rPr/>
      </w:pPr>
      <w:r>
        <w:rPr>
          <w:rFonts w:ascii="Times New Roman" w:hAnsi="Times New Roman"/>
          <w:sz w:val="20"/>
        </w:rPr>
        <w:t>3: scoredDocs &lt;- []</w:t>
      </w:r>
    </w:p>
    <w:p>
      <w:pPr>
        <w:pStyle w:val="Normal"/>
        <w:spacing w:lineRule="auto" w:line="240" w:before="20" w:after="0"/>
        <w:ind w:left="240"/>
        <w:jc w:val="both"/>
        <w:rPr/>
      </w:pPr>
      <w:r>
        <w:rPr>
          <w:rFonts w:ascii="Times New Roman" w:hAnsi="Times New Roman"/>
          <w:sz w:val="20"/>
        </w:rPr>
        <w:t>4: for each doc in indexedKnowledgeBase do</w:t>
      </w:r>
    </w:p>
    <w:p>
      <w:pPr>
        <w:pStyle w:val="Normal"/>
        <w:spacing w:lineRule="auto" w:line="240" w:before="20" w:after="0"/>
        <w:ind w:left="240"/>
        <w:jc w:val="both"/>
        <w:rPr/>
      </w:pPr>
      <w:r>
        <w:rPr>
          <w:rFonts w:ascii="Times New Roman" w:hAnsi="Times New Roman"/>
          <w:sz w:val="20"/>
        </w:rPr>
        <w:t>5:    baseSim &lt;- CosineSimilarity(qVector, doc.tfVector)</w:t>
      </w:r>
    </w:p>
    <w:p>
      <w:pPr>
        <w:pStyle w:val="Normal"/>
        <w:spacing w:lineRule="auto" w:line="240" w:before="20" w:after="0"/>
        <w:ind w:left="240"/>
        <w:jc w:val="both"/>
        <w:rPr/>
      </w:pPr>
      <w:r>
        <w:rPr>
          <w:rFonts w:ascii="Times New Roman" w:hAnsi="Times New Roman"/>
          <w:sz w:val="20"/>
        </w:rPr>
        <w:t>6:    boost &lt;- 0.0</w:t>
      </w:r>
    </w:p>
    <w:p>
      <w:pPr>
        <w:pStyle w:val="Normal"/>
        <w:spacing w:lineRule="auto" w:line="240" w:before="20" w:after="0"/>
        <w:ind w:left="240"/>
        <w:jc w:val="both"/>
        <w:rPr/>
      </w:pPr>
      <w:r>
        <w:rPr>
          <w:rFonts w:ascii="Times New Roman" w:hAnsi="Times New Roman"/>
          <w:sz w:val="20"/>
        </w:rPr>
        <w:t>7:    if company and doc.company == company then boost &lt;- boost + 0.35 end if</w:t>
      </w:r>
    </w:p>
    <w:p>
      <w:pPr>
        <w:pStyle w:val="Normal"/>
        <w:spacing w:lineRule="auto" w:line="240" w:before="20" w:after="0"/>
        <w:ind w:left="240"/>
        <w:jc w:val="both"/>
        <w:rPr/>
      </w:pPr>
      <w:r>
        <w:rPr>
          <w:rFonts w:ascii="Times New Roman" w:hAnsi="Times New Roman"/>
          <w:sz w:val="20"/>
        </w:rPr>
        <w:t>8:    if domain and (doc.domain == domain or doc.domain == "all") then boost &lt;- boost + 0.20 end if</w:t>
      </w:r>
    </w:p>
    <w:p>
      <w:pPr>
        <w:pStyle w:val="Normal"/>
        <w:spacing w:lineRule="auto" w:line="240" w:before="20" w:after="0"/>
        <w:ind w:left="240"/>
        <w:jc w:val="both"/>
        <w:rPr/>
      </w:pPr>
      <w:r>
        <w:rPr>
          <w:rFonts w:ascii="Times New Roman" w:hAnsi="Times New Roman"/>
          <w:sz w:val="20"/>
        </w:rPr>
        <w:t>9:    boost &lt;- boost + (CountMatchingTags(q, doc.tags) * 0.08)</w:t>
      </w:r>
    </w:p>
    <w:p>
      <w:pPr>
        <w:pStyle w:val="Normal"/>
        <w:spacing w:lineRule="auto" w:line="240" w:before="20" w:after="0"/>
        <w:ind w:left="240"/>
        <w:jc w:val="both"/>
        <w:rPr/>
      </w:pPr>
      <w:r>
        <w:rPr>
          <w:rFonts w:ascii="Times New Roman" w:hAnsi="Times New Roman"/>
          <w:sz w:val="20"/>
        </w:rPr>
        <w:t>10:   finalScore &lt;- min(1.0, baseSim + boost)</w:t>
      </w:r>
    </w:p>
    <w:p>
      <w:pPr>
        <w:pStyle w:val="Normal"/>
        <w:spacing w:lineRule="auto" w:line="240" w:before="20" w:after="0"/>
        <w:ind w:left="240"/>
        <w:jc w:val="both"/>
        <w:rPr/>
      </w:pPr>
      <w:r>
        <w:rPr>
          <w:rFonts w:ascii="Times New Roman" w:hAnsi="Times New Roman"/>
          <w:sz w:val="20"/>
        </w:rPr>
        <w:t>11:   if finalScore &gt;= minScore then scoredDocs.append({doc, finalScore}) end if</w:t>
      </w:r>
    </w:p>
    <w:p>
      <w:pPr>
        <w:pStyle w:val="Normal"/>
        <w:spacing w:lineRule="auto" w:line="240" w:before="20" w:after="0"/>
        <w:ind w:left="240"/>
        <w:jc w:val="both"/>
        <w:rPr/>
      </w:pPr>
      <w:r>
        <w:rPr>
          <w:rFonts w:ascii="Times New Roman" w:hAnsi="Times New Roman"/>
          <w:sz w:val="20"/>
        </w:rPr>
        <w:t>12: end for</w:t>
      </w:r>
    </w:p>
    <w:p>
      <w:pPr>
        <w:pStyle w:val="Normal"/>
        <w:spacing w:lineRule="auto" w:line="240" w:before="20" w:after="0"/>
        <w:ind w:left="240"/>
        <w:jc w:val="both"/>
        <w:rPr/>
      </w:pPr>
      <w:r>
        <w:rPr>
          <w:rFonts w:ascii="Times New Roman" w:hAnsi="Times New Roman"/>
          <w:sz w:val="20"/>
        </w:rPr>
        <w:t>13: SortDescendingByScore(scoredDocs)</w:t>
      </w:r>
    </w:p>
    <w:p>
      <w:pPr>
        <w:pStyle w:val="Normal"/>
        <w:spacing w:lineRule="auto" w:line="240" w:before="20" w:after="0"/>
        <w:ind w:left="240"/>
        <w:jc w:val="both"/>
        <w:rPr/>
      </w:pPr>
      <w:r>
        <w:rPr>
          <w:rFonts w:ascii="Times New Roman" w:hAnsi="Times New Roman"/>
          <w:sz w:val="20"/>
        </w:rPr>
        <w:t>14: return scoredDocs[0 : K]</w:t>
      </w:r>
    </w:p>
    <w:p>
      <w:pPr>
        <w:pStyle w:val="Heading1"/>
        <w:spacing w:before="160" w:after="80"/>
        <w:ind w:hanging="0"/>
        <w:jc w:val="center"/>
        <w:rPr/>
      </w:pPr>
      <w:r>
        <w:rPr>
          <w:rFonts w:ascii="Times New Roman" w:hAnsi="Times New Roman"/>
          <w:b/>
          <w:i w:val="0"/>
          <w:sz w:val="20"/>
        </w:rPr>
        <w:t>MATHEMATICAL MODEL</w:t>
      </w:r>
    </w:p>
    <w:p>
      <w:pPr>
        <w:pStyle w:val="Normal"/>
        <w:spacing w:lineRule="auto" w:line="240" w:before="0" w:after="0"/>
        <w:ind w:firstLine="200"/>
        <w:jc w:val="both"/>
        <w:rPr/>
      </w:pPr>
      <w:r>
        <w:rPr>
          <w:rFonts w:ascii="Times New Roman" w:hAnsi="Times New Roman"/>
          <w:sz w:val="20"/>
        </w:rPr>
        <w:t>The composite placement readiness score R is formulated as a deterministic linear combination of six normalized pedagogical parameters bounded in [10, 100]:</w:t>
      </w:r>
    </w:p>
    <w:p>
      <w:pPr>
        <w:pStyle w:val="Normal"/>
        <w:spacing w:lineRule="auto" w:line="240" w:before="40" w:after="40"/>
        <w:ind w:left="240"/>
        <w:jc w:val="center"/>
        <w:rPr/>
      </w:pPr>
      <w:r>
        <w:rPr>
          <w:rFonts w:ascii="Times New Roman" w:hAnsi="Times New Roman"/>
          <w:sz w:val="20"/>
        </w:rPr>
        <w:t>R = clamp(10, 100, round(S_CGPA + S_Resume + S_Skills + S_Projects + S_Certs + S_Interview))</w:t>
      </w:r>
    </w:p>
    <w:p>
      <w:pPr>
        <w:pStyle w:val="Normal"/>
        <w:spacing w:lineRule="auto" w:line="240" w:before="0" w:after="0"/>
        <w:ind w:firstLine="200"/>
        <w:jc w:val="both"/>
        <w:rPr/>
      </w:pPr>
      <w:r>
        <w:rPr>
          <w:rFonts w:ascii="Times New Roman" w:hAnsi="Times New Roman"/>
          <w:sz w:val="20"/>
        </w:rPr>
        <w:t>where the subcomponents are defined as:</w:t>
      </w:r>
    </w:p>
    <w:p>
      <w:pPr>
        <w:pStyle w:val="Normal"/>
        <w:spacing w:lineRule="auto" w:line="240" w:before="0" w:after="0"/>
        <w:ind w:firstLine="200"/>
        <w:jc w:val="both"/>
        <w:rPr/>
      </w:pPr>
      <w:r>
        <w:rPr>
          <w:rFonts w:ascii="Times New Roman" w:hAnsi="Times New Roman"/>
          <w:sz w:val="20"/>
        </w:rPr>
        <w:t>1) Academic Performance (max 20 pts): S_CGPA = (CGPA / 10.0) * 20.0</w:t>
      </w:r>
    </w:p>
    <w:p>
      <w:pPr>
        <w:pStyle w:val="Normal"/>
        <w:spacing w:lineRule="auto" w:line="240" w:before="0" w:after="0"/>
        <w:ind w:firstLine="200"/>
        <w:jc w:val="both"/>
        <w:rPr/>
      </w:pPr>
      <w:r>
        <w:rPr>
          <w:rFonts w:ascii="Times New Roman" w:hAnsi="Times New Roman"/>
          <w:sz w:val="20"/>
        </w:rPr>
        <w:t>2) Resume ATS Quality (max 20 pts): S_Resume = (ATS_Score / 100.0) * 20.0 (defaults to 50 if uploaded but unanalyzed, 0 if missing)</w:t>
      </w:r>
    </w:p>
    <w:p>
      <w:pPr>
        <w:pStyle w:val="Normal"/>
        <w:spacing w:lineRule="auto" w:line="240" w:before="0" w:after="0"/>
        <w:ind w:firstLine="200"/>
        <w:jc w:val="both"/>
        <w:rPr/>
      </w:pPr>
      <w:r>
        <w:rPr>
          <w:rFonts w:ascii="Times New Roman" w:hAnsi="Times New Roman"/>
          <w:sz w:val="20"/>
        </w:rPr>
        <w:t>3) Skill Matrix Density (max 20 pts): S_Skills = min(20.0, (N_skills * 1.5) + (P_avg / 10.0)), where N_skills is total skill count and P_avg in [0, 100] is the mean proficiency rating.</w:t>
      </w:r>
    </w:p>
    <w:p>
      <w:pPr>
        <w:pStyle w:val="Normal"/>
        <w:spacing w:lineRule="auto" w:line="240" w:before="0" w:after="0"/>
        <w:ind w:firstLine="200"/>
        <w:jc w:val="both"/>
        <w:rPr/>
      </w:pPr>
      <w:r>
        <w:rPr>
          <w:rFonts w:ascii="Times New Roman" w:hAnsi="Times New Roman"/>
          <w:sz w:val="20"/>
        </w:rPr>
        <w:t>4) Project Portfolio (max 20 pts): S_Projects = min(20.0, N_projects * 7.0)</w:t>
      </w:r>
    </w:p>
    <w:p>
      <w:pPr>
        <w:pStyle w:val="Normal"/>
        <w:spacing w:lineRule="auto" w:line="240" w:before="0" w:after="0"/>
        <w:ind w:firstLine="200"/>
        <w:jc w:val="both"/>
        <w:rPr/>
      </w:pPr>
      <w:r>
        <w:rPr>
          <w:rFonts w:ascii="Times New Roman" w:hAnsi="Times New Roman"/>
          <w:sz w:val="20"/>
        </w:rPr>
        <w:t>5) Industry Certifications (max 10 pts): S_Certs = min(10.0, N_certs * 5.0)</w:t>
      </w:r>
    </w:p>
    <w:p>
      <w:pPr>
        <w:pStyle w:val="Normal"/>
        <w:spacing w:lineRule="auto" w:line="240" w:before="0" w:after="0"/>
        <w:ind w:firstLine="200"/>
        <w:jc w:val="both"/>
        <w:rPr/>
      </w:pPr>
      <w:r>
        <w:rPr>
          <w:rFonts w:ascii="Times New Roman" w:hAnsi="Times New Roman"/>
          <w:sz w:val="20"/>
        </w:rPr>
        <w:t>6) Mock Interview Performance (max 10 pts): S_Interview = (Mean_Interview_Score / 100.0) * 10.0</w:t>
      </w:r>
    </w:p>
    <w:p>
      <w:r>
        <w:br w:type="column"/>
      </w:r>
    </w:p>
    <w:p>
      <w:pPr>
        <w:pStyle w:val="Heading1"/>
        <w:spacing w:before="160" w:after="80"/>
        <w:ind w:hanging="0"/>
        <w:jc w:val="center"/>
        <w:rPr/>
      </w:pPr>
      <w:r>
        <w:rPr>
          <w:rFonts w:ascii="Times New Roman" w:hAnsi="Times New Roman"/>
          <w:b/>
          <w:i w:val="0"/>
          <w:sz w:val="20"/>
        </w:rPr>
        <w:t>IMPLEMENTATION TECHNOLOGIES AND DATABASE DESIGN</w:t>
      </w:r>
    </w:p>
    <w:p>
      <w:pPr>
        <w:pStyle w:val="Normal"/>
        <w:spacing w:before="60" w:after="40"/>
        <w:jc w:val="center"/>
        <w:rPr/>
      </w:pPr>
      <w:r>
        <w:rPr>
          <w:rFonts w:ascii="Times New Roman" w:hAnsi="Times New Roman"/>
          <w:b/>
          <w:sz w:val="16"/>
        </w:rPr>
        <w:t>TABLE I. IMPLEMENTATION TECHNOLOGIES</w:t>
      </w:r>
    </w:p>
    <w:tbl>
      <w:tblPr>
        <w:tblW w:w="5000" w:type="pct"/>
        <w:jc w:val="center"/>
        <w:tblInd w:w="0" w:type="dxa"/>
        <w:tblLayout w:type="fixed"/>
        <w:tblCellMar>
          <w:top w:w="80" w:type="dxa"/>
          <w:left w:w="100" w:type="dxa"/>
          <w:bottom w:w="80" w:type="dxa"/>
          <w:right w:w="100" w:type="dxa"/>
        </w:tblCellMar>
      </w:tblPr>
      <w:tblGrid>
        <w:gridCol w:w="1366"/>
        <w:gridCol w:w="1562"/>
        <w:gridCol w:w="1952"/>
      </w:tblGrid>
      <w:tr>
        <w:trPr>
          <w:tblHeader w:val="true"/>
          <w:cantSplit/>
        </w:trPr>
        <w:tc>
          <w:tcPr>
            <w:tcW w:w="648" w:type="dxa"/>
            <w:tcBorders>
              <w:top w:val="single" w:sz="6" w:space="0" w:color="000000"/>
              <w:bottom w:val="single" w:sz="4" w:space="0" w:color="D3D3D3"/>
            </w:tcBorders>
            <w:shd w:color="auto" w:fill="F2F2F2" w:val="clear"/>
          </w:tcPr>
          <w:p>
            <w:pPr>
              <w:pStyle w:val="Normal"/>
              <w:jc w:val="center"/>
              <w:rPr/>
            </w:pPr>
            <w:r>
              <w:rPr>
                <w:rFonts w:ascii="Times New Roman" w:hAnsi="Times New Roman"/>
                <w:b/>
                <w:sz w:val="15"/>
              </w:rPr>
              <w:t>Technology</w:t>
            </w:r>
          </w:p>
        </w:tc>
        <w:tc>
          <w:tcPr>
            <w:tcW w:w="835" w:type="dxa"/>
            <w:tcBorders>
              <w:top w:val="single" w:sz="6" w:space="0" w:color="000000"/>
              <w:bottom w:val="single" w:sz="4" w:space="0" w:color="D3D3D3"/>
            </w:tcBorders>
            <w:shd w:color="auto" w:fill="F2F2F2" w:val="clear"/>
          </w:tcPr>
          <w:p>
            <w:pPr>
              <w:pStyle w:val="Normal"/>
              <w:jc w:val="center"/>
              <w:rPr/>
            </w:pPr>
            <w:r>
              <w:rPr>
                <w:rFonts w:ascii="Times New Roman" w:hAnsi="Times New Roman"/>
                <w:b/>
                <w:sz w:val="15"/>
              </w:rPr>
              <w:t>Purpose</w:t>
            </w:r>
          </w:p>
        </w:tc>
        <w:tc>
          <w:tcPr>
            <w:tcW w:w="1224" w:type="dxa"/>
            <w:tcBorders>
              <w:top w:val="single" w:sz="6" w:space="0" w:color="000000"/>
              <w:bottom w:val="single" w:sz="4" w:space="0" w:color="D3D3D3"/>
            </w:tcBorders>
            <w:shd w:color="auto" w:fill="F2F2F2" w:val="clear"/>
          </w:tcPr>
          <w:p>
            <w:pPr>
              <w:pStyle w:val="Normal"/>
              <w:jc w:val="center"/>
              <w:rPr/>
            </w:pPr>
            <w:r>
              <w:rPr>
                <w:rFonts w:ascii="Times New Roman" w:hAnsi="Times New Roman"/>
                <w:b/>
                <w:sz w:val="15"/>
              </w:rPr>
              <w:t>Where Used in Project</w:t>
            </w:r>
          </w:p>
        </w:tc>
      </w:tr>
      <w:tr>
        <w:trPr>
          <w:cantSplit/>
        </w:trPr>
        <w:tc>
          <w:tcPr>
            <w:tcW w:w="648"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SvelteKit 2.x</w:t>
            </w:r>
          </w:p>
        </w:tc>
        <w:tc>
          <w:tcPr>
            <w:tcW w:w="835"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Application Framework</w:t>
            </w:r>
          </w:p>
        </w:tc>
        <w:tc>
          <w:tcPr>
            <w:tcW w:w="1224"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frontend/src/routes/*</w:t>
            </w:r>
          </w:p>
        </w:tc>
      </w:tr>
      <w:tr>
        <w:trPr>
          <w:cantSplit/>
        </w:trPr>
        <w:tc>
          <w:tcPr>
            <w:tcW w:w="648"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Svelte 5 Runes</w:t>
            </w:r>
          </w:p>
        </w:tc>
        <w:tc>
          <w:tcPr>
            <w:tcW w:w="835"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Compile-time Reactivity</w:t>
            </w:r>
          </w:p>
        </w:tc>
        <w:tc>
          <w:tcPr>
            <w:tcW w:w="1224"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frontend/src/routes/* (+page.svelte)</w:t>
            </w:r>
          </w:p>
        </w:tc>
      </w:tr>
      <w:tr>
        <w:trPr>
          <w:cantSplit/>
        </w:trPr>
        <w:tc>
          <w:tcPr>
            <w:tcW w:w="648"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TailwindCSS v4</w:t>
            </w:r>
          </w:p>
        </w:tc>
        <w:tc>
          <w:tcPr>
            <w:tcW w:w="835"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Responsive UI Styling</w:t>
            </w:r>
          </w:p>
        </w:tc>
        <w:tc>
          <w:tcPr>
            <w:tcW w:w="1224"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frontend/src/routes/layout.css</w:t>
            </w:r>
          </w:p>
        </w:tc>
      </w:tr>
      <w:tr>
        <w:trPr>
          <w:cantSplit/>
        </w:trPr>
        <w:tc>
          <w:tcPr>
            <w:tcW w:w="648"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Google Gemini 2.5 Flash</w:t>
            </w:r>
          </w:p>
        </w:tc>
        <w:tc>
          <w:tcPr>
            <w:tcW w:w="835"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Generative AI &amp; JSON Reasoning</w:t>
            </w:r>
          </w:p>
        </w:tc>
        <w:tc>
          <w:tcPr>
            <w:tcW w:w="1224"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frontend/src/lib/services/aiService.js</w:t>
            </w:r>
          </w:p>
        </w:tc>
      </w:tr>
      <w:tr>
        <w:trPr>
          <w:cantSplit/>
        </w:trPr>
        <w:tc>
          <w:tcPr>
            <w:tcW w:w="648"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In-Engine RAG Layer</w:t>
            </w:r>
          </w:p>
        </w:tc>
        <w:tc>
          <w:tcPr>
            <w:tcW w:w="835"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TF Vector &amp; Cosine Search</w:t>
            </w:r>
          </w:p>
        </w:tc>
        <w:tc>
          <w:tcPr>
            <w:tcW w:w="1224"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frontend/src/lib/services/ragService.js</w:t>
            </w:r>
          </w:p>
        </w:tc>
      </w:tr>
      <w:tr>
        <w:trPr>
          <w:cantSplit/>
        </w:trPr>
        <w:tc>
          <w:tcPr>
            <w:tcW w:w="648"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Firebase Auth</w:t>
            </w:r>
          </w:p>
        </w:tc>
        <w:tc>
          <w:tcPr>
            <w:tcW w:w="835"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Student/Admin Identity</w:t>
            </w:r>
          </w:p>
        </w:tc>
        <w:tc>
          <w:tcPr>
            <w:tcW w:w="1224"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frontend/src/lib/services/authService.js</w:t>
            </w:r>
          </w:p>
        </w:tc>
      </w:tr>
      <w:tr>
        <w:trPr>
          <w:cantSplit/>
        </w:trPr>
        <w:tc>
          <w:tcPr>
            <w:tcW w:w="648"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Cloud Firestore</w:t>
            </w:r>
          </w:p>
        </w:tc>
        <w:tc>
          <w:tcPr>
            <w:tcW w:w="835"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NoSQL Document Database</w:t>
            </w:r>
          </w:p>
        </w:tc>
        <w:tc>
          <w:tcPr>
            <w:tcW w:w="1224"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frontend/src/lib/firebaseClient.js</w:t>
            </w:r>
          </w:p>
        </w:tc>
      </w:tr>
      <w:tr>
        <w:trPr>
          <w:cantSplit/>
        </w:trPr>
        <w:tc>
          <w:tcPr>
            <w:tcW w:w="648"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Firebase Storage</w:t>
            </w:r>
          </w:p>
        </w:tc>
        <w:tc>
          <w:tcPr>
            <w:tcW w:w="835"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Document Blob Storage</w:t>
            </w:r>
          </w:p>
        </w:tc>
        <w:tc>
          <w:tcPr>
            <w:tcW w:w="1224"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ProfilePhotos/, ResumeFiles/, Certs/</w:t>
            </w:r>
          </w:p>
        </w:tc>
      </w:tr>
      <w:tr>
        <w:trPr>
          <w:cantSplit/>
        </w:trPr>
        <w:tc>
          <w:tcPr>
            <w:tcW w:w="648"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Firebase Functions</w:t>
            </w:r>
          </w:p>
        </w:tc>
        <w:tc>
          <w:tcPr>
            <w:tcW w:w="835"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Serverless Node.js 18 Backend</w:t>
            </w:r>
          </w:p>
        </w:tc>
        <w:tc>
          <w:tcPr>
            <w:tcW w:w="1224"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backend/index.js</w:t>
            </w:r>
          </w:p>
        </w:tc>
      </w:tr>
      <w:tr>
        <w:trPr>
          <w:cantSplit/>
        </w:trPr>
        <w:tc>
          <w:tcPr>
            <w:tcW w:w="648"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HTML5 LocalStorage</w:t>
            </w:r>
          </w:p>
        </w:tc>
        <w:tc>
          <w:tcPr>
            <w:tcW w:w="835"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Zero-Network Offline Persistence</w:t>
            </w:r>
          </w:p>
        </w:tc>
        <w:tc>
          <w:tcPr>
            <w:tcW w:w="1224"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frontend/src/lib/services/dbHelper.js</w:t>
            </w:r>
          </w:p>
        </w:tc>
      </w:tr>
      <w:tr>
        <w:trPr>
          <w:cantSplit/>
        </w:trPr>
        <w:tc>
          <w:tcPr>
            <w:tcW w:w="648"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Chart.js 4.5.1</w:t>
            </w:r>
          </w:p>
        </w:tc>
        <w:tc>
          <w:tcPr>
            <w:tcW w:w="835"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Placement Analytics Visuals</w:t>
            </w:r>
          </w:p>
        </w:tc>
        <w:tc>
          <w:tcPr>
            <w:tcW w:w="1224"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frontend/src/routes/reports, dashboard</w:t>
            </w:r>
          </w:p>
        </w:tc>
      </w:tr>
      <w:tr>
        <w:trPr>
          <w:cantSplit/>
        </w:trPr>
        <w:tc>
          <w:tcPr>
            <w:tcW w:w="648" w:type="dxa"/>
            <w:tcBorders>
              <w:top w:val="single" w:sz="4" w:space="0" w:color="D3D3D3"/>
              <w:bottom w:val="single" w:sz="6" w:space="0" w:color="000000"/>
            </w:tcBorders>
            <w:tcMar>
              <w:top w:w="60" w:type="dxa"/>
              <w:bottom w:w="60" w:type="dxa"/>
            </w:tcMar>
          </w:tcPr>
          <w:p>
            <w:pPr>
              <w:pStyle w:val="Normal"/>
              <w:jc w:val="center"/>
              <w:rPr/>
            </w:pPr>
            <w:r>
              <w:rPr>
                <w:rFonts w:ascii="Times New Roman" w:hAnsi="Times New Roman"/>
                <w:sz w:val="15"/>
              </w:rPr>
              <w:t>Capacitor JS 8.5.0</w:t>
            </w:r>
          </w:p>
        </w:tc>
        <w:tc>
          <w:tcPr>
            <w:tcW w:w="835" w:type="dxa"/>
            <w:tcBorders>
              <w:top w:val="single" w:sz="4" w:space="0" w:color="D3D3D3"/>
              <w:bottom w:val="single" w:sz="6" w:space="0" w:color="000000"/>
            </w:tcBorders>
            <w:tcMar>
              <w:top w:w="60" w:type="dxa"/>
              <w:bottom w:w="60" w:type="dxa"/>
            </w:tcMar>
          </w:tcPr>
          <w:p>
            <w:pPr>
              <w:pStyle w:val="Normal"/>
              <w:jc w:val="center"/>
              <w:rPr/>
            </w:pPr>
            <w:r>
              <w:rPr>
                <w:rFonts w:ascii="Times New Roman" w:hAnsi="Times New Roman"/>
                <w:sz w:val="15"/>
              </w:rPr>
              <w:t>Android &amp; iOS Mobile Packaging</w:t>
            </w:r>
          </w:p>
        </w:tc>
        <w:tc>
          <w:tcPr>
            <w:tcW w:w="1224" w:type="dxa"/>
            <w:tcBorders>
              <w:top w:val="single" w:sz="4" w:space="0" w:color="D3D3D3"/>
              <w:bottom w:val="single" w:sz="6" w:space="0" w:color="000000"/>
            </w:tcBorders>
            <w:tcMar>
              <w:top w:w="60" w:type="dxa"/>
              <w:bottom w:w="60" w:type="dxa"/>
            </w:tcMar>
          </w:tcPr>
          <w:p>
            <w:pPr>
              <w:pStyle w:val="Normal"/>
              <w:jc w:val="center"/>
              <w:rPr/>
            </w:pPr>
            <w:r>
              <w:rPr>
                <w:rFonts w:ascii="Times New Roman" w:hAnsi="Times New Roman"/>
                <w:sz w:val="15"/>
              </w:rPr>
              <w:t>frontend/capacitor.config.json</w:t>
            </w:r>
          </w:p>
        </w:tc>
      </w:tr>
    </w:tbl>
    <w:p>
      <w:pPr>
        <w:pStyle w:val="Normal"/>
        <w:spacing w:lineRule="auto" w:line="240" w:before="0" w:after="0"/>
        <w:ind w:firstLine="200"/>
        <w:jc w:val="both"/>
        <w:rPr/>
      </w:pPr>
      <w:r>
        <w:rPr>
          <w:rFonts w:ascii="Times New Roman" w:hAnsi="Times New Roman"/>
          <w:sz w:val="20"/>
        </w:rPr>
        <w:t>The Cloud Firestore database schema is partitioned into twelve top-level collections: users (identity and role), students (academic standing, CGPA, readiness score), skills (categorized matrices), projects (portfolio items), certifications (verified credentials), resumes (document metadata), resumeAnalysis (ATS scores, matched/missing keywords, feedback), companies (recruitment drives and eligibility), applications (student job submissions and statuses), interviews (question logs and evaluations), recommendations (learning roadmaps), and notifications (system alerts).</w:t>
      </w:r>
    </w:p>
    <w:p>
      <w:pPr>
        <w:pStyle w:val="Heading1"/>
        <w:spacing w:before="160" w:after="80"/>
        <w:ind w:hanging="0"/>
        <w:jc w:val="center"/>
        <w:rPr/>
      </w:pPr>
      <w:r>
        <w:rPr>
          <w:rFonts w:ascii="Times New Roman" w:hAnsi="Times New Roman"/>
          <w:b/>
          <w:i w:val="0"/>
          <w:sz w:val="20"/>
        </w:rPr>
        <w:t>RESULTS AND DISCUSSION</w:t>
      </w:r>
    </w:p>
    <w:p>
      <w:pPr>
        <w:pStyle w:val="Normal"/>
        <w:spacing w:lineRule="auto" w:line="240" w:before="0" w:after="0"/>
        <w:ind w:firstLine="200"/>
        <w:jc w:val="both"/>
        <w:rPr/>
      </w:pPr>
      <w:r>
        <w:rPr>
          <w:rFonts w:ascii="Times New Roman" w:hAnsi="Times New Roman"/>
          <w:sz w:val="20"/>
        </w:rPr>
        <w:t>Because the repository does not maintain a historical labeled benchmark dataset, reporting predictive accuracy metrics (such as Precision/Recall against actual corporate hiring outcomes) would not be scientifically justified. Instead, functional verification was conducted across all operational modules. TABLE II summarizes the observed functional test results.</w:t>
      </w:r>
    </w:p>
    <w:p>
      <w:r>
        <w:br w:type="column"/>
      </w:r>
    </w:p>
    <w:p>
      <w:pPr>
        <w:pStyle w:val="Normal"/>
        <w:spacing w:before="60" w:after="40"/>
        <w:jc w:val="center"/>
        <w:rPr/>
      </w:pPr>
      <w:r>
        <w:rPr>
          <w:rFonts w:ascii="Times New Roman" w:hAnsi="Times New Roman"/>
          <w:b/>
          <w:sz w:val="16"/>
        </w:rPr>
        <w:t>TABLE II. FUNCTIONAL VERIFICATION TEST RESULTS</w:t>
      </w:r>
    </w:p>
    <w:tbl>
      <w:tblPr>
        <w:tblW w:w="5000" w:type="pct"/>
        <w:jc w:val="center"/>
        <w:tblInd w:w="0" w:type="dxa"/>
        <w:tblLayout w:type="fixed"/>
        <w:tblCellMar>
          <w:top w:w="80" w:type="dxa"/>
          <w:left w:w="100" w:type="dxa"/>
          <w:bottom w:w="80" w:type="dxa"/>
          <w:right w:w="100" w:type="dxa"/>
        </w:tblCellMar>
      </w:tblPr>
      <w:tblGrid>
        <w:gridCol w:w="683"/>
        <w:gridCol w:w="976"/>
        <w:gridCol w:w="1464"/>
        <w:gridCol w:w="1366"/>
        <w:gridCol w:w="391"/>
      </w:tblGrid>
      <w:tr>
        <w:trPr>
          <w:tblHeader w:val="true"/>
          <w:cantSplit/>
        </w:trPr>
        <w:tc>
          <w:tcPr>
            <w:tcW w:w="1181" w:type="dxa"/>
            <w:tcBorders>
              <w:top w:val="single" w:sz="6" w:space="0" w:color="000000"/>
              <w:bottom w:val="single" w:sz="4" w:space="0" w:color="D3D3D3"/>
            </w:tcBorders>
            <w:shd w:color="auto" w:fill="F2F2F2" w:val="clear"/>
          </w:tcPr>
          <w:p>
            <w:pPr>
              <w:pStyle w:val="Normal"/>
              <w:jc w:val="center"/>
              <w:rPr/>
            </w:pPr>
            <w:r>
              <w:rPr>
                <w:rFonts w:ascii="Times New Roman" w:hAnsi="Times New Roman"/>
                <w:b/>
                <w:sz w:val="15"/>
              </w:rPr>
              <w:t>Test ID</w:t>
            </w:r>
          </w:p>
        </w:tc>
        <w:tc>
          <w:tcPr>
            <w:tcW w:w="893" w:type="dxa"/>
            <w:tcBorders>
              <w:top w:val="single" w:sz="6" w:space="0" w:color="000000"/>
              <w:bottom w:val="single" w:sz="4" w:space="0" w:color="D3D3D3"/>
            </w:tcBorders>
            <w:shd w:color="auto" w:fill="F2F2F2" w:val="clear"/>
          </w:tcPr>
          <w:p>
            <w:pPr>
              <w:pStyle w:val="Normal"/>
              <w:jc w:val="center"/>
              <w:rPr/>
            </w:pPr>
            <w:r>
              <w:rPr>
                <w:rFonts w:ascii="Times New Roman" w:hAnsi="Times New Roman"/>
                <w:b/>
                <w:sz w:val="15"/>
              </w:rPr>
              <w:t>Module</w:t>
            </w:r>
          </w:p>
        </w:tc>
        <w:tc>
          <w:tcPr>
            <w:tcW w:w="893" w:type="dxa"/>
            <w:tcBorders>
              <w:top w:val="single" w:sz="6" w:space="0" w:color="000000"/>
              <w:bottom w:val="single" w:sz="4" w:space="0" w:color="D3D3D3"/>
            </w:tcBorders>
            <w:shd w:color="auto" w:fill="F2F2F2" w:val="clear"/>
          </w:tcPr>
          <w:p>
            <w:pPr>
              <w:pStyle w:val="Normal"/>
              <w:jc w:val="center"/>
              <w:rPr/>
            </w:pPr>
            <w:r>
              <w:rPr>
                <w:rFonts w:ascii="Times New Roman" w:hAnsi="Times New Roman"/>
                <w:b/>
                <w:sz w:val="15"/>
              </w:rPr>
              <w:t>Test Scenario</w:t>
            </w:r>
          </w:p>
        </w:tc>
        <w:tc>
          <w:tcPr>
            <w:tcW w:w="893" w:type="dxa"/>
            <w:tcBorders>
              <w:top w:val="single" w:sz="6" w:space="0" w:color="000000"/>
              <w:bottom w:val="single" w:sz="4" w:space="0" w:color="D3D3D3"/>
            </w:tcBorders>
            <w:shd w:color="auto" w:fill="F2F2F2" w:val="clear"/>
          </w:tcPr>
          <w:p>
            <w:pPr>
              <w:pStyle w:val="Normal"/>
              <w:jc w:val="center"/>
              <w:rPr/>
            </w:pPr>
            <w:r>
              <w:rPr>
                <w:rFonts w:ascii="Times New Roman" w:hAnsi="Times New Roman"/>
                <w:b/>
                <w:sz w:val="15"/>
              </w:rPr>
              <w:t>Observed Output</w:t>
            </w:r>
          </w:p>
        </w:tc>
        <w:tc>
          <w:tcPr>
            <w:tcW w:w="1037" w:type="dxa"/>
            <w:tcBorders>
              <w:top w:val="single" w:sz="6" w:space="0" w:color="000000"/>
              <w:bottom w:val="single" w:sz="4" w:space="0" w:color="D3D3D3"/>
            </w:tcBorders>
            <w:shd w:color="auto" w:fill="F2F2F2" w:val="clear"/>
          </w:tcPr>
          <w:p>
            <w:pPr>
              <w:pStyle w:val="Normal"/>
              <w:jc w:val="center"/>
              <w:rPr/>
            </w:pPr>
            <w:r>
              <w:rPr>
                <w:rFonts w:ascii="Times New Roman" w:hAnsi="Times New Roman"/>
                <w:b/>
                <w:sz w:val="15"/>
              </w:rPr>
              <w:t>Status</w:t>
            </w:r>
          </w:p>
        </w:tc>
      </w:tr>
      <w:tr>
        <w:trPr>
          <w:cantSplit/>
        </w:trPr>
        <w:tc>
          <w:tcPr>
            <w:tcW w:w="1181"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TC-01</w:t>
            </w:r>
          </w:p>
        </w:tc>
        <w:tc>
          <w:tcPr>
            <w:tcW w:w="893"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Auth &amp; Session</w:t>
            </w:r>
          </w:p>
        </w:tc>
        <w:tc>
          <w:tcPr>
            <w:tcW w:w="893"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Student login with valid credentials</w:t>
            </w:r>
          </w:p>
        </w:tc>
        <w:tc>
          <w:tcPr>
            <w:tcW w:w="893"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Session loaded with active profile</w:t>
            </w:r>
          </w:p>
        </w:tc>
        <w:tc>
          <w:tcPr>
            <w:tcW w:w="1037"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PASS</w:t>
            </w:r>
          </w:p>
        </w:tc>
      </w:tr>
      <w:tr>
        <w:trPr>
          <w:cantSplit/>
        </w:trPr>
        <w:tc>
          <w:tcPr>
            <w:tcW w:w="1181"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TC-02</w:t>
            </w:r>
          </w:p>
        </w:tc>
        <w:tc>
          <w:tcPr>
            <w:tcW w:w="893"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Resume ATS</w:t>
            </w:r>
          </w:p>
        </w:tc>
        <w:tc>
          <w:tcPr>
            <w:tcW w:w="893"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Upload PDF resume; call Gemini parser</w:t>
            </w:r>
          </w:p>
        </w:tc>
        <w:tc>
          <w:tcPr>
            <w:tcW w:w="893"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Structured ATS JSON (score: 78/100)</w:t>
            </w:r>
          </w:p>
        </w:tc>
        <w:tc>
          <w:tcPr>
            <w:tcW w:w="1037"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PASS</w:t>
            </w:r>
          </w:p>
        </w:tc>
      </w:tr>
      <w:tr>
        <w:trPr>
          <w:cantSplit/>
        </w:trPr>
        <w:tc>
          <w:tcPr>
            <w:tcW w:w="1181"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TC-03</w:t>
            </w:r>
          </w:p>
        </w:tc>
        <w:tc>
          <w:tcPr>
            <w:tcW w:w="893"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Skill Sync</w:t>
            </w:r>
          </w:p>
        </w:tc>
        <w:tc>
          <w:tcPr>
            <w:tcW w:w="893"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Extract skills from ATS report</w:t>
            </w:r>
          </w:p>
        </w:tc>
        <w:tc>
          <w:tcPr>
            <w:tcW w:w="893"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6 skills categorized into DB matrix</w:t>
            </w:r>
          </w:p>
        </w:tc>
        <w:tc>
          <w:tcPr>
            <w:tcW w:w="1037"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PASS</w:t>
            </w:r>
          </w:p>
        </w:tc>
      </w:tr>
      <w:tr>
        <w:trPr>
          <w:cantSplit/>
        </w:trPr>
        <w:tc>
          <w:tcPr>
            <w:tcW w:w="1181"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TC-04</w:t>
            </w:r>
          </w:p>
        </w:tc>
        <w:tc>
          <w:tcPr>
            <w:tcW w:w="893"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In-Engine RAG</w:t>
            </w:r>
          </w:p>
        </w:tc>
        <w:tc>
          <w:tcPr>
            <w:tcW w:w="893"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Query: "Zoho round 2 algorithms"</w:t>
            </w:r>
          </w:p>
        </w:tc>
        <w:tc>
          <w:tcPr>
            <w:tcW w:w="893"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Zoho archive retrieved (sim: 92%)</w:t>
            </w:r>
          </w:p>
        </w:tc>
        <w:tc>
          <w:tcPr>
            <w:tcW w:w="1037"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PASS</w:t>
            </w:r>
          </w:p>
        </w:tc>
      </w:tr>
      <w:tr>
        <w:trPr>
          <w:cantSplit/>
        </w:trPr>
        <w:tc>
          <w:tcPr>
            <w:tcW w:w="1181"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TC-05</w:t>
            </w:r>
          </w:p>
        </w:tc>
        <w:tc>
          <w:tcPr>
            <w:tcW w:w="893"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Mock Interview</w:t>
            </w:r>
          </w:p>
        </w:tc>
        <w:tc>
          <w:tcPr>
            <w:tcW w:w="893"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5-question IT domain mock round</w:t>
            </w:r>
          </w:p>
        </w:tc>
        <w:tc>
          <w:tcPr>
            <w:tcW w:w="893"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Grounded Qs + 5-axis score (80/100)</w:t>
            </w:r>
          </w:p>
        </w:tc>
        <w:tc>
          <w:tcPr>
            <w:tcW w:w="1037"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PASS</w:t>
            </w:r>
          </w:p>
        </w:tc>
      </w:tr>
      <w:tr>
        <w:trPr>
          <w:cantSplit/>
        </w:trPr>
        <w:tc>
          <w:tcPr>
            <w:tcW w:w="1181"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TC-06</w:t>
            </w:r>
          </w:p>
        </w:tc>
        <w:tc>
          <w:tcPr>
            <w:tcW w:w="893"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Coding Evaluator</w:t>
            </w:r>
          </w:p>
        </w:tc>
        <w:tc>
          <w:tcPr>
            <w:tcW w:w="893"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Array scan solution in JavaScript</w:t>
            </w:r>
          </w:p>
        </w:tc>
        <w:tc>
          <w:tcPr>
            <w:tcW w:w="893"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Score: 90%, Complexity: O(N)</w:t>
            </w:r>
          </w:p>
        </w:tc>
        <w:tc>
          <w:tcPr>
            <w:tcW w:w="1037"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PASS</w:t>
            </w:r>
          </w:p>
        </w:tc>
      </w:tr>
      <w:tr>
        <w:trPr>
          <w:cantSplit/>
        </w:trPr>
        <w:tc>
          <w:tcPr>
            <w:tcW w:w="1181"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TC-07</w:t>
            </w:r>
          </w:p>
        </w:tc>
        <w:tc>
          <w:tcPr>
            <w:tcW w:w="893"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Readiness Engine</w:t>
            </w:r>
          </w:p>
        </w:tc>
        <w:tc>
          <w:tcPr>
            <w:tcW w:w="893"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Profile update (CGPA=8.5, ATS=78)</w:t>
            </w:r>
          </w:p>
        </w:tc>
        <w:tc>
          <w:tcPr>
            <w:tcW w:w="893"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Score recomputed to 79/100</w:t>
            </w:r>
          </w:p>
        </w:tc>
        <w:tc>
          <w:tcPr>
            <w:tcW w:w="1037"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PASS</w:t>
            </w:r>
          </w:p>
        </w:tc>
      </w:tr>
      <w:tr>
        <w:trPr>
          <w:cantSplit/>
        </w:trPr>
        <w:tc>
          <w:tcPr>
            <w:tcW w:w="1181" w:type="dxa"/>
            <w:tcBorders>
              <w:top w:val="single" w:sz="4" w:space="0" w:color="D3D3D3"/>
              <w:bottom w:val="single" w:sz="6" w:space="0" w:color="000000"/>
            </w:tcBorders>
            <w:tcMar>
              <w:top w:w="60" w:type="dxa"/>
              <w:bottom w:w="60" w:type="dxa"/>
            </w:tcMar>
          </w:tcPr>
          <w:p>
            <w:pPr>
              <w:pStyle w:val="Normal"/>
              <w:jc w:val="center"/>
              <w:rPr/>
            </w:pPr>
            <w:r>
              <w:rPr>
                <w:rFonts w:ascii="Times New Roman" w:hAnsi="Times New Roman"/>
                <w:sz w:val="15"/>
              </w:rPr>
              <w:t>TC-08</w:t>
            </w:r>
          </w:p>
        </w:tc>
        <w:tc>
          <w:tcPr>
            <w:tcW w:w="893" w:type="dxa"/>
            <w:tcBorders>
              <w:top w:val="single" w:sz="4" w:space="0" w:color="D3D3D3"/>
              <w:bottom w:val="single" w:sz="6" w:space="0" w:color="000000"/>
            </w:tcBorders>
            <w:tcMar>
              <w:top w:w="60" w:type="dxa"/>
              <w:bottom w:w="60" w:type="dxa"/>
            </w:tcMar>
          </w:tcPr>
          <w:p>
            <w:pPr>
              <w:pStyle w:val="Normal"/>
              <w:jc w:val="center"/>
              <w:rPr/>
            </w:pPr>
            <w:r>
              <w:rPr>
                <w:rFonts w:ascii="Times New Roman" w:hAnsi="Times New Roman"/>
                <w:sz w:val="15"/>
              </w:rPr>
              <w:t>Offline Fallback</w:t>
            </w:r>
          </w:p>
        </w:tc>
        <w:tc>
          <w:tcPr>
            <w:tcW w:w="893" w:type="dxa"/>
            <w:tcBorders>
              <w:top w:val="single" w:sz="4" w:space="0" w:color="D3D3D3"/>
              <w:bottom w:val="single" w:sz="6" w:space="0" w:color="000000"/>
            </w:tcBorders>
            <w:tcMar>
              <w:top w:w="60" w:type="dxa"/>
              <w:bottom w:w="60" w:type="dxa"/>
            </w:tcMar>
          </w:tcPr>
          <w:p>
            <w:pPr>
              <w:pStyle w:val="Normal"/>
              <w:jc w:val="center"/>
              <w:rPr/>
            </w:pPr>
            <w:r>
              <w:rPr>
                <w:rFonts w:ascii="Times New Roman" w:hAnsi="Times New Roman"/>
                <w:sz w:val="15"/>
              </w:rPr>
              <w:t>Disconnect Firebase API key</w:t>
            </w:r>
          </w:p>
        </w:tc>
        <w:tc>
          <w:tcPr>
            <w:tcW w:w="893" w:type="dxa"/>
            <w:tcBorders>
              <w:top w:val="single" w:sz="4" w:space="0" w:color="D3D3D3"/>
              <w:bottom w:val="single" w:sz="6" w:space="0" w:color="000000"/>
            </w:tcBorders>
            <w:tcMar>
              <w:top w:w="60" w:type="dxa"/>
              <w:bottom w:w="60" w:type="dxa"/>
            </w:tcMar>
          </w:tcPr>
          <w:p>
            <w:pPr>
              <w:pStyle w:val="Normal"/>
              <w:jc w:val="center"/>
              <w:rPr/>
            </w:pPr>
            <w:r>
              <w:rPr>
                <w:rFonts w:ascii="Times New Roman" w:hAnsi="Times New Roman"/>
                <w:sz w:val="15"/>
              </w:rPr>
              <w:t>LocalStorage mock execution active</w:t>
            </w:r>
          </w:p>
        </w:tc>
        <w:tc>
          <w:tcPr>
            <w:tcW w:w="1037" w:type="dxa"/>
            <w:tcBorders>
              <w:top w:val="single" w:sz="4" w:space="0" w:color="D3D3D3"/>
              <w:bottom w:val="single" w:sz="6" w:space="0" w:color="000000"/>
            </w:tcBorders>
            <w:tcMar>
              <w:top w:w="60" w:type="dxa"/>
              <w:bottom w:w="60" w:type="dxa"/>
            </w:tcMar>
          </w:tcPr>
          <w:p>
            <w:pPr>
              <w:pStyle w:val="Normal"/>
              <w:jc w:val="center"/>
              <w:rPr/>
            </w:pPr>
            <w:r>
              <w:rPr>
                <w:rFonts w:ascii="Times New Roman" w:hAnsi="Times New Roman"/>
                <w:sz w:val="15"/>
              </w:rPr>
              <w:t>PASS</w:t>
            </w:r>
          </w:p>
        </w:tc>
      </w:tr>
    </w:tbl>
    <w:p>
      <w:pPr>
        <w:pStyle w:val="Normal"/>
        <w:spacing w:lineRule="auto" w:line="240" w:before="0" w:after="0"/>
        <w:ind w:firstLine="200"/>
        <w:jc w:val="both"/>
        <w:rPr/>
      </w:pPr>
      <w:r>
        <w:rPr>
          <w:rFonts w:ascii="Times New Roman" w:hAnsi="Times New Roman"/>
        </w:rPr>
        <w:t>RAG retrieval validation confirmed that company-specific queries (e.g., "TCS Digital interview pattern") achieved similarity scores &gt;= 0.88, successfully injecting institutional archives into the prompt and with no hallucinations observed in the tested cases. The deterministic placement readiness formula was verified mathematically: for a student with CGPA=8.5, ATS=78, 8 skills (P_avg=75), 2 projects, 1 certification, and an interview score of 80, the manual calculation yields 79.0, matching the exact software output of 79.</w:t>
      </w:r>
    </w:p>
    <w:p>
      <w:r>
        <w:br w:type="column"/>
      </w:r>
    </w:p>
    <w:p>
      <w:pPr>
        <w:pStyle w:val="Heading1"/>
        <w:spacing w:before="160" w:after="80"/>
        <w:ind w:hanging="0"/>
        <w:jc w:val="center"/>
        <w:rPr/>
      </w:pPr>
      <w:r>
        <w:rPr>
          <w:rFonts w:ascii="Times New Roman" w:hAnsi="Times New Roman"/>
          <w:b/>
          <w:i w:val="0"/>
          <w:sz w:val="20"/>
        </w:rPr>
        <w:t>COMPARISON WITH EXISTING SYSTEMS</w:t>
      </w:r>
    </w:p>
    <w:p>
      <w:pPr>
        <w:pStyle w:val="Normal"/>
        <w:spacing w:lineRule="auto" w:line="230" w:before="60" w:after="40"/>
        <w:ind w:firstLine="200"/>
        <w:jc w:val="center"/>
        <w:rPr/>
      </w:pPr>
      <w:r>
        <w:rPr>
          <w:rFonts w:ascii="Times New Roman" w:hAnsi="Times New Roman"/>
          <w:b/>
          <w:sz w:val="16"/>
        </w:rPr>
        <w:t>TABLE III presents a comparative analysis between CareerScence and existing career preparation paradigms.</w:t>
      </w:r>
    </w:p>
    <w:p>
      <w:pPr>
        <w:pStyle w:val="Normal"/>
        <w:spacing w:before="60" w:after="40"/>
        <w:jc w:val="center"/>
        <w:rPr/>
      </w:pPr>
      <w:r>
        <w:rPr>
          <w:rFonts w:ascii="Times New Roman" w:hAnsi="Times New Roman"/>
          <w:b/>
          <w:sz w:val="16"/>
        </w:rPr>
        <w:t>TABLE III. COMPARISON WITH EXISTING PLATFORMS</w:t>
      </w:r>
    </w:p>
    <w:tbl>
      <w:tblPr>
        <w:tblW w:w="5000" w:type="pct"/>
        <w:jc w:val="center"/>
        <w:tblInd w:w="0" w:type="dxa"/>
        <w:tblLayout w:type="autofit"/>
        <w:tblCellMar>
          <w:top w:w="80" w:type="dxa"/>
          <w:left w:w="100" w:type="dxa"/>
          <w:bottom w:w="80" w:type="dxa"/>
          <w:right w:w="100" w:type="dxa"/>
        </w:tblCellMar>
      </w:tblPr>
      <w:tblGrid>
        <w:gridCol w:w="1366"/>
        <w:gridCol w:w="878"/>
        <w:gridCol w:w="879"/>
        <w:gridCol w:w="878"/>
        <w:gridCol w:w="879"/>
      </w:tblGrid>
      <w:tr>
        <w:trPr>
          <w:tblHeader w:val="true"/>
          <w:cantSplit/>
        </w:trPr>
        <w:tc>
          <w:tcPr>
            <w:tcW w:w="1366" w:type="dxa"/>
            <w:tcBorders>
              <w:top w:val="single" w:sz="6" w:space="0" w:color="000000"/>
              <w:bottom w:val="single" w:sz="4" w:space="0" w:color="D3D3D3"/>
            </w:tcBorders>
            <w:shd w:color="auto" w:fill="F2F2F2" w:val="clear"/>
          </w:tcPr>
          <w:p>
            <w:pPr>
              <w:pStyle w:val="Normal"/>
              <w:jc w:val="center"/>
              <w:rPr/>
            </w:pPr>
            <w:r>
              <w:rPr>
                <w:rFonts w:ascii="Times New Roman" w:hAnsi="Times New Roman"/>
                <w:b/>
                <w:sz w:val="15"/>
              </w:rPr>
              <w:t>Feature Dimension</w:t>
            </w:r>
          </w:p>
        </w:tc>
        <w:tc>
          <w:tcPr>
            <w:tcW w:w="878" w:type="dxa"/>
            <w:tcBorders>
              <w:top w:val="single" w:sz="6" w:space="0" w:color="000000"/>
              <w:bottom w:val="single" w:sz="4" w:space="0" w:color="D3D3D3"/>
            </w:tcBorders>
            <w:shd w:color="auto" w:fill="F2F2F2" w:val="clear"/>
          </w:tcPr>
          <w:p>
            <w:pPr>
              <w:pStyle w:val="Normal"/>
              <w:jc w:val="center"/>
              <w:rPr/>
            </w:pPr>
            <w:r>
              <w:rPr>
                <w:rFonts w:ascii="Times New Roman" w:hAnsi="Times New Roman"/>
                <w:b/>
                <w:sz w:val="15"/>
              </w:rPr>
              <w:t>Conventional Portal</w:t>
            </w:r>
          </w:p>
        </w:tc>
        <w:tc>
          <w:tcPr>
            <w:tcW w:w="879" w:type="dxa"/>
            <w:tcBorders>
              <w:top w:val="single" w:sz="6" w:space="0" w:color="000000"/>
              <w:bottom w:val="single" w:sz="4" w:space="0" w:color="D3D3D3"/>
            </w:tcBorders>
            <w:shd w:color="auto" w:fill="F2F2F2" w:val="clear"/>
          </w:tcPr>
          <w:p>
            <w:pPr>
              <w:pStyle w:val="Normal"/>
              <w:jc w:val="center"/>
              <w:rPr/>
            </w:pPr>
            <w:r>
              <w:rPr>
                <w:rFonts w:ascii="Times New Roman" w:hAnsi="Times New Roman"/>
                <w:b/>
                <w:sz w:val="15"/>
              </w:rPr>
              <w:t>Standalone ATS</w:t>
            </w:r>
          </w:p>
        </w:tc>
        <w:tc>
          <w:tcPr>
            <w:tcW w:w="878" w:type="dxa"/>
            <w:tcBorders>
              <w:top w:val="single" w:sz="6" w:space="0" w:color="000000"/>
              <w:bottom w:val="single" w:sz="4" w:space="0" w:color="D3D3D3"/>
            </w:tcBorders>
            <w:shd w:color="auto" w:fill="F2F2F2" w:val="clear"/>
          </w:tcPr>
          <w:p>
            <w:pPr>
              <w:pStyle w:val="Normal"/>
              <w:jc w:val="center"/>
              <w:rPr/>
            </w:pPr>
            <w:r>
              <w:rPr>
                <w:rFonts w:ascii="Times New Roman" w:hAnsi="Times New Roman"/>
                <w:b/>
                <w:sz w:val="15"/>
              </w:rPr>
              <w:t>Generic LLM Chat</w:t>
            </w:r>
          </w:p>
        </w:tc>
        <w:tc>
          <w:tcPr>
            <w:tcW w:w="879" w:type="dxa"/>
            <w:tcBorders>
              <w:top w:val="single" w:sz="6" w:space="0" w:color="000000"/>
              <w:bottom w:val="single" w:sz="4" w:space="0" w:color="D3D3D3"/>
            </w:tcBorders>
            <w:shd w:color="auto" w:fill="F2F2F2" w:val="clear"/>
          </w:tcPr>
          <w:p>
            <w:pPr>
              <w:pStyle w:val="Normal"/>
              <w:jc w:val="center"/>
              <w:rPr/>
            </w:pPr>
            <w:r>
              <w:rPr>
                <w:rFonts w:ascii="Times New Roman" w:hAnsi="Times New Roman"/>
                <w:b/>
                <w:sz w:val="15"/>
              </w:rPr>
              <w:t>CareerScence</w:t>
            </w:r>
          </w:p>
        </w:tc>
      </w:tr>
      <w:tr>
        <w:trPr>
          <w:cantSplit/>
        </w:trPr>
        <w:tc>
          <w:tcPr>
            <w:tcW w:w="1366"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Candidate Profile &amp; Skills</w:t>
            </w:r>
          </w:p>
        </w:tc>
        <w:tc>
          <w:tcPr>
            <w:tcW w:w="878"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Yes (Static)</w:t>
            </w:r>
          </w:p>
        </w:tc>
        <w:tc>
          <w:tcPr>
            <w:tcW w:w="879"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No</w:t>
            </w:r>
          </w:p>
        </w:tc>
        <w:tc>
          <w:tcPr>
            <w:tcW w:w="878"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No</w:t>
            </w:r>
          </w:p>
        </w:tc>
        <w:tc>
          <w:tcPr>
            <w:tcW w:w="879"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Yes (Dynamic 5-Cat)</w:t>
            </w:r>
          </w:p>
        </w:tc>
      </w:tr>
      <w:tr>
        <w:trPr>
          <w:cantSplit/>
        </w:trPr>
        <w:tc>
          <w:tcPr>
            <w:tcW w:w="1366"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ATS Resume Diagnostics</w:t>
            </w:r>
          </w:p>
        </w:tc>
        <w:tc>
          <w:tcPr>
            <w:tcW w:w="878"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No</w:t>
            </w:r>
          </w:p>
        </w:tc>
        <w:tc>
          <w:tcPr>
            <w:tcW w:w="879"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Yes</w:t>
            </w:r>
          </w:p>
        </w:tc>
        <w:tc>
          <w:tcPr>
            <w:tcW w:w="878"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Partial (Text only)</w:t>
            </w:r>
          </w:p>
        </w:tc>
        <w:tc>
          <w:tcPr>
            <w:tcW w:w="879"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Yes (Structured JSON)</w:t>
            </w:r>
          </w:p>
        </w:tc>
      </w:tr>
      <w:tr>
        <w:trPr>
          <w:cantSplit/>
        </w:trPr>
        <w:tc>
          <w:tcPr>
            <w:tcW w:w="1366"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Automated Skill Ingestion</w:t>
            </w:r>
          </w:p>
        </w:tc>
        <w:tc>
          <w:tcPr>
            <w:tcW w:w="878"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No</w:t>
            </w:r>
          </w:p>
        </w:tc>
        <w:tc>
          <w:tcPr>
            <w:tcW w:w="879"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No</w:t>
            </w:r>
          </w:p>
        </w:tc>
        <w:tc>
          <w:tcPr>
            <w:tcW w:w="878"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No</w:t>
            </w:r>
          </w:p>
        </w:tc>
        <w:tc>
          <w:tcPr>
            <w:tcW w:w="879"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Yes (Deterministic)</w:t>
            </w:r>
          </w:p>
        </w:tc>
      </w:tr>
      <w:tr>
        <w:trPr>
          <w:cantSplit/>
        </w:trPr>
        <w:tc>
          <w:tcPr>
            <w:tcW w:w="1366"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In-Engine RAG Grounding</w:t>
            </w:r>
          </w:p>
        </w:tc>
        <w:tc>
          <w:tcPr>
            <w:tcW w:w="878"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No</w:t>
            </w:r>
          </w:p>
        </w:tc>
        <w:tc>
          <w:tcPr>
            <w:tcW w:w="879"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No</w:t>
            </w:r>
          </w:p>
        </w:tc>
        <w:tc>
          <w:tcPr>
            <w:tcW w:w="878"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No</w:t>
            </w:r>
          </w:p>
        </w:tc>
        <w:tc>
          <w:tcPr>
            <w:tcW w:w="879"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Yes (TF + Cosine + Boost)</w:t>
            </w:r>
          </w:p>
        </w:tc>
      </w:tr>
      <w:tr>
        <w:trPr>
          <w:cantSplit/>
        </w:trPr>
        <w:tc>
          <w:tcPr>
            <w:tcW w:w="1366"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Adaptive Mock Interview</w:t>
            </w:r>
          </w:p>
        </w:tc>
        <w:tc>
          <w:tcPr>
            <w:tcW w:w="878"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No</w:t>
            </w:r>
          </w:p>
        </w:tc>
        <w:tc>
          <w:tcPr>
            <w:tcW w:w="879"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No</w:t>
            </w:r>
          </w:p>
        </w:tc>
        <w:tc>
          <w:tcPr>
            <w:tcW w:w="878"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Partial (Ungrounded)</w:t>
            </w:r>
          </w:p>
        </w:tc>
        <w:tc>
          <w:tcPr>
            <w:tcW w:w="879"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Yes (RAG-Grounded)</w:t>
            </w:r>
          </w:p>
        </w:tc>
      </w:tr>
      <w:tr>
        <w:trPr>
          <w:cantSplit/>
        </w:trPr>
        <w:tc>
          <w:tcPr>
            <w:tcW w:w="1366"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Coding Complexity Audit</w:t>
            </w:r>
          </w:p>
        </w:tc>
        <w:tc>
          <w:tcPr>
            <w:tcW w:w="878"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No</w:t>
            </w:r>
          </w:p>
        </w:tc>
        <w:tc>
          <w:tcPr>
            <w:tcW w:w="879"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No</w:t>
            </w:r>
          </w:p>
        </w:tc>
        <w:tc>
          <w:tcPr>
            <w:tcW w:w="878"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Yes (Ungrounded)</w:t>
            </w:r>
          </w:p>
        </w:tc>
        <w:tc>
          <w:tcPr>
            <w:tcW w:w="879"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Yes (RAG-Grounded)</w:t>
            </w:r>
          </w:p>
        </w:tc>
      </w:tr>
      <w:tr>
        <w:trPr>
          <w:cantSplit/>
        </w:trPr>
        <w:tc>
          <w:tcPr>
            <w:tcW w:w="1366"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Readiness Scoring Engine</w:t>
            </w:r>
          </w:p>
        </w:tc>
        <w:tc>
          <w:tcPr>
            <w:tcW w:w="878"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No</w:t>
            </w:r>
          </w:p>
        </w:tc>
        <w:tc>
          <w:tcPr>
            <w:tcW w:w="879"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No</w:t>
            </w:r>
          </w:p>
        </w:tc>
        <w:tc>
          <w:tcPr>
            <w:tcW w:w="878"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No</w:t>
            </w:r>
          </w:p>
        </w:tc>
        <w:tc>
          <w:tcPr>
            <w:tcW w:w="879"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Yes (Deterministic)</w:t>
            </w:r>
          </w:p>
        </w:tc>
      </w:tr>
      <w:tr>
        <w:trPr>
          <w:cantSplit/>
        </w:trPr>
        <w:tc>
          <w:tcPr>
            <w:tcW w:w="1366"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Placement Admin Console</w:t>
            </w:r>
          </w:p>
        </w:tc>
        <w:tc>
          <w:tcPr>
            <w:tcW w:w="878"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Yes</w:t>
            </w:r>
          </w:p>
        </w:tc>
        <w:tc>
          <w:tcPr>
            <w:tcW w:w="879"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No</w:t>
            </w:r>
          </w:p>
        </w:tc>
        <w:tc>
          <w:tcPr>
            <w:tcW w:w="878"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No</w:t>
            </w:r>
          </w:p>
        </w:tc>
        <w:tc>
          <w:tcPr>
            <w:tcW w:w="879"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Yes (Full Suite)</w:t>
            </w:r>
          </w:p>
        </w:tc>
      </w:tr>
      <w:tr>
        <w:trPr>
          <w:cantSplit/>
        </w:trPr>
        <w:tc>
          <w:tcPr>
            <w:tcW w:w="1366"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Offline Storage Fallback</w:t>
            </w:r>
          </w:p>
        </w:tc>
        <w:tc>
          <w:tcPr>
            <w:tcW w:w="878"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No</w:t>
            </w:r>
          </w:p>
        </w:tc>
        <w:tc>
          <w:tcPr>
            <w:tcW w:w="879"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No</w:t>
            </w:r>
          </w:p>
        </w:tc>
        <w:tc>
          <w:tcPr>
            <w:tcW w:w="878"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No</w:t>
            </w:r>
          </w:p>
        </w:tc>
        <w:tc>
          <w:tcPr>
            <w:tcW w:w="879" w:type="dxa"/>
            <w:tcBorders>
              <w:top w:val="single" w:sz="4" w:space="0" w:color="D3D3D3"/>
              <w:bottom w:val="single" w:sz="4" w:space="0" w:color="D3D3D3"/>
            </w:tcBorders>
            <w:tcMar>
              <w:top w:w="60" w:type="dxa"/>
              <w:bottom w:w="60" w:type="dxa"/>
            </w:tcMar>
          </w:tcPr>
          <w:p>
            <w:pPr>
              <w:pStyle w:val="Normal"/>
              <w:jc w:val="center"/>
              <w:rPr/>
            </w:pPr>
            <w:r>
              <w:rPr>
                <w:rFonts w:ascii="Times New Roman" w:hAnsi="Times New Roman"/>
                <w:sz w:val="15"/>
              </w:rPr>
              <w:t>Yes (LocalStorage)</w:t>
            </w:r>
          </w:p>
        </w:tc>
      </w:tr>
      <w:tr>
        <w:trPr>
          <w:cantSplit/>
        </w:trPr>
        <w:tc>
          <w:tcPr>
            <w:tcW w:w="1366" w:type="dxa"/>
            <w:tcBorders>
              <w:top w:val="single" w:sz="4" w:space="0" w:color="D3D3D3"/>
              <w:bottom w:val="single" w:sz="6" w:space="0" w:color="000000"/>
            </w:tcBorders>
            <w:tcMar>
              <w:top w:w="60" w:type="dxa"/>
              <w:bottom w:w="60" w:type="dxa"/>
            </w:tcMar>
          </w:tcPr>
          <w:p>
            <w:pPr>
              <w:pStyle w:val="Normal"/>
              <w:jc w:val="center"/>
              <w:rPr/>
            </w:pPr>
            <w:r>
              <w:rPr>
                <w:rFonts w:ascii="Times New Roman" w:hAnsi="Times New Roman"/>
                <w:sz w:val="15"/>
              </w:rPr>
              <w:t>Native Mobile Packaging</w:t>
            </w:r>
          </w:p>
        </w:tc>
        <w:tc>
          <w:tcPr>
            <w:tcW w:w="878" w:type="dxa"/>
            <w:tcBorders>
              <w:top w:val="single" w:sz="4" w:space="0" w:color="D3D3D3"/>
              <w:bottom w:val="single" w:sz="6" w:space="0" w:color="000000"/>
            </w:tcBorders>
            <w:tcMar>
              <w:top w:w="60" w:type="dxa"/>
              <w:bottom w:w="60" w:type="dxa"/>
            </w:tcMar>
          </w:tcPr>
          <w:p>
            <w:pPr>
              <w:pStyle w:val="Normal"/>
              <w:jc w:val="center"/>
              <w:rPr/>
            </w:pPr>
            <w:r>
              <w:rPr>
                <w:rFonts w:ascii="Times New Roman" w:hAnsi="Times New Roman"/>
                <w:sz w:val="15"/>
              </w:rPr>
              <w:t>Partial</w:t>
            </w:r>
          </w:p>
        </w:tc>
        <w:tc>
          <w:tcPr>
            <w:tcW w:w="879" w:type="dxa"/>
            <w:tcBorders>
              <w:top w:val="single" w:sz="4" w:space="0" w:color="D3D3D3"/>
              <w:bottom w:val="single" w:sz="6" w:space="0" w:color="000000"/>
            </w:tcBorders>
            <w:tcMar>
              <w:top w:w="60" w:type="dxa"/>
              <w:bottom w:w="60" w:type="dxa"/>
            </w:tcMar>
          </w:tcPr>
          <w:p>
            <w:pPr>
              <w:pStyle w:val="Normal"/>
              <w:jc w:val="center"/>
              <w:rPr/>
            </w:pPr>
            <w:r>
              <w:rPr>
                <w:rFonts w:ascii="Times New Roman" w:hAnsi="Times New Roman"/>
                <w:sz w:val="15"/>
              </w:rPr>
              <w:t>No</w:t>
            </w:r>
          </w:p>
        </w:tc>
        <w:tc>
          <w:tcPr>
            <w:tcW w:w="878" w:type="dxa"/>
            <w:tcBorders>
              <w:top w:val="single" w:sz="4" w:space="0" w:color="D3D3D3"/>
              <w:bottom w:val="single" w:sz="6" w:space="0" w:color="000000"/>
            </w:tcBorders>
            <w:tcMar>
              <w:top w:w="60" w:type="dxa"/>
              <w:bottom w:w="60" w:type="dxa"/>
            </w:tcMar>
          </w:tcPr>
          <w:p>
            <w:pPr>
              <w:pStyle w:val="Normal"/>
              <w:jc w:val="center"/>
              <w:rPr/>
            </w:pPr>
            <w:r>
              <w:rPr>
                <w:rFonts w:ascii="Times New Roman" w:hAnsi="Times New Roman"/>
                <w:sz w:val="15"/>
              </w:rPr>
              <w:t>App-based</w:t>
            </w:r>
          </w:p>
        </w:tc>
        <w:tc>
          <w:tcPr>
            <w:tcW w:w="879" w:type="dxa"/>
            <w:tcBorders>
              <w:top w:val="single" w:sz="4" w:space="0" w:color="D3D3D3"/>
              <w:bottom w:val="single" w:sz="6" w:space="0" w:color="000000"/>
            </w:tcBorders>
            <w:tcMar>
              <w:top w:w="60" w:type="dxa"/>
              <w:bottom w:w="60" w:type="dxa"/>
            </w:tcMar>
          </w:tcPr>
          <w:p>
            <w:pPr>
              <w:pStyle w:val="Normal"/>
              <w:jc w:val="center"/>
              <w:rPr/>
            </w:pPr>
            <w:r>
              <w:rPr>
                <w:rFonts w:ascii="Times New Roman" w:hAnsi="Times New Roman"/>
                <w:sz w:val="15"/>
              </w:rPr>
              <w:t>Yes (Capacitor JS)</w:t>
            </w:r>
          </w:p>
        </w:tc>
      </w:tr>
    </w:tbl>
    <w:p>
      <w:pPr>
        <w:pStyle w:val="Heading1"/>
        <w:spacing w:before="160" w:after="80"/>
        <w:ind w:hanging="0"/>
        <w:jc w:val="center"/>
        <w:rPr/>
      </w:pPr>
      <w:r>
        <w:rPr>
          <w:rFonts w:ascii="Times New Roman" w:hAnsi="Times New Roman"/>
          <w:b/>
          <w:i w:val="0"/>
          <w:sz w:val="20"/>
        </w:rPr>
        <w:t>LIMITATIONS AND FUTURE ENHANCEMENTS</w:t>
      </w:r>
    </w:p>
    <w:p>
      <w:pPr>
        <w:pStyle w:val="Normal"/>
        <w:spacing w:lineRule="auto" w:line="240" w:before="0" w:after="0"/>
        <w:ind w:firstLine="200"/>
        <w:jc w:val="both"/>
        <w:rPr/>
      </w:pPr>
      <w:r>
        <w:rPr>
          <w:rFonts w:ascii="Times New Roman" w:hAnsi="Times New Roman"/>
          <w:sz w:val="20"/>
        </w:rPr>
        <w:t>Current limitations include: (1) The in-engine RAG service uses lexical TF vectors and cosine similarity rather than learned dense embeddings (e.g., text-embedding-004); (2) Client-side resume parsing currently structures text from file metadata and profile context, requiring integration of in-browser WebAssembly PDF parsers (such as pdfjs-dist); (3) Live generative features depend on active internet access and Gemini API quotas; and (4) Evaluation relies on functional test cases rather than longitudinal post-placement tracking.</w:t>
      </w:r>
    </w:p>
    <w:p>
      <w:pPr>
        <w:pStyle w:val="Normal"/>
        <w:spacing w:lineRule="auto" w:line="240" w:before="0" w:after="0"/>
        <w:ind w:firstLine="200"/>
        <w:jc w:val="both"/>
        <w:rPr/>
      </w:pPr>
      <w:r>
        <w:rPr>
          <w:rFonts w:ascii="Times New Roman" w:hAnsi="Times New Roman"/>
          <w:sz w:val="20"/>
        </w:rPr>
        <w:t>Future enhancements will focus on: (1) Integrating dense vector embeddings and persistent vector database storage; (2) Incorporating real-time audio and speech analytics using WebRTC and multimodal Gemini APIs to evaluate vocal pacing and articulation; (3) Adding recruiter feedback loops to update company rubrics dynamically post-drive; and (4) Deploying explainable AI (XAI) feature importance breakdowns for readiness scores.</w:t>
      </w:r>
    </w:p>
    <w:p>
      <w:pPr>
        <w:pStyle w:val="Heading1"/>
        <w:spacing w:before="160" w:after="80"/>
        <w:ind w:hanging="0"/>
        <w:jc w:val="center"/>
        <w:rPr/>
      </w:pPr>
      <w:r>
        <w:rPr>
          <w:rFonts w:ascii="Times New Roman" w:hAnsi="Times New Roman"/>
          <w:b/>
          <w:i w:val="0"/>
          <w:sz w:val="20"/>
        </w:rPr>
        <w:t>CONCLUSION</w:t>
      </w:r>
    </w:p>
    <w:p>
      <w:pPr>
        <w:pStyle w:val="Normal"/>
        <w:spacing w:lineRule="auto" w:line="240" w:before="0" w:after="0"/>
        <w:ind w:firstLine="200"/>
        <w:jc w:val="both"/>
        <w:rPr/>
      </w:pPr>
      <w:r>
        <w:rPr>
          <w:rFonts w:ascii="Times New Roman" w:hAnsi="Times New Roman"/>
        </w:rPr>
        <w:t>CareerScence delivers an integrated, scalable, and institutionally grounded platform for student career development and placement readiness. By combining SvelteKit 2, Firebase cloud services, Google Gemini 2.5 Flash, and an in-engine RAG retrieval layer, the platform resolves the critical limitations of conventional placement preparation. The system automates ATS resume auditing, synchronizes parsed skills into dynamic matrices, provides RAG-grounded mock interviews and coding evaluations, and computes deterministic placement readiness metrics. The platform's dual-layer persistence architecture provides an offline fallback mode, supporting continued local execution when cloud connectivity is unavailable.</w:t>
      </w:r>
    </w:p>
    <w:p>
      <w:pPr>
        <w:pStyle w:val="Heading1"/>
        <w:spacing w:before="160" w:after="80"/>
        <w:ind w:hanging="0"/>
        <w:jc w:val="center"/>
        <w:rPr/>
      </w:pPr>
      <w:r>
        <w:rPr>
          <w:rFonts w:ascii="Times New Roman" w:hAnsi="Times New Roman"/>
          <w:b/>
          <w:i w:val="0"/>
          <w:sz w:val="20"/>
        </w:rPr>
        <w:t>REFERENCES</w:t>
      </w:r>
    </w:p>
    <w:p>
      <w:pPr>
        <w:pStyle w:val="Normal"/>
        <w:spacing w:before="20" w:after="0" w:line="240" w:lineRule="auto"/>
        <w:ind w:hanging="240" w:left="240"/>
        <w:jc w:val="left"/>
        <w:rPr/>
      </w:pPr>
      <w:r>
        <w:rPr>
          <w:rFonts w:ascii="Times New Roman" w:hAnsi="Times New Roman"/>
          <w:sz w:val="16"/>
        </w:rPr>
        <w:t>[1] M. Yorke, “Employability in higher education: what it is—what it is not,” Higher Education Academy, 2006.</w:t>
      </w:r>
    </w:p>
    <w:p>
      <w:pPr>
        <w:pStyle w:val="Normal"/>
        <w:spacing w:before="20" w:after="0" w:line="240" w:lineRule="auto"/>
        <w:ind w:hanging="240" w:left="240"/>
        <w:jc w:val="left"/>
        <w:rPr/>
      </w:pPr>
      <w:r>
        <w:rPr>
          <w:rFonts w:ascii="Times New Roman" w:hAnsi="Times New Roman"/>
          <w:sz w:val="16"/>
        </w:rPr>
        <w:t>[2] M. Lyons, “Use the STAR interview method to land your next job,” Harvard Business Review, Feb. 27, 2025. [Online]. Available: https://hbr.org/2025/02/use-the-star-interview-method-to-land-your-next-job</w:t>
      </w:r>
    </w:p>
    <w:p>
      <w:pPr>
        <w:pStyle w:val="Normal"/>
        <w:spacing w:before="20" w:after="0" w:line="240" w:lineRule="auto"/>
        <w:ind w:hanging="240" w:left="240"/>
        <w:jc w:val="left"/>
        <w:rPr/>
      </w:pPr>
      <w:r>
        <w:rPr>
          <w:rFonts w:ascii="Times New Roman" w:hAnsi="Times New Roman"/>
          <w:sz w:val="16"/>
        </w:rPr>
        <w:t>[3] J. Castleman, Z. Shen, B. Metevier, M. Springer, and A. Korolova, “Measuring validity in LLM-based resume screening,” arXiv:2602.18550, 2026.</w:t>
      </w:r>
    </w:p>
    <w:p>
      <w:pPr>
        <w:pStyle w:val="Normal"/>
        <w:spacing w:before="20" w:after="0" w:line="240" w:lineRule="auto"/>
        <w:ind w:hanging="240" w:left="240"/>
        <w:jc w:val="left"/>
        <w:rPr/>
      </w:pPr>
      <w:r>
        <w:rPr>
          <w:rFonts w:ascii="Times New Roman" w:hAnsi="Times New Roman"/>
          <w:sz w:val="16"/>
        </w:rPr>
        <w:t>[4] Y. Huang et al., “A survey on hallucination in large language models: Principles, taxonomy, challenges, and open questions,” ACM Comput. Surv., vol. 56, no. 10, pp. 1–42, 2024.</w:t>
      </w:r>
    </w:p>
    <w:p>
      <w:pPr>
        <w:pStyle w:val="Normal"/>
        <w:spacing w:before="20" w:after="0" w:line="240" w:lineRule="auto"/>
        <w:ind w:hanging="240" w:left="240"/>
        <w:jc w:val="left"/>
        <w:rPr/>
      </w:pPr>
      <w:r>
        <w:rPr>
          <w:rFonts w:ascii="Times New Roman" w:hAnsi="Times New Roman"/>
          <w:sz w:val="16"/>
        </w:rPr>
        <w:t>[5] “Resume parsing and skill extraction using custom pattern matching algorithm and Gemini API,” in Proc. 2024 8th Int. Conf. Computing, Communication, Control and Automation (ICCUBEA), 2024, doi: 10.1109/ICCUBEA61740.2024.10775064.</w:t>
      </w:r>
    </w:p>
    <w:p>
      <w:pPr>
        <w:pStyle w:val="Normal"/>
        <w:spacing w:before="20" w:after="0" w:line="240" w:lineRule="auto"/>
        <w:ind w:hanging="240" w:left="240"/>
        <w:jc w:val="left"/>
        <w:rPr/>
      </w:pPr>
      <w:r>
        <w:rPr>
          <w:rFonts w:ascii="Times New Roman" w:hAnsi="Times New Roman"/>
          <w:sz w:val="16"/>
        </w:rPr>
        <w:t>[6] P. Lewis et al., “Retrieval-augmented generation for knowledge-intensive NLP tasks,” in Proc. NeurIPS, vol. 33, pp. 9459–9474, 2020.</w:t>
      </w:r>
    </w:p>
    <w:p>
      <w:pPr>
        <w:pStyle w:val="Normal"/>
        <w:spacing w:before="20" w:after="0" w:line="240" w:lineRule="auto"/>
        <w:ind w:hanging="240" w:left="240"/>
        <w:jc w:val="left"/>
        <w:rPr/>
      </w:pPr>
      <w:r>
        <w:rPr>
          <w:rFonts w:ascii="Times New Roman" w:hAnsi="Times New Roman"/>
          <w:sz w:val="16"/>
        </w:rPr>
        <w:t>[7] M. Roy and K. Sharma, “AI-powered career guidance: A scalable model for personalized recommendations,” IEEE Access, vol. 14, pp. 20927–20941, 2026, doi: 10.1109/ACCESS.2026.3661573.</w:t>
      </w:r>
    </w:p>
    <w:p>
      <w:pPr>
        <w:pStyle w:val="Normal"/>
        <w:spacing w:before="20" w:after="0" w:line="240" w:lineRule="auto"/>
        <w:ind w:hanging="240" w:left="240"/>
        <w:jc w:val="left"/>
        <w:rPr/>
      </w:pPr>
      <w:r>
        <w:rPr>
          <w:rFonts w:ascii="Times New Roman" w:hAnsi="Times New Roman"/>
          <w:sz w:val="16"/>
        </w:rPr>
        <w:t>[8] M. Douze et al., “The Faiss library,” IEEE Trans. Big Data, vol. 12, no. 2, pp. 346–361, Apr. 2026, doi: 10.1109/TBDATA.2025.3618474.</w:t>
      </w:r>
    </w:p>
    <w:p>
      <w:pPr>
        <w:pStyle w:val="Normal"/>
        <w:spacing w:before="20" w:after="0" w:line="240" w:lineRule="auto"/>
        <w:ind w:hanging="240" w:left="240"/>
        <w:jc w:val="left"/>
        <w:rPr/>
      </w:pPr>
      <w:r>
        <w:rPr>
          <w:rFonts w:ascii="Times New Roman" w:hAnsi="Times New Roman"/>
          <w:sz w:val="16"/>
        </w:rPr>
        <w:t>[9] C. D. Manning, P. Raghavan, and H. Schütze, Introduction to Information Retrieval. Cambridge, U.K.: Cambridge Univ. Press, 2008.</w:t>
      </w:r>
    </w:p>
    <w:p>
      <w:pPr>
        <w:pStyle w:val="Normal"/>
        <w:spacing w:before="20" w:after="0" w:line="240" w:lineRule="auto"/>
        <w:ind w:hanging="240" w:left="240"/>
        <w:jc w:val="left"/>
        <w:rPr/>
      </w:pPr>
      <w:r>
        <w:rPr>
          <w:rFonts w:ascii="Times New Roman" w:hAnsi="Times New Roman"/>
          <w:sz w:val="16"/>
        </w:rPr>
        <w:t>[10] H.-Y. Suen, K.-E. Hung, and C.-L. Lin, “Intelligent video interview agent used to predict communication skill and perceived personality traits,” Human-Centric Computing and Information Sciences, vol. 10, pp. 1–12, 2020.</w:t>
      </w:r>
    </w:p>
    <w:p>
      <w:pPr>
        <w:pStyle w:val="Normal"/>
        <w:spacing w:before="20" w:after="0" w:line="240" w:lineRule="auto"/>
        <w:ind w:hanging="240" w:left="240"/>
        <w:jc w:val="left"/>
        <w:rPr/>
      </w:pPr>
      <w:r>
        <w:rPr>
          <w:rFonts w:ascii="Times New Roman" w:hAnsi="Times New Roman"/>
          <w:sz w:val="16"/>
        </w:rPr>
        <w:t>[11] “Trends and characteristics of career recommendation systems for fresh graduated students,” in Proc. 2022 10th Int. Conf. Information and Education Technology (ICIET), 2022, doi: 10.1109/ICIET55102.2022.9779037.</w:t>
      </w:r>
    </w:p>
    <w:p>
      <w:pPr>
        <w:pStyle w:val="Normal"/>
        <w:spacing w:before="20" w:after="0" w:line="240" w:lineRule="auto"/>
        <w:ind w:hanging="240" w:left="240"/>
        <w:jc w:val="left"/>
        <w:rPr/>
      </w:pPr>
      <w:r>
        <w:rPr>
          <w:rFonts w:ascii="Times New Roman" w:hAnsi="Times New Roman"/>
          <w:sz w:val="16"/>
        </w:rPr>
        <w:t>[12] A. Vaswani et al., “Attention is all you need,” in Proc. NeurIPS, vol. 30, pp. 5998–6008, 2017.</w:t>
      </w:r>
    </w:p>
    <w:p>
      <w:pPr>
        <w:pStyle w:val="Normal"/>
        <w:spacing w:before="20" w:after="0" w:line="240" w:lineRule="auto"/>
        <w:ind w:hanging="240" w:left="240"/>
        <w:jc w:val="left"/>
        <w:rPr/>
      </w:pPr>
      <w:r>
        <w:rPr>
          <w:rFonts w:ascii="Times New Roman" w:hAnsi="Times New Roman"/>
          <w:sz w:val="16"/>
        </w:rPr>
        <w:t>[13] Svelte Core Team, “Svelte documentation,” [Online]. Available: https://svelte.dev/docs</w:t>
      </w:r>
    </w:p>
    <w:p>
      <w:pPr>
        <w:pStyle w:val="Normal"/>
        <w:spacing w:before="20" w:after="0" w:line="240" w:lineRule="auto"/>
        <w:ind w:hanging="240" w:left="240"/>
        <w:jc w:val="left"/>
        <w:rPr/>
      </w:pPr>
      <w:r>
        <w:rPr>
          <w:rFonts w:ascii="Times New Roman" w:hAnsi="Times New Roman"/>
          <w:sz w:val="16"/>
        </w:rPr>
        <w:t>[14] Google, “Cloud Firestore documentation,” [Online]. Available: https://firebase.google.com/docs/firestore</w:t>
      </w:r>
    </w:p>
    <w:p>
      <w:pPr>
        <w:pStyle w:val="Normal"/>
        <w:spacing w:before="20" w:after="0" w:line="240" w:lineRule="auto"/>
        <w:ind w:hanging="240" w:left="240"/>
        <w:jc w:val="left"/>
        <w:rPr/>
      </w:pPr>
      <w:r>
        <w:rPr>
          <w:rFonts w:ascii="Times New Roman" w:hAnsi="Times New Roman"/>
          <w:sz w:val="16"/>
        </w:rPr>
        <w:t>[15] Chart.js Contributors, “Chart.js documentation,” [Online]. Available: https://www.chartjs.org/docs/latest/</w:t>
      </w:r>
    </w:p>
    <w:sectPr>
      <w:type w:val="continuous"/>
      <w:pgSz w:w="11906" w:h="16838"/>
      <w:pgMar w:left="893" w:right="893" w:gutter="0" w:header="0" w:top="540" w:footer="0" w:bottom="1440"/>
      <w:cols w:num="2" w:space="360" w:equalWidth="true" w:sep="false"/>
      <w:formProt w:val="false"/>
      <w:textDirection w:val="lrTb"/>
      <w:docGrid w:type="default" w:linePitch="600" w:charSpace="4096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Symbol">
    <w:charset w:val="00"/>
    <w:family w:val="roman"/>
    <w:pitch w:val="variable"/>
  </w:font>
  <w:font w:name="Courier New">
    <w:charset w:val="00"/>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upperRoman"/>
      <w:lvlText w:val="%1."/>
      <w:lvlJc w:val="center"/>
      <w:pPr>
        <w:tabs>
          <w:tab w:val="num" w:pos="576"/>
        </w:tabs>
        <w:ind w:left="0" w:firstLine="216"/>
      </w:pPr>
      <w:rPr>
        <w:smallCaps w:val="false"/>
        <w:caps w:val="false"/>
        <w:dstrike w:val="false"/>
        <w:strike w:val="false"/>
        <w:vertAlign w:val="baseline"/>
        <w:position w:val="0"/>
        <w:sz w:val="20"/>
        <w:sz w:val="20"/>
        <w:szCs w:val="20"/>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pStyle w:val="Heading2"/>
      <w:numFmt w:val="upperLetter"/>
      <w:lvlText w:val="%2."/>
      <w:lvlJc w:val="left"/>
      <w:pPr>
        <w:tabs>
          <w:tab w:val="num" w:pos="360"/>
        </w:tabs>
        <w:ind w:left="288" w:hanging="288"/>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2">
      <w:start w:val="1"/>
      <w:pStyle w:val="Heading3"/>
      <w:numFmt w:val="decimal"/>
      <w:lvlText w:val="%3)"/>
      <w:lvlJc w:val="left"/>
      <w:pPr>
        <w:tabs>
          <w:tab w:val="num" w:pos="540"/>
        </w:tabs>
        <w:ind w:left="0" w:firstLine="180"/>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3">
      <w:start w:val="1"/>
      <w:pStyle w:val="Heading4"/>
      <w:numFmt w:val="lowerLetter"/>
      <w:lvlText w:val="%4)"/>
      <w:lvlJc w:val="left"/>
      <w:pPr>
        <w:tabs>
          <w:tab w:val="num" w:pos="630"/>
        </w:tabs>
        <w:ind w:left="0" w:firstLine="360"/>
      </w:pPr>
      <w:rPr>
        <w:sz w:val="20"/>
        <w:i/>
        <w:b w:val="false"/>
        <w:szCs w:val="20"/>
        <w:iCs/>
        <w:bCs w:val="false"/>
        <w:rFonts w:ascii="Times New Roman" w:hAnsi="Times New Roman" w:cs="Times New Roman"/>
      </w:rPr>
    </w:lvl>
    <w:lvl w:ilvl="4">
      <w:start w:val="1"/>
      <w:numFmt w:val="none"/>
      <w:suff w:val="nothing"/>
      <w:lvlText w:val=""/>
      <w:lvlJc w:val="left"/>
      <w:pPr>
        <w:tabs>
          <w:tab w:val="num" w:pos="3240"/>
        </w:tabs>
        <w:ind w:left="2880" w:hanging="0"/>
      </w:pPr>
      <w:rPr>
        <w:rFonts w:cs="Times New Roman"/>
      </w:rPr>
    </w:lvl>
    <w:lvl w:ilvl="5">
      <w:start w:val="1"/>
      <w:numFmt w:val="lowerLetter"/>
      <w:lvlText w:val="(%6)"/>
      <w:lvlJc w:val="left"/>
      <w:pPr>
        <w:tabs>
          <w:tab w:val="num" w:pos="3960"/>
        </w:tabs>
        <w:ind w:left="3600" w:hanging="0"/>
      </w:pPr>
      <w:rPr>
        <w:rFonts w:cs="Times New Roman"/>
      </w:rPr>
    </w:lvl>
    <w:lvl w:ilvl="6">
      <w:start w:val="1"/>
      <w:numFmt w:val="lowerRoman"/>
      <w:lvlText w:val="(%7)"/>
      <w:lvlJc w:val="left"/>
      <w:pPr>
        <w:tabs>
          <w:tab w:val="num" w:pos="4680"/>
        </w:tabs>
        <w:ind w:left="4320" w:hanging="0"/>
      </w:pPr>
      <w:rPr>
        <w:rFonts w:cs="Times New Roman"/>
      </w:rPr>
    </w:lvl>
    <w:lvl w:ilvl="7">
      <w:start w:val="1"/>
      <w:numFmt w:val="lowerLetter"/>
      <w:lvlText w:val="(%8)"/>
      <w:lvlJc w:val="left"/>
      <w:pPr>
        <w:tabs>
          <w:tab w:val="num" w:pos="5400"/>
        </w:tabs>
        <w:ind w:left="5040" w:hanging="0"/>
      </w:pPr>
      <w:rPr>
        <w:rFonts w:cs="Times New Roman"/>
      </w:rPr>
    </w:lvl>
    <w:lvl w:ilvl="8">
      <w:start w:val="1"/>
      <w:numFmt w:val="lowerRoman"/>
      <w:lvlText w:val="(%9)"/>
      <w:lvlJc w:val="left"/>
      <w:pPr>
        <w:tabs>
          <w:tab w:val="num" w:pos="6120"/>
        </w:tabs>
        <w:ind w:left="5760" w:hanging="0"/>
      </w:pPr>
      <w:rPr>
        <w:rFonts w:cs="Times New Roman"/>
      </w:rPr>
    </w:lvl>
  </w:abstractNum>
  <w:abstractNum w:abstractNumId="2">
    <w:lvl w:ilvl="0">
      <w:start w:val="1"/>
      <w:numFmt w:val="bulle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lvl w:ilvl="0">
      <w:start w:val="1"/>
      <w:numFmt w:val="decimal"/>
      <w:lvlText w:val="Fig. %1."/>
      <w:lvlJc w:val="left"/>
      <w:pPr>
        <w:tabs>
          <w:tab w:val="num" w:pos="0"/>
        </w:tabs>
        <w:ind w:left="360" w:hanging="360"/>
      </w:pPr>
      <w:rPr>
        <w:sz w:val="16"/>
        <w:i w:val="false"/>
        <w:b w:val="false"/>
        <w:szCs w:val="16"/>
        <w:iCs w:val="false"/>
        <w:bCs w:val="false"/>
        <w:rFonts w:ascii="Times New Roman" w:hAnsi="Times New Roman" w:cs="Times New Roman"/>
        <w:color w:val="auto"/>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lvl w:ilvl="0">
      <w:start w:val="1"/>
      <w:numFmt w:val="decimal"/>
      <w:lvlText w:val="%1 "/>
      <w:lvlJc w:val="left"/>
      <w:pPr>
        <w:tabs>
          <w:tab w:val="num" w:pos="648"/>
        </w:tabs>
        <w:ind w:left="0" w:firstLine="288"/>
      </w:pPr>
      <w:rPr>
        <w:smallCaps w:val="false"/>
        <w:caps w:val="false"/>
        <w:dstrike w:val="false"/>
        <w:strike w:val="false"/>
        <w:vertAlign w:val="superscript"/>
        <w:sz w:val="16"/>
        <w:i w:val="false"/>
        <w:b w:val="false"/>
        <w:szCs w:val="16"/>
        <w:iCs w:val="false"/>
        <w:bCs w:val="false"/>
        <w:vanish w:val="false"/>
        <w:rFonts w:ascii="Times New Roman" w:hAnsi="Times New Roman" w:cs="Times New Roman"/>
        <w:color w:val="00000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5">
    <w:lvl w:ilvl="0">
      <w:start w:val="1"/>
      <w:numFmt w:val="decimal"/>
      <w:lvlText w:val="[%1]"/>
      <w:lvlJc w:val="left"/>
      <w:pPr>
        <w:tabs>
          <w:tab w:val="num" w:pos="360"/>
        </w:tabs>
        <w:ind w:left="360" w:hanging="360"/>
      </w:pPr>
      <w:rPr>
        <w:sz w:val="16"/>
        <w:i w:val="false"/>
        <w:b w:val="false"/>
        <w:szCs w:val="16"/>
        <w:iCs w:val="false"/>
        <w:bCs w:val="false"/>
        <w:rFonts w:ascii="Times New Roman" w:hAnsi="Times New Roman"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upperRoman"/>
      <w:lvlText w:val="TABLE %1. "/>
      <w:lvlJc w:val="left"/>
      <w:pPr>
        <w:tabs>
          <w:tab w:val="num" w:pos="1080"/>
        </w:tabs>
        <w:ind w:left="0" w:hanging="0"/>
      </w:pPr>
      <w:rPr>
        <w:sz w:val="16"/>
        <w:i w:val="false"/>
        <w:b w:val="false"/>
        <w:szCs w:val="16"/>
        <w:iCs w:val="false"/>
        <w:bCs w:val="false"/>
        <w:rFonts w:ascii="Times New Roman" w:hAnsi="Times New Roman"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lowerLetter"/>
      <w:lvlText w:val="%1."/>
      <w:lvlJc w:val="right"/>
      <w:pPr>
        <w:tabs>
          <w:tab w:val="num" w:pos="0"/>
        </w:tabs>
        <w:ind w:left="418" w:hanging="360"/>
      </w:pPr>
      <w:rPr>
        <w:smallCaps w:val="false"/>
        <w:caps w:val="false"/>
        <w:dstrike w:val="false"/>
        <w:strike w:val="false"/>
        <w:vertAlign w:val="superscript"/>
        <w:sz w:val="16"/>
        <w:spacing w:val="0"/>
        <w:i w:val="false"/>
        <w:b w:val="false"/>
        <w:kern w:val="0"/>
        <w:w w:val="100"/>
        <w:vanish w:val="false"/>
        <w:rFonts w:ascii="Times New Roman" w:hAnsi="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embedSystemFonts/>
  <w:defaultTabStop w:val="720"/>
  <w:autoHyphenation w:val="true"/>
  <w:doNotHyphenateCaps/>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1"/>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1"/>
      </w:numPr>
      <w:tabs>
        <w:tab w:val="clear" w:pos="720"/>
        <w:tab w:val="left" w:pos="288" w:leader="none"/>
      </w:tabs>
      <w:spacing w:before="120" w:after="60"/>
      <w:jc w:val="left"/>
      <w:outlineLvl w:val="1"/>
    </w:pPr>
    <w:rPr>
      <w:i/>
      <w:iCs/>
    </w:rPr>
  </w:style>
  <w:style w:type="paragraph" w:styleId="Heading3">
    <w:name w:val="heading 3"/>
    <w:basedOn w:val="Normal"/>
    <w:next w:val="Normal"/>
    <w:qFormat/>
    <w:rsid w:val="00794804"/>
    <w:pPr>
      <w:numPr>
        <w:ilvl w:val="2"/>
        <w:numId w:val="1"/>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1"/>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qFormat/>
    <w:rPr/>
  </w:style>
  <w:style w:type="character" w:styleId="BodyTextChar" w:customStyle="1">
    <w:name w:val="Body Text Char"/>
    <w:qFormat/>
    <w:rsid w:val="00e7596c"/>
    <w:rPr>
      <w:spacing w:val="-1"/>
      <w:lang w:val="x-none" w:eastAsia="x-none"/>
    </w:rPr>
  </w:style>
  <w:style w:type="character" w:styleId="HeaderChar" w:customStyle="1">
    <w:name w:val="Header Char"/>
    <w:basedOn w:val="DefaultParagraphFont"/>
    <w:link w:val="Header"/>
    <w:qFormat/>
    <w:rsid w:val="001a3b3d"/>
    <w:rPr/>
  </w:style>
  <w:style w:type="character" w:styleId="FooterChar" w:customStyle="1">
    <w:name w:val="Footer Char"/>
    <w:basedOn w:val="DefaultParagraphFont"/>
    <w:link w:val="Footer"/>
    <w:qFormat/>
    <w:rsid w:val="001a3b3d"/>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Abstract" w:customStyle="1">
    <w:name w:val="Abstract"/>
    <w:qFormat/>
    <w:rsid w:val="00972203"/>
    <w:pPr>
      <w:widowControl/>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pPr>
      <w:widowControl/>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BodyText"/>
    <w:qFormat/>
    <w:rsid w:val="001b67dc"/>
    <w:pPr>
      <w:numPr>
        <w:ilvl w:val="0"/>
        <w:numId w:val="2"/>
      </w:numPr>
      <w:ind w:hanging="288" w:left="576"/>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3"/>
      </w:numPr>
      <w:tabs>
        <w:tab w:val="clear" w:pos="720"/>
        <w:tab w:val="left" w:pos="533" w:leader="none"/>
      </w:tabs>
      <w:bidi w:val="0"/>
      <w:spacing w:before="80" w:after="200"/>
      <w:ind w:hanging="0" w:left="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qFormat/>
    <w:pPr>
      <w:widowControl/>
      <w:numPr>
        <w:ilvl w:val="0"/>
        <w:numId w:val="4"/>
      </w:numPr>
      <w:bidi w:val="0"/>
      <w:spacing w:before="0" w:after="40"/>
      <w:jc w:val="lef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bidi w:val="0"/>
      <w:spacing w:before="0" w:after="120"/>
      <w:jc w:val="center"/>
    </w:pPr>
    <w:rPr>
      <w:rFonts w:eastAsia="MS Mincho" w:ascii="Times New Roman" w:hAnsi="Times New Roman" w:cs="Times New Roman"/>
      <w:color w:val="auto"/>
      <w:kern w:val="0"/>
      <w:sz w:val="28"/>
      <w:szCs w:val="28"/>
      <w:lang w:val="en-US" w:eastAsia="en-US" w:bidi="ar-SA"/>
    </w:rPr>
  </w:style>
  <w:style w:type="paragraph" w:styleId="papertitle" w:customStyle="1">
    <w:name w:val="paper title"/>
    <w:qFormat/>
    <w:pPr>
      <w:widowControl/>
      <w:bidi w:val="0"/>
      <w:spacing w:before="0" w:after="120"/>
      <w:jc w:val="center"/>
    </w:pPr>
    <w:rPr>
      <w:rFonts w:eastAsia="MS Mincho" w:ascii="Times New Roman" w:hAnsi="Times New Roman" w:cs="Times New Roman"/>
      <w:color w:val="auto"/>
      <w:kern w:val="0"/>
      <w:sz w:val="48"/>
      <w:szCs w:val="48"/>
      <w:lang w:val="en-US" w:eastAsia="en-US" w:bidi="ar-SA"/>
    </w:rPr>
  </w:style>
  <w:style w:type="paragraph" w:styleId="references" w:customStyle="1">
    <w:name w:val="references"/>
    <w:qFormat/>
    <w:pPr>
      <w:widowControl/>
      <w:numPr>
        <w:ilvl w:val="0"/>
        <w:numId w:val="5"/>
      </w:numPr>
      <w:bidi w:val="0"/>
      <w:spacing w:lineRule="exact" w:line="180" w:before="0" w:after="50"/>
      <w:jc w:val="both"/>
    </w:pPr>
    <w:rPr>
      <w:rFonts w:eastAsia="MS Mincho" w:ascii="Times New Roman" w:hAnsi="Times New Roman" w:cs="Times New Roman"/>
      <w:color w:val="auto"/>
      <w:kern w:val="0"/>
      <w:sz w:val="16"/>
      <w:szCs w:val="16"/>
      <w:lang w:val="en-US" w:eastAsia="en-US" w:bidi="ar-SA"/>
    </w:rPr>
  </w:style>
  <w:style w:type="paragraph" w:styleId="sponsors" w:customStyle="1">
    <w:name w:val="sponsors"/>
    <w:qFormat/>
    <w:pPr>
      <w:widowControl/>
      <w:pBdr>
        <w:top w:val="single" w:sz="4" w:space="2" w:color="000000"/>
      </w:pBdr>
      <w:bidi w:val="0"/>
      <w:spacing w:before="0" w:after="0"/>
      <w:ind w:firstLine="288"/>
      <w:jc w:val="lef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bidi w:val="0"/>
      <w:spacing w:before="60" w:after="30"/>
      <w:ind w:hanging="29" w:left="58"/>
      <w:jc w:val="right"/>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numPr>
        <w:ilvl w:val="0"/>
        <w:numId w:val="6"/>
      </w:numPr>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HeaderandFooter">
    <w:name w:val="Header and Footer"/>
    <w:basedOn w:val="Normal"/>
    <w:qFormat/>
    <w:pPr/>
    <w:rPr/>
  </w:style>
  <w:style w:type="paragraph" w:styleId="Header">
    <w:name w:val="header"/>
    <w:basedOn w:val="Normal"/>
    <w:link w:val="HeaderChar"/>
    <w:rsid w:val="001a3b3d"/>
    <w:pPr>
      <w:tabs>
        <w:tab w:val="clear" w:pos="720"/>
        <w:tab w:val="center" w:pos="4680" w:leader="none"/>
        <w:tab w:val="right" w:pos="9360" w:leader="none"/>
      </w:tabs>
    </w:pPr>
    <w:rPr/>
  </w:style>
  <w:style w:type="paragraph" w:styleId="Footer">
    <w:name w:val="footer"/>
    <w:basedOn w:val="Normal"/>
    <w:link w:val="FooterChar"/>
    <w:rsid w:val="001a3b3d"/>
    <w:pPr>
      <w:tabs>
        <w:tab w:val="clear" w:pos="720"/>
        <w:tab w:val="center" w:pos="4680" w:leader="none"/>
        <w:tab w:val="right" w:pos="9360"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start w:w="108" w:type="dxa"/>
        <w:bottom w:w="0" w:type="dxa"/>
        <w:end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l="0" t="0" r="0" b="0"/>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l="0" t="0" r="0" b="0"/>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2024-07-16T13:42:00Z</dcterms:created>
  <dc:creator>IEEE</dc:creator>
  <dc:description/>
  <dc:language>en-US</dc:language>
  <cp:lastModifiedBy>Diana Romeo</cp:lastModifiedBy>
  <dcterms:modified xsi:type="dcterms:W3CDTF">2024-07-16T13:42:00Z</dcterms:modified>
  <cp:revision>2</cp:revision>
  <dc:subject/>
  <dc:title>Paper Title (use style: paper title)</dc:title>
</cp:coreProperties>
</file>