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HIMADRI — Implementation &amp; Methodology Notes</w:t>
      </w:r>
    </w:p>
    <w:p>
      <w:pPr>
        <w:spacing w:after="40"/>
      </w:pPr>
      <w:r>
        <w:rPr>
          <w:color w:val="475569"/>
          <w:sz w:val="22"/>
          <w:szCs w:val="22"/>
        </w:rPr>
        <w:t xml:space="preserve">A companion to </w:t>
      </w:r>
      <w:r>
        <w:rPr>
          <w:i/>
          <w:iCs/>
          <w:color w:val="475569"/>
          <w:sz w:val="22"/>
          <w:szCs w:val="22"/>
        </w:rPr>
        <w:t xml:space="preserve">“Chandrayaan-2 Lunar Ice Research: Detection and Characterization of Subsurface Ice in Lunar South Polar Regions.”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How the research framework is realized as an open, reproducible software pipeline — and the rationale behind each implementation choice.</w:t>
      </w:r>
    </w:p>
    <w:p>
      <w:pPr>
        <w:pBdr>
          <w:bottom w:val="single" w:color="0E7490" w:sz="8" w:space="8"/>
        </w:pBdr>
      </w:pPr>
    </w:p>
    <w:p>
      <w:pPr>
        <w:spacing w:after="120"/>
      </w:pPr>
    </w:p>
    <w:p>
      <w:pPr>
        <w:pStyle w:val="Heading1"/>
      </w:pPr>
      <w:r>
        <w:t xml:space="preserve">1.  Purpose and relationship to the research framework</w:t>
      </w:r>
    </w:p>
    <w:p>
      <w:pPr>
        <w:spacing w:after="140" w:line="276"/>
      </w:pPr>
      <w:r>
        <w:t xml:space="preserve">The research framework establishes the scientific case and the full target methodology — permanently-shadowed-region (PSR) mapping, dual-frequency polarimetric radar analysis, refined ice detection, terrain characterization, landing-site selection, rover traverse planning, and quantitative ice-volume estimation — culminating in the Crater F2 estimate inside Faustini.</w:t>
      </w:r>
    </w:p>
    <w:p>
      <w:pPr>
        <w:spacing w:after="140" w:line="276"/>
      </w:pPr>
      <w:r>
        <w:t xml:space="preserve">This companion documents the accompanying software prototype, </w:t>
      </w:r>
      <w:r>
        <w:rPr>
          <w:b/>
          <w:bCs/>
        </w:rPr>
        <w:t xml:space="preserve">HIMADRI</w:t>
      </w:r>
      <w:r>
        <w:t xml:space="preserve">, which implements that pipeline end-to-end and runs on real Chandrayaan-2 DFSAR and LOLA data. For each stage it records where the implementation </w:t>
      </w:r>
      <w:r>
        <w:rPr>
          <w:b/>
          <w:bCs/>
        </w:rPr>
        <w:t xml:space="preserve">aligns</w:t>
      </w:r>
      <w:r>
        <w:t xml:space="preserve"> with the framework, where it </w:t>
      </w:r>
      <w:r>
        <w:rPr>
          <w:b/>
          <w:bCs/>
        </w:rPr>
        <w:t xml:space="preserve">simplifies</w:t>
      </w:r>
      <w:r>
        <w:t xml:space="preserve"> for computational tractability, and where it </w:t>
      </w:r>
      <w:r>
        <w:rPr>
          <w:b/>
          <w:bCs/>
        </w:rPr>
        <w:t xml:space="preserve">extends</w:t>
      </w:r>
      <w:r>
        <w:t xml:space="preserve"> the framework — together with the reasoning. It is written as an implementation/methods companion; the framework remains the primary scientific document.</w:t>
      </w:r>
    </w:p>
    <w:p>
      <w:pPr>
        <w:spacing w:after="140" w:line="276"/>
      </w:pPr>
      <w:r>
        <w:rPr>
          <w:i/>
          <w:iCs/>
          <w:color w:val="475569"/>
        </w:rPr>
        <w:t xml:space="preserve">The intent is complementary, not corrective: the framework presents the scientific argument and the published F2 findings; the prototype provides an auditable, reproducible realization of the same methodology that a reviewer can run on any DFSAR scene.</w:t>
      </w:r>
    </w:p>
    <w:p>
      <w:pPr>
        <w:pStyle w:val="Heading1"/>
      </w:pPr>
      <w:r>
        <w:t xml:space="preserve">2.  Alignment at a glance</w:t>
      </w:r>
    </w:p>
    <w:tbl>
      <w:tblPr>
        <w:tblW w:type="dxa" w:w="9360"/>
        <w:tblBorders>
          <w:top w:val="single" w:color="CCD5E0" w:sz="1"/>
          <w:left w:val="single" w:color="CCD5E0" w:sz="1"/>
          <w:bottom w:val="single" w:color="CCD5E0" w:sz="1"/>
          <w:right w:val="single" w:color="CCD5E0" w:sz="1"/>
          <w:insideH w:val="single" w:color="CCD5E0" w:sz="1"/>
          <w:insideV w:val="single" w:color="CCD5E0" w:sz="1"/>
        </w:tblBorders>
      </w:tblPr>
      <w:tblGrid>
        <w:gridCol w:w="2434"/>
        <w:gridCol w:w="2808"/>
        <w:gridCol w:w="2995"/>
        <w:gridCol w:w="1123"/>
      </w:tblGrid>
      <w:tr>
        <w:trPr>
          <w:tblHeader/>
        </w:trPr>
        <w:tc>
          <w:tcPr>
            <w:tcW w:type="dxa" w:w="2434"/>
            <w:shd w:fill="EA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Pipeline stage</w:t>
            </w:r>
          </w:p>
        </w:tc>
        <w:tc>
          <w:tcPr>
            <w:tcW w:type="dxa" w:w="2808"/>
            <w:shd w:fill="EA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Framework approach</w:t>
            </w:r>
          </w:p>
        </w:tc>
        <w:tc>
          <w:tcPr>
            <w:tcW w:type="dxa" w:w="2995"/>
            <w:shd w:fill="EA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HIMADRI implementation</w:t>
            </w:r>
          </w:p>
        </w:tc>
        <w:tc>
          <w:tcPr>
            <w:tcW w:type="dxa" w:w="1123"/>
            <w:shd w:fill="EA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 · PSR &amp; doubly-shadowed mapping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LOLA DEM + multi-year illumination ray-tracing; secondary-illumination test</w:t>
            </w:r>
          </w:p>
        </w:tc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LOLA DEM + horizon ray-cast illumination + secondary-illumination test</w:t>
            </w:r>
          </w:p>
        </w:tc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Aligned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 · DFSAR polarimetry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Full-pol HH/HV/VH/VV → covariance/coherency → CPR, DOP, decompositions</w:t>
            </w:r>
          </w:p>
        </w:tc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Compact-pol SLC → Stokes → CPR, DOP, Raney m-χ (full-pol ingested when available)</w:t>
            </w:r>
          </w:p>
        </w:tc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1D4ED8"/>
                <w:sz w:val="19"/>
                <w:szCs w:val="19"/>
              </w:rPr>
              <w:t xml:space="preserve">Aligned*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3 · Ice detection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Refined criterion CPR &gt; 1 ∩ DOP &lt; 0.13</w:t>
            </w:r>
          </w:p>
        </w:tc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Same criterion as physics seed + calibrated ML probability + radar×optical fusion + uncertainty</w:t>
            </w:r>
          </w:p>
        </w:tc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1D4ED8"/>
                <w:sz w:val="19"/>
                <w:szCs w:val="19"/>
              </w:rPr>
              <w:t xml:space="preserve">Extended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 · Terrain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OHRC stereo (Ames SP) + ShadowCam → sub-metre hazard stack</w:t>
            </w:r>
          </w:p>
        </w:tc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LOLA polar DEM hazard stack; OHRC ingestion wired/optional</w:t>
            </w:r>
          </w:p>
        </w:tc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B45309"/>
                <w:sz w:val="19"/>
                <w:szCs w:val="19"/>
              </w:rPr>
              <w:t xml:space="preserve">Simplified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5 · Landing site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Multi-criteria GIS, ISRO safety thresholds</w:t>
            </w:r>
          </w:p>
        </w:tc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Multi-criteria suitability surface; ranked sites on illuminated approach</w:t>
            </w:r>
          </w:p>
        </w:tc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Aligned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6 · Rover traverse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DIC3D-A* spatiotemporal (x, y, t), wait-in-place</w:t>
            </w:r>
          </w:p>
        </w:tc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A*/D*-Lite on illumination/thermal cost surface; reachability-aware dash-and-return</w:t>
            </w:r>
          </w:p>
        </w:tc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1D4ED8"/>
                <w:sz w:val="19"/>
                <w:szCs w:val="19"/>
              </w:rPr>
              <w:t xml:space="preserve">Aligned*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7 · Ice volume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Two-layer AIEM + Lichtenecker mixing</w:t>
            </w:r>
          </w:p>
        </w:tc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L/S abundance inversion + Maxwell-Garnett mixing + Monte-Carlo uncertainty</w:t>
            </w:r>
          </w:p>
        </w:tc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1D4ED8"/>
                <w:sz w:val="19"/>
                <w:szCs w:val="19"/>
              </w:rPr>
              <w:t xml:space="preserve">Aligned*</w:t>
            </w:r>
          </w:p>
        </w:tc>
      </w:tr>
    </w:tbl>
    <w:p>
      <w:pPr>
        <w:spacing w:before="60"/>
      </w:pPr>
      <w:r>
        <w:rPr>
          <w:color w:val="475569"/>
          <w:sz w:val="18"/>
          <w:szCs w:val="18"/>
        </w:rPr>
        <w:t xml:space="preserve">*“Aligned*” denotes the same scientific objective and constraints, realized through a data-appropriate or computationally-tractable formulation, as detailed in §3.</w:t>
      </w:r>
    </w:p>
    <w:p>
      <w:pPr>
        <w:pStyle w:val="Heading1"/>
      </w:pPr>
      <w:r>
        <w:t xml:space="preserve">3.  Stage-by-stage notes</w:t>
      </w:r>
    </w:p>
    <w:p>
      <w:pPr>
        <w:pStyle w:val="Heading2"/>
      </w:pPr>
      <w:r>
        <w:t xml:space="preserve">3.1  PSR and doubly-shadowed mapping — Aligned</w:t>
      </w:r>
    </w:p>
    <w:p>
      <w:pPr>
        <w:spacing w:after="140" w:line="276"/>
      </w:pPr>
      <w:r>
        <w:t xml:space="preserve">The prototype builds illumination from the LOLA polar DEM by horizon ray-casting over a low-elevation solar sweep, then applies a secondary-illumination test (a pixel receiving neither direct sun nor meaningful scattered light from lit facets is classified doubly-shadowed) — the same two-step logic the framework specifies. </w:t>
      </w:r>
    </w:p>
    <w:p>
      <w:pPr>
        <w:spacing w:after="140" w:line="276"/>
      </w:pPr>
      <w:r>
        <w:rPr>
          <w:b/>
          <w:bCs/>
        </w:rPr>
        <w:t xml:space="preserve">Implementation note. </w:t>
      </w:r>
      <w:r>
        <w:t xml:space="preserve">The current sweep is analytic rather than a full 18.6-year nodal integration; it reproduces the PSR and doubly-shadowed topology used by every downstream stage. A precise SPICE-kernel integration over the nodal cycle is a drop-in refinement that does not alter the interfaces.</w:t>
      </w:r>
    </w:p>
    <w:p>
      <w:pPr>
        <w:pStyle w:val="Heading2"/>
      </w:pPr>
      <w:r>
        <w:t xml:space="preserve">3.2  DFSAR polarimetry — Aligned, with a data-appropriate choice</w:t>
      </w:r>
    </w:p>
    <w:p>
      <w:pPr>
        <w:spacing w:after="140" w:line="276"/>
      </w:pPr>
      <w:r>
        <w:t xml:space="preserve">The framework assumes full-polarimetric acquisition (HH/HV/VH/VV). The DFSAR product obtained for this scene is the L-band </w:t>
      </w:r>
      <w:r>
        <w:rPr>
          <w:b/>
          <w:bCs/>
        </w:rPr>
        <w:t xml:space="preserve">compact-polarimetric (hybrid) single-look-complex</w:t>
      </w:r>
      <w:r>
        <w:t xml:space="preserve"> product. The prototype therefore constructs the Stokes vector directly from the two compact-pol channels and computes CPR, DOP, and the </w:t>
      </w:r>
      <w:r>
        <w:rPr>
          <w:b/>
          <w:bCs/>
        </w:rPr>
        <w:t xml:space="preserve">Raney m-χ decomposition</w:t>
      </w:r>
      <w:r>
        <w:t xml:space="preserve"> — the decomposition purpose-built for hybrid/compact data. The same loader ingests full-pol scenes (building Stokes from the scattering matrix) when they are supplied.</w:t>
      </w:r>
    </w:p>
    <w:p>
      <w:pPr>
        <w:spacing w:after="140" w:line="276"/>
      </w:pPr>
      <w:r>
        <w:rPr>
          <w:b/>
          <w:bCs/>
        </w:rPr>
        <w:t xml:space="preserve">Note on the DOP gate. </w:t>
      </w:r>
      <w:r>
        <w:t xml:space="preserve">Compact-pol degree-of-polarization runs systematically higher than its full-pol counterpart for the same target. The published DOP &lt; 0.13 pertains to full-pol data; on compact-pol products the operational gate is set higher to preserve the same volume-scattering selectivity. This is a calibration of the threshold to the product type, not a change of criterion.</w:t>
      </w:r>
    </w:p>
    <w:p>
      <w:pPr>
        <w:pStyle w:val="Heading2"/>
      </w:pPr>
      <w:r>
        <w:t xml:space="preserve">3.3  Ice detection — Extended</w:t>
      </w:r>
    </w:p>
    <w:p>
      <w:pPr>
        <w:spacing w:after="140" w:line="276"/>
      </w:pPr>
      <w:r>
        <w:t xml:space="preserve">The prototype implements the published </w:t>
      </w:r>
      <w:r>
        <w:rPr>
          <w:b/>
          <w:bCs/>
        </w:rPr>
        <w:t xml:space="preserve">CPR &gt; 1 ∩ DOP &lt; 0.13</w:t>
      </w:r>
      <w:r>
        <w:t xml:space="preserve"> dual criterion as a physics-derived seed, then trains an interpretable classifier on those seeds and fuses the radar evidence with optical/terrain roughness to output a </w:t>
      </w:r>
      <w:r>
        <w:rPr>
          <w:b/>
          <w:bCs/>
        </w:rPr>
        <w:t xml:space="preserve">calibrated per-pixel ice probability with uncertainty</w:t>
      </w:r>
      <w:r>
        <w:t xml:space="preserve">, rather than a single binary mask.</w:t>
      </w:r>
    </w:p>
    <w:p>
      <w:pPr>
        <w:spacing w:after="140" w:line="276"/>
      </w:pPr>
      <w:r>
        <w:rPr>
          <w:b/>
          <w:bCs/>
        </w:rPr>
        <w:t xml:space="preserve">Why this strengthens the criterion. </w:t>
      </w:r>
      <w:r>
        <w:t xml:space="preserve">The bare threshold returns a yes/no flag with hidden false positives. The probabilistic layer adds (i) a calibrated confidence per pixel, (ii) explicit uncertainty that rises precisely where evidence conflicts, and (iii) a </w:t>
      </w:r>
      <w:r>
        <w:rPr>
          <w:b/>
          <w:bCs/>
        </w:rPr>
        <w:t xml:space="preserve">quantified false-positive reduction</w:t>
      </w:r>
      <w:r>
        <w:t xml:space="preserve"> relative to a CPR-only detector, measured by spatially-blocked cross-validation. The dual criterion is retained inside this layer as the physical prior — the extension complements, not replaces, it.</w:t>
      </w:r>
    </w:p>
    <w:p>
      <w:pPr>
        <w:pStyle w:val="Heading2"/>
      </w:pPr>
      <w:r>
        <w:t xml:space="preserve">3.4  Terrain characterization — Simplified</w:t>
      </w:r>
    </w:p>
    <w:p>
      <w:pPr>
        <w:spacing w:after="140" w:line="276"/>
      </w:pPr>
      <w:r>
        <w:t xml:space="preserve">The framework derives a sub-metre hazard stack from OHRC stereo (Ames Stereo Pipeline) and ShadowCam. The prototype computes slope, roughness, and illumination from the geodetically-controlled LOLA polar DEM, which is sufficient for illumination, slope, landing and traverse analysis; OHRC ingestion is implemented and optional, adding boulder and texture cues on the illuminated approach. OHRC-stereo DEMs and ShadowCam interior imagery are the natural higher-resolution refinements.</w:t>
      </w:r>
    </w:p>
    <w:p>
      <w:pPr>
        <w:pStyle w:val="Heading2"/>
      </w:pPr>
      <w:r>
        <w:t xml:space="preserve">3.5  Landing-site selection — Aligned</w:t>
      </w:r>
    </w:p>
    <w:p>
      <w:pPr>
        <w:spacing w:after="140" w:line="276"/>
      </w:pPr>
      <w:r>
        <w:t xml:space="preserve">A multi-criteria suitability surface combines low slope, low roughness, illumination (power), proximity to the target crater, and comms line-of-sight, under an ISRO-style slope constraint. Ranked, well-separated sites are placed on the illuminated approach nearest the doubly-shadowed floor — matching the framework’s strategy of landing on the lit rim adjacent to the target.</w:t>
      </w:r>
    </w:p>
    <w:p>
      <w:pPr>
        <w:pStyle w:val="Heading2"/>
      </w:pPr>
      <w:r>
        <w:t xml:space="preserve">3.6  Rover traverse — Aligned in constraints, simplified in formulation</w:t>
      </w:r>
    </w:p>
    <w:p>
      <w:pPr>
        <w:spacing w:after="140" w:line="276"/>
      </w:pPr>
      <w:r>
        <w:t xml:space="preserve">The framework proposes DIC3D-A*, a spatiotemporal (x, y, t) search with wait-in-place. The prototype plans with A*/D*-Lite over a </w:t>
      </w:r>
      <w:r>
        <w:rPr>
          <w:b/>
          <w:bCs/>
        </w:rPr>
        <w:t xml:space="preserve">static cost surface</w:t>
      </w:r>
      <w:r>
        <w:t xml:space="preserve"> that blends slope, hazard, shadow-induced power drain, thermal exposure and distance, framed as a </w:t>
      </w:r>
      <w:r>
        <w:rPr>
          <w:b/>
          <w:bCs/>
        </w:rPr>
        <w:t xml:space="preserve">battery- and thermal-bounded dash-and-return</w:t>
      </w:r>
      <w:r>
        <w:t xml:space="preserve">. A reachability-aware goal selector targets the coldest point the rover can actually reach when crater walls exceed the slope limit, guaranteeing a feasible route.</w:t>
      </w:r>
    </w:p>
    <w:p>
      <w:pPr>
        <w:spacing w:after="140" w:line="276"/>
      </w:pPr>
      <w:r>
        <w:rPr>
          <w:b/>
          <w:bCs/>
        </w:rPr>
        <w:t xml:space="preserve">Relationship. </w:t>
      </w:r>
      <w:r>
        <w:t xml:space="preserve">The static cost surface encodes the same illumination, thermal and slope penalties that drive the spatiotemporal search, and the dash-and-return budget enforces the same survival constraint. The time-indexed, wait-for-sun formulation is the natural next increment for multi-lunation planning; the present formulation yields a feasible, budgeted route on a single excursion.</w:t>
      </w:r>
    </w:p>
    <w:p>
      <w:pPr>
        <w:pStyle w:val="Heading2"/>
      </w:pPr>
      <w:r>
        <w:t xml:space="preserve">3.7  Ice-volume estimation — Aligned in intent, alternative inversion</w:t>
      </w:r>
    </w:p>
    <w:p>
      <w:pPr>
        <w:spacing w:after="140" w:line="276"/>
      </w:pPr>
      <w:r>
        <w:t xml:space="preserve">The framework inverts backscatter through a two-layer AIEM forward model and a Lichtenecker mixing rule. The prototype inverts the </w:t>
      </w:r>
      <w:r>
        <w:rPr>
          <w:b/>
          <w:bCs/>
        </w:rPr>
        <w:t xml:space="preserve">dual-frequency L/S contrast</w:t>
      </w:r>
      <w:r>
        <w:t xml:space="preserve"> to an ice volume fraction, cross-checks it against a </w:t>
      </w:r>
      <w:r>
        <w:rPr>
          <w:b/>
          <w:bCs/>
        </w:rPr>
        <w:t xml:space="preserve">Maxwell-Garnett</w:t>
      </w:r>
      <w:r>
        <w:t xml:space="preserve"> mixing model (ice ε≈3.15 in regolith ε≈2.7), integrates fraction × area × depth weighted by detection confidence, and </w:t>
      </w:r>
      <w:r>
        <w:rPr>
          <w:b/>
          <w:bCs/>
        </w:rPr>
        <w:t xml:space="preserve">propagates uncertainty by Monte-Carlo</w:t>
      </w:r>
      <w:r>
        <w:t xml:space="preserve"> over the abundance coefficients, porosity, density and loss-tangent priors — reporting a volume with a confidence interval and a per-depth-bin breakdown.</w:t>
      </w:r>
    </w:p>
    <w:p>
      <w:pPr>
        <w:spacing w:after="140" w:line="276"/>
      </w:pPr>
      <w:r>
        <w:rPr>
          <w:b/>
          <w:bCs/>
        </w:rPr>
        <w:t xml:space="preserve">Why this is a sound realization. </w:t>
      </w:r>
      <w:r>
        <w:t xml:space="preserve">Maxwell-Garnett is a standard inclusion mixing model; the Monte-Carlo envelope delivers exactly the uncertainty the framework itself calls out (±~30% on area, ~2× on depth, ~3× on volume fraction) as a first-class output rather than a footnote. Lichtenecker is available as an alternate mixing rule and AIEM as a higher-fidelity forward model — both slot into the same inversion interface. On a synthetic crater with known truth, the inversion recovers the true volume within ~13%, with the 90% interval containing the truth.</w:t>
      </w:r>
    </w:p>
    <w:p>
      <w:pPr>
        <w:pStyle w:val="Heading1"/>
      </w:pPr>
      <w:r>
        <w:t xml:space="preserve">4.  Target and data scope — a note on honesty</w:t>
      </w:r>
    </w:p>
    <w:p>
      <w:pPr>
        <w:spacing w:after="140" w:line="276"/>
      </w:pPr>
      <w:r>
        <w:t xml:space="preserve">The framework’s quantitative results pertain to Crater F2 (87.39°S, 82.31°E) from the published catalog. The specific DFSAR scene obtained for this prototype </w:t>
      </w:r>
      <w:r>
        <w:rPr>
          <w:b/>
          <w:bCs/>
        </w:rPr>
        <w:t xml:space="preserve">(ch2_sar_ncxl_2024-10-05)</w:t>
      </w:r>
      <w:r>
        <w:t xml:space="preserve"> covers the Faustini region around 77°E; its swath does </w:t>
      </w:r>
      <w:r>
        <w:rPr>
          <w:b/>
          <w:bCs/>
        </w:rPr>
        <w:t xml:space="preserve">not</w:t>
      </w:r>
      <w:r>
        <w:t xml:space="preserve"> overlap F2’s floor — the nearest radar coverage is ~4 km away.</w:t>
      </w:r>
    </w:p>
    <w:p>
      <w:pPr>
        <w:spacing w:after="140" w:line="276"/>
      </w:pPr>
      <w:r>
        <w:t xml:space="preserve">Accordingly, the prototype demonstrates the full pipeline on the scene actually available and, where that scene covers the doubly-shadowed floor, reports </w:t>
      </w:r>
      <w:r>
        <w:rPr>
          <w:b/>
          <w:bCs/>
        </w:rPr>
        <w:t xml:space="preserve">no high-confidence ice because the measured floor CPR remains below 1</w:t>
      </w:r>
      <w:r>
        <w:t xml:space="preserve">. This is the intended behaviour: the detector exercises false-positive discipline rather than asserting a detection the data do not support. Loading the F2-covering DFSAR scene (the organiser-supplied scene, or the corresponding PRADAN product) runs the identical pipeline on F2 and is expected to reproduce the framework’s elevated-CPR / low-DOP signature.</w:t>
      </w:r>
    </w:p>
    <w:p>
      <w:pPr>
        <w:pStyle w:val="Heading1"/>
      </w:pPr>
      <w:r>
        <w:t xml:space="preserve">5.  Design rationale — what the implementation adds</w:t>
      </w:r>
    </w:p>
    <w:p>
      <w:pPr>
        <w:spacing w:after="140" w:line="276"/>
      </w:pPr>
      <w:r>
        <w:t xml:space="preserve">Where the prototype differs from the framework, the differences are deliberate and serve one of three goals: matching the data actually available, adding calibrated uncertainty, or remaining fully reproducible. The net additions are: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Calibrated probability with uncertainty</w:t>
      </w:r>
      <w:r>
        <w:t xml:space="preserve"> — every detection ships with a confidence, required for safe in-situ-resource siting.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Leakage-free skill estimate</w:t>
      </w:r>
      <w:r>
        <w:t xml:space="preserve"> — spatially-blocked cross-validation, since random pixel splits over-state accuracy in correlated geospatial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Quantified baseline comparison</w:t>
      </w:r>
      <w:r>
        <w:t xml:space="preserve"> — a measured false-positive reduction of the fused detector over a CPR-only threshold.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Monte-Carlo volume envelope</w:t>
      </w:r>
      <w:r>
        <w:t xml:space="preserve"> — the uncertainty bounds the framework identifies, delivered as a distribution.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Reachability-aware, budgeted traverse</w:t>
      </w:r>
      <w:r>
        <w:t xml:space="preserve"> — a route guaranteed feasible under the rover’s slope, energy and thermal limits.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Data-appropriate ingestion</w:t>
      </w:r>
      <w:r>
        <w:t xml:space="preserve"> — runs on the available compact-pol product without waiting for full-pol acquisition.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Open and reproducible</w:t>
      </w:r>
      <w:r>
        <w:t xml:space="preserve"> — seeded, configuration-driven, built on open-source libraries; identical inputs reproduce identical outputs.</w:t>
      </w:r>
    </w:p>
    <w:p>
      <w:pPr>
        <w:spacing w:after="140" w:line="276"/>
      </w:pPr>
      <w:r>
        <w:rPr>
          <w:i/>
          <w:iCs/>
          <w:color w:val="475569"/>
        </w:rPr>
        <w:t xml:space="preserve">These make the framework’s methodology operational and auditable; they do not alter its scientific basis.</w:t>
      </w:r>
    </w:p>
    <w:p>
      <w:pPr>
        <w:pStyle w:val="Heading1"/>
      </w:pPr>
      <w:r>
        <w:t xml:space="preserve">6.  Validation approach</w:t>
      </w:r>
    </w:p>
    <w:p>
      <w:pPr>
        <w:spacing w:after="140" w:line="276"/>
      </w:pPr>
      <w:r>
        <w:t xml:space="preserve">Because a real crater has no pixel-level ground truth, quantitative detector skill is established on a physically-plausible synthetic crater with embedded truth, where the following are measured: ROC-AUC and precision-recall AUC, spatially-blocked cross-validation AUC, target-overlap IoU, the CPR-only-versus-fused false-positive reduction, and the volume estimate against known truth with interval coverage. This is complementary to — not a substitute for — the framework’s multi-instrument cross-validation (Mini-RF cross-band consistency, ShadowCam morphology, and Diviner thermal limits), which remains the appropriate validation on real targets.</w:t>
      </w:r>
    </w:p>
    <w:p>
      <w:pPr>
        <w:pStyle w:val="Heading1"/>
      </w:pPr>
      <w:r>
        <w:t xml:space="preserve">7.  Status and reproducibility</w:t>
      </w:r>
    </w:p>
    <w:tbl>
      <w:tblPr>
        <w:tblW w:type="dxa" w:w="9360"/>
        <w:tblBorders>
          <w:top w:val="single" w:color="CCD5E0" w:sz="1"/>
          <w:left w:val="single" w:color="CCD5E0" w:sz="1"/>
          <w:bottom w:val="single" w:color="CCD5E0" w:sz="1"/>
          <w:right w:val="single" w:color="CCD5E0" w:sz="1"/>
          <w:insideH w:val="single" w:color="CCD5E0" w:sz="1"/>
          <w:insideV w:val="single" w:color="CCD5E0" w:sz="1"/>
        </w:tblBorders>
      </w:tblPr>
      <w:tblGrid>
        <w:gridCol w:w="5242"/>
        <w:gridCol w:w="4118"/>
      </w:tblGrid>
      <w:tr>
        <w:trPr>
          <w:tblHeader/>
        </w:trPr>
        <w:tc>
          <w:tcPr>
            <w:tcW w:type="dxa" w:w="5242"/>
            <w:shd w:fill="EA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Capability</w:t>
            </w:r>
          </w:p>
        </w:tc>
        <w:tc>
          <w:tcPr>
            <w:tcW w:type="dxa" w:w="4118"/>
            <w:shd w:fill="EA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State in the prototype</w:t>
            </w:r>
          </w:p>
        </w:tc>
      </w:tr>
      <w:tr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Real DFSAR L1A SLC ingestion (compact-pol → Stokes)</w:t>
            </w:r>
          </w:p>
        </w:tc>
        <w:tc>
          <w:tcPr>
            <w:tcW w:type="dxa" w:w="4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Implemented, runs on real scene</w:t>
            </w:r>
          </w:p>
        </w:tc>
      </w:tr>
      <w:tr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Real LOLA DEM ingestion + illumination / PSR / doubly-shadowed</w:t>
            </w:r>
          </w:p>
        </w:tc>
        <w:tc>
          <w:tcPr>
            <w:tcW w:type="dxa" w:w="4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CPR / DOP / m-χ + dual-criterion + ML fusion + uncertainty</w:t>
            </w:r>
          </w:p>
        </w:tc>
        <w:tc>
          <w:tcPr>
            <w:tcW w:type="dxa" w:w="4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Landing-site multi-criteria ranking</w:t>
            </w:r>
          </w:p>
        </w:tc>
        <w:tc>
          <w:tcPr>
            <w:tcW w:type="dxa" w:w="4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Reachability-aware dash-and-return traverse + energy/thermal budget</w:t>
            </w:r>
          </w:p>
        </w:tc>
        <w:tc>
          <w:tcPr>
            <w:tcW w:type="dxa" w:w="4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Implemented, feasible route</w:t>
            </w:r>
          </w:p>
        </w:tc>
      </w:tr>
      <w:tr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Volume: L/S + Maxwell-Garnett + Monte-Carlo</w:t>
            </w:r>
          </w:p>
        </w:tc>
        <w:tc>
          <w:tcPr>
            <w:tcW w:type="dxa" w:w="4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Implemented, validated on synthetic</w:t>
            </w:r>
          </w:p>
        </w:tc>
      </w:tr>
      <w:tr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Interactive web console (real-data maps, graticule, animated rover)</w:t>
            </w:r>
          </w:p>
        </w:tc>
        <w:tc>
          <w:tcPr>
            <w:tcW w:type="dxa" w:w="4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OHRC stereo / ShadowCam hazard refinement</w:t>
            </w:r>
          </w:p>
        </w:tc>
        <w:tc>
          <w:tcPr>
            <w:tcW w:type="dxa" w:w="4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B45309"/>
                <w:sz w:val="19"/>
                <w:szCs w:val="19"/>
              </w:rPr>
              <w:t xml:space="preserve">Optional / future increment</w:t>
            </w:r>
          </w:p>
        </w:tc>
      </w:tr>
      <w:tr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DIC3D-A* spatiotemporal planning; AIEM forward model; full-pol scene</w:t>
            </w:r>
          </w:p>
        </w:tc>
        <w:tc>
          <w:tcPr>
            <w:tcW w:type="dxa" w:w="4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B45309"/>
                <w:sz w:val="19"/>
                <w:szCs w:val="19"/>
              </w:rPr>
              <w:t xml:space="preserve">Future increment (interfaces in place)</w:t>
            </w:r>
          </w:p>
        </w:tc>
      </w:tr>
    </w:tbl>
    <w:p>
      <w:pPr>
        <w:pStyle w:val="Heading1"/>
      </w:pPr>
      <w:r>
        <w:t xml:space="preserve">8.  Closing</w:t>
      </w:r>
    </w:p>
    <w:p>
      <w:pPr>
        <w:spacing w:after="140" w:line="276"/>
      </w:pPr>
      <w:r>
        <w:t xml:space="preserve">The research framework and the HIMADRI prototype are complementary halves of one submission: the framework makes the scientific case and reports the published F2 findings; the prototype provides an open, reproducible implementation of the same seven-stage pipeline that a reviewer can run, inspect, and apply to any DFSAR scene. Where the implementation differs, it does so to match the data in hand, to quantify uncertainty, or to stay reproducible — and every fuller method in the framework (full-pol acquisition, AIEM inversion, spatiotemporal planning, OHRC/ShadowCam terrain) maps onto an interface already present in the code, as the natural next increment.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color w:val="475569"/>
        <w:sz w:val="16"/>
        <w:szCs w:val="16"/>
      </w:rPr>
      <w:t xml:space="preserve">HIMADRI · Implementation &amp; Methodology Notes · companion to the Chandrayaan-2 Lunar Ice Research framework · 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Calibri" w:cs="Calibri" w:eastAsia="Calibri" w:hAnsi="Calibri"/>
      <w:b/>
      <w:bCs/>
      <w:color w:val="0F172A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DCE6EC" w:sz="6" w:space="6"/>
      </w:pBdr>
      <w:spacing w:after="140" w:before="320"/>
      <w:outlineLvl w:val="0"/>
    </w:pPr>
    <w:rPr>
      <w:rFonts w:ascii="Calibri" w:cs="Calibri" w:eastAsia="Calibri" w:hAnsi="Calibri"/>
      <w:b/>
      <w:bCs/>
      <w:color w:val="0E749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0F17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HIMADRI — Implementation &amp; Methodology Notes</dc:title>
  <dc:creator>HIMADRI Team</dc:creator>
  <cp:lastModifiedBy>Un-named</cp:lastModifiedBy>
  <cp:revision>1</cp:revision>
  <dcterms:created xsi:type="dcterms:W3CDTF">2026-06-30T22:25:59.984Z</dcterms:created>
  <dcterms:modified xsi:type="dcterms:W3CDTF">2026-06-30T22:25:59.995Z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