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BRD corpus — every BRD the agent has been tested against</w:t>
      </w:r>
    </w:p>
    <w:p>
      <w:pPr>
        <w:spacing w:after="120"/>
        <w:jc w:val="left"/>
      </w:pPr>
      <w:r>
        <w:rPr>
          <w:b w:val="0"/>
        </w:rPr>
        <w:t>One index of all BRD suites in this repository, which branch carries them, and what each suite was designed to prove. Every BRD file is plain markdown, pasted into the app exactly as written — no rewording mid-run.</w:t>
      </w:r>
    </w:p>
    <w:p>
      <w:pPr>
        <w:pStyle w:val="Heading2"/>
      </w:pPr>
      <w:r>
        <w:t>Where the suites live</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sz w:val="18"/>
              </w:rPr>
              <w:t>Suite file</w:t>
            </w:r>
          </w:p>
        </w:tc>
        <w:tc>
          <w:tcPr>
            <w:tcW w:type="dxa" w:w="2160"/>
          </w:tcPr>
          <w:p>
            <w:r>
              <w:rPr>
                <w:b/>
                <w:sz w:val="18"/>
              </w:rPr>
              <w:t>Branch(es)</w:t>
            </w:r>
          </w:p>
        </w:tc>
        <w:tc>
          <w:tcPr>
            <w:tcW w:type="dxa" w:w="2160"/>
          </w:tcPr>
          <w:p>
            <w:r>
              <w:rPr>
                <w:b/>
                <w:sz w:val="18"/>
              </w:rPr>
              <w:t>BRDs</w:t>
            </w:r>
          </w:p>
        </w:tc>
        <w:tc>
          <w:tcPr>
            <w:tcW w:type="dxa" w:w="2160"/>
          </w:tcPr>
          <w:p>
            <w:r>
              <w:rPr>
                <w:b/>
                <w:sz w:val="18"/>
              </w:rPr>
              <w:t>What it proves</w:t>
            </w:r>
          </w:p>
        </w:tc>
      </w:tr>
      <w:tr>
        <w:tc>
          <w:tcPr>
            <w:tcW w:type="dxa" w:w="2160"/>
          </w:tcPr>
          <w:p>
            <w:r>
              <w:rPr>
                <w:rFonts w:ascii="Consolas" w:hAnsi="Consolas"/>
                <w:color w:val="B03060"/>
                <w:sz w:val="16"/>
              </w:rPr>
              <w:t>tests/gold_silver_brds.md</w:t>
            </w:r>
          </w:p>
        </w:tc>
        <w:tc>
          <w:tcPr>
            <w:tcW w:type="dxa" w:w="2160"/>
          </w:tcPr>
          <w:p>
            <w:r>
              <w:rPr>
                <w:b w:val="0"/>
                <w:sz w:val="18"/>
              </w:rPr>
              <w:t>all</w:t>
            </w:r>
          </w:p>
        </w:tc>
        <w:tc>
          <w:tcPr>
            <w:tcW w:type="dxa" w:w="2160"/>
          </w:tcPr>
          <w:p>
            <w:r>
              <w:rPr>
                <w:b w:val="0"/>
                <w:sz w:val="18"/>
              </w:rPr>
              <w:t>14</w:t>
            </w:r>
          </w:p>
        </w:tc>
        <w:tc>
          <w:tcPr>
            <w:tcW w:type="dxa" w:w="2160"/>
          </w:tcPr>
          <w:p>
            <w:r>
              <w:rPr>
                <w:b w:val="0"/>
                <w:sz w:val="18"/>
              </w:rPr>
              <w:t xml:space="preserve">Silver/gold operation coverage against real </w:t>
            </w:r>
            <w:r>
              <w:rPr>
                <w:rFonts w:ascii="Consolas" w:hAnsi="Consolas"/>
                <w:color w:val="B03060"/>
                <w:sz w:val="16"/>
              </w:rPr>
              <w:t>s-landing</w:t>
            </w:r>
            <w:r>
              <w:rPr>
                <w:b w:val="0"/>
                <w:sz w:val="18"/>
              </w:rPr>
              <w:t xml:space="preserve"> data; BRDs 11–14 are the prescriptive kind that names exact ADF object names</w:t>
            </w:r>
          </w:p>
        </w:tc>
      </w:tr>
      <w:tr>
        <w:tc>
          <w:tcPr>
            <w:tcW w:type="dxa" w:w="2160"/>
          </w:tcPr>
          <w:p>
            <w:r>
              <w:rPr>
                <w:rFonts w:ascii="Consolas" w:hAnsi="Consolas"/>
                <w:color w:val="B03060"/>
                <w:sz w:val="16"/>
              </w:rPr>
              <w:t>tests/heldout_brds.md</w:t>
            </w:r>
          </w:p>
        </w:tc>
        <w:tc>
          <w:tcPr>
            <w:tcW w:type="dxa" w:w="2160"/>
          </w:tcPr>
          <w:p>
            <w:r>
              <w:rPr>
                <w:b w:val="0"/>
                <w:sz w:val="18"/>
              </w:rPr>
              <w:t>all</w:t>
            </w:r>
          </w:p>
        </w:tc>
        <w:tc>
          <w:tcPr>
            <w:tcW w:type="dxa" w:w="2160"/>
          </w:tcPr>
          <w:p>
            <w:r>
              <w:rPr>
                <w:b w:val="0"/>
                <w:sz w:val="18"/>
              </w:rPr>
              <w:t>5</w:t>
            </w:r>
          </w:p>
        </w:tc>
        <w:tc>
          <w:tcPr>
            <w:tcW w:type="dxa" w:w="2160"/>
          </w:tcPr>
          <w:p>
            <w:r>
              <w:rPr>
                <w:b w:val="0"/>
                <w:sz w:val="18"/>
              </w:rPr>
              <w:t>"Usable by others" — fresh unseen BRDs against frozen code, no manual repair allowed</w:t>
            </w:r>
          </w:p>
        </w:tc>
      </w:tr>
      <w:tr>
        <w:tc>
          <w:tcPr>
            <w:tcW w:type="dxa" w:w="2160"/>
          </w:tcPr>
          <w:p>
            <w:r>
              <w:rPr>
                <w:rFonts w:ascii="Consolas" w:hAnsi="Consolas"/>
                <w:color w:val="B03060"/>
                <w:sz w:val="16"/>
              </w:rPr>
              <w:t>tests/stress_brds.md</w:t>
            </w:r>
          </w:p>
        </w:tc>
        <w:tc>
          <w:tcPr>
            <w:tcW w:type="dxa" w:w="2160"/>
          </w:tcPr>
          <w:p>
            <w:r>
              <w:rPr>
                <w:b w:val="0"/>
                <w:sz w:val="18"/>
              </w:rPr>
              <w:t>all</w:t>
            </w:r>
          </w:p>
        </w:tc>
        <w:tc>
          <w:tcPr>
            <w:tcW w:type="dxa" w:w="2160"/>
          </w:tcPr>
          <w:p>
            <w:r>
              <w:rPr>
                <w:b w:val="0"/>
                <w:sz w:val="18"/>
              </w:rPr>
              <w:t>10</w:t>
            </w:r>
          </w:p>
        </w:tc>
        <w:tc>
          <w:tcPr>
            <w:tcW w:type="dxa" w:w="2160"/>
          </w:tcPr>
          <w:p>
            <w:r>
              <w:rPr>
                <w:b w:val="0"/>
                <w:sz w:val="18"/>
              </w:rPr>
              <w:t>One BRD per previously untested dimension (HTTP source, 6-way join, ambiguity trap, refusal trap, …)</w:t>
            </w:r>
          </w:p>
        </w:tc>
      </w:tr>
      <w:tr>
        <w:tc>
          <w:tcPr>
            <w:tcW w:type="dxa" w:w="2160"/>
          </w:tcPr>
          <w:p>
            <w:r>
              <w:rPr>
                <w:rFonts w:ascii="Consolas" w:hAnsi="Consolas"/>
                <w:color w:val="B03060"/>
                <w:sz w:val="16"/>
              </w:rPr>
              <w:t>tests/external_suite_brds.md</w:t>
            </w:r>
          </w:p>
        </w:tc>
        <w:tc>
          <w:tcPr>
            <w:tcW w:type="dxa" w:w="2160"/>
          </w:tcPr>
          <w:p>
            <w:r>
              <w:rPr>
                <w:rFonts w:ascii="Consolas" w:hAnsi="Consolas"/>
                <w:color w:val="B03060"/>
                <w:sz w:val="16"/>
              </w:rPr>
              <w:t>linking-external-source</w:t>
            </w:r>
            <w:r>
              <w:rPr>
                <w:b w:val="0"/>
                <w:sz w:val="18"/>
              </w:rPr>
              <w:t xml:space="preserve">, </w:t>
            </w:r>
            <w:r>
              <w:rPr>
                <w:rFonts w:ascii="Consolas" w:hAnsi="Consolas"/>
                <w:color w:val="B03060"/>
                <w:sz w:val="16"/>
              </w:rPr>
              <w:t>linking-er</w:t>
            </w:r>
          </w:p>
        </w:tc>
        <w:tc>
          <w:tcPr>
            <w:tcW w:type="dxa" w:w="2160"/>
          </w:tcPr>
          <w:p>
            <w:r>
              <w:rPr>
                <w:b w:val="0"/>
                <w:sz w:val="18"/>
              </w:rPr>
              <w:t>10</w:t>
            </w:r>
          </w:p>
        </w:tc>
        <w:tc>
          <w:tcPr>
            <w:tcW w:type="dxa" w:w="2160"/>
          </w:tcPr>
          <w:p>
            <w:r>
              <w:rPr>
                <w:b w:val="0"/>
                <w:sz w:val="18"/>
              </w:rPr>
              <w:t>External sources: Dataverse, SharePoint, Postgres, HTTP, cross-source joins</w:t>
            </w:r>
          </w:p>
        </w:tc>
      </w:tr>
      <w:tr>
        <w:tc>
          <w:tcPr>
            <w:tcW w:type="dxa" w:w="2160"/>
          </w:tcPr>
          <w:p>
            <w:r>
              <w:rPr>
                <w:rFonts w:ascii="Consolas" w:hAnsi="Consolas"/>
                <w:color w:val="B03060"/>
                <w:sz w:val="16"/>
              </w:rPr>
              <w:t>tests/tough_suite_round3_brds.md</w:t>
            </w:r>
          </w:p>
        </w:tc>
        <w:tc>
          <w:tcPr>
            <w:tcW w:type="dxa" w:w="2160"/>
          </w:tcPr>
          <w:p>
            <w:r>
              <w:rPr>
                <w:rFonts w:ascii="Consolas" w:hAnsi="Consolas"/>
                <w:color w:val="B03060"/>
                <w:sz w:val="16"/>
              </w:rPr>
              <w:t>linking-external-source</w:t>
            </w:r>
            <w:r>
              <w:rPr>
                <w:b w:val="0"/>
                <w:sz w:val="18"/>
              </w:rPr>
              <w:t xml:space="preserve">, </w:t>
            </w:r>
            <w:r>
              <w:rPr>
                <w:rFonts w:ascii="Consolas" w:hAnsi="Consolas"/>
                <w:color w:val="B03060"/>
                <w:sz w:val="16"/>
              </w:rPr>
              <w:t>linking-er</w:t>
            </w:r>
          </w:p>
        </w:tc>
        <w:tc>
          <w:tcPr>
            <w:tcW w:type="dxa" w:w="2160"/>
          </w:tcPr>
          <w:p>
            <w:r>
              <w:rPr>
                <w:b w:val="0"/>
                <w:sz w:val="18"/>
              </w:rPr>
              <w:t>10</w:t>
            </w:r>
          </w:p>
        </w:tc>
        <w:tc>
          <w:tcPr>
            <w:tcW w:type="dxa" w:w="2160"/>
          </w:tcPr>
          <w:p>
            <w:r>
              <w:rPr>
                <w:b w:val="0"/>
                <w:sz w:val="18"/>
              </w:rPr>
              <w:t>Harder shapes over external sources + regression of earlier fixes</w:t>
            </w:r>
          </w:p>
        </w:tc>
      </w:tr>
      <w:tr>
        <w:tc>
          <w:tcPr>
            <w:tcW w:type="dxa" w:w="2160"/>
          </w:tcPr>
          <w:p>
            <w:r>
              <w:rPr>
                <w:rFonts w:ascii="Consolas" w:hAnsi="Consolas"/>
                <w:color w:val="B03060"/>
                <w:sz w:val="16"/>
              </w:rPr>
              <w:t>tests/dataverse_brd.md</w:t>
            </w:r>
          </w:p>
        </w:tc>
        <w:tc>
          <w:tcPr>
            <w:tcW w:type="dxa" w:w="2160"/>
          </w:tcPr>
          <w:p>
            <w:r>
              <w:rPr>
                <w:rFonts w:ascii="Consolas" w:hAnsi="Consolas"/>
                <w:color w:val="B03060"/>
                <w:sz w:val="16"/>
              </w:rPr>
              <w:t>linking-external-source</w:t>
            </w:r>
            <w:r>
              <w:rPr>
                <w:b w:val="0"/>
                <w:sz w:val="18"/>
              </w:rPr>
              <w:t xml:space="preserve">, </w:t>
            </w:r>
            <w:r>
              <w:rPr>
                <w:rFonts w:ascii="Consolas" w:hAnsi="Consolas"/>
                <w:color w:val="B03060"/>
                <w:sz w:val="16"/>
              </w:rPr>
              <w:t>linking-er</w:t>
            </w:r>
          </w:p>
        </w:tc>
        <w:tc>
          <w:tcPr>
            <w:tcW w:type="dxa" w:w="2160"/>
          </w:tcPr>
          <w:p>
            <w:r>
              <w:rPr>
                <w:b w:val="0"/>
                <w:sz w:val="18"/>
              </w:rPr>
              <w:t>1</w:t>
            </w:r>
          </w:p>
        </w:tc>
        <w:tc>
          <w:tcPr>
            <w:tcW w:type="dxa" w:w="2160"/>
          </w:tcPr>
          <w:p>
            <w:r>
              <w:rPr>
                <w:b w:val="0"/>
                <w:sz w:val="18"/>
              </w:rPr>
              <w:t>Single-source Dataverse CRM medallion</w:t>
            </w:r>
          </w:p>
        </w:tc>
      </w:tr>
      <w:tr>
        <w:tc>
          <w:tcPr>
            <w:tcW w:type="dxa" w:w="2160"/>
          </w:tcPr>
          <w:p>
            <w:r>
              <w:rPr>
                <w:rFonts w:ascii="Consolas" w:hAnsi="Consolas"/>
                <w:color w:val="B03060"/>
                <w:sz w:val="16"/>
              </w:rPr>
              <w:t>tests/gcp_brd.md</w:t>
            </w:r>
          </w:p>
        </w:tc>
        <w:tc>
          <w:tcPr>
            <w:tcW w:type="dxa" w:w="2160"/>
          </w:tcPr>
          <w:p>
            <w:r>
              <w:rPr>
                <w:rFonts w:ascii="Consolas" w:hAnsi="Consolas"/>
                <w:color w:val="B03060"/>
                <w:sz w:val="16"/>
              </w:rPr>
              <w:t>linking-external-source</w:t>
            </w:r>
            <w:r>
              <w:rPr>
                <w:b w:val="0"/>
                <w:sz w:val="18"/>
              </w:rPr>
              <w:t xml:space="preserve">, </w:t>
            </w:r>
            <w:r>
              <w:rPr>
                <w:rFonts w:ascii="Consolas" w:hAnsi="Consolas"/>
                <w:color w:val="B03060"/>
                <w:sz w:val="16"/>
              </w:rPr>
              <w:t>linking-er</w:t>
            </w:r>
          </w:p>
        </w:tc>
        <w:tc>
          <w:tcPr>
            <w:tcW w:type="dxa" w:w="2160"/>
          </w:tcPr>
          <w:p>
            <w:r>
              <w:rPr>
                <w:b w:val="0"/>
                <w:sz w:val="18"/>
              </w:rPr>
              <w:t>1</w:t>
            </w:r>
          </w:p>
        </w:tc>
        <w:tc>
          <w:tcPr>
            <w:tcW w:type="dxa" w:w="2160"/>
          </w:tcPr>
          <w:p>
            <w:r>
              <w:rPr>
                <w:b w:val="0"/>
                <w:sz w:val="18"/>
              </w:rPr>
              <w:t>BigQuery sales medallion</w:t>
            </w:r>
          </w:p>
        </w:tc>
      </w:tr>
      <w:tr>
        <w:tc>
          <w:tcPr>
            <w:tcW w:type="dxa" w:w="2160"/>
          </w:tcPr>
          <w:p>
            <w:r>
              <w:rPr>
                <w:rFonts w:ascii="Consolas" w:hAnsi="Consolas"/>
                <w:color w:val="B03060"/>
                <w:sz w:val="16"/>
              </w:rPr>
              <w:t>tests/sharepoint_brd.md</w:t>
            </w:r>
          </w:p>
        </w:tc>
        <w:tc>
          <w:tcPr>
            <w:tcW w:type="dxa" w:w="2160"/>
          </w:tcPr>
          <w:p>
            <w:r>
              <w:rPr>
                <w:rFonts w:ascii="Consolas" w:hAnsi="Consolas"/>
                <w:color w:val="B03060"/>
                <w:sz w:val="16"/>
              </w:rPr>
              <w:t>linking-external-source</w:t>
            </w:r>
            <w:r>
              <w:rPr>
                <w:b w:val="0"/>
                <w:sz w:val="18"/>
              </w:rPr>
              <w:t xml:space="preserve">, </w:t>
            </w:r>
            <w:r>
              <w:rPr>
                <w:rFonts w:ascii="Consolas" w:hAnsi="Consolas"/>
                <w:color w:val="B03060"/>
                <w:sz w:val="16"/>
              </w:rPr>
              <w:t>linking-er</w:t>
            </w:r>
          </w:p>
        </w:tc>
        <w:tc>
          <w:tcPr>
            <w:tcW w:type="dxa" w:w="2160"/>
          </w:tcPr>
          <w:p>
            <w:r>
              <w:rPr>
                <w:b w:val="0"/>
                <w:sz w:val="18"/>
              </w:rPr>
              <w:t>1</w:t>
            </w:r>
          </w:p>
        </w:tc>
        <w:tc>
          <w:tcPr>
            <w:tcW w:type="dxa" w:w="2160"/>
          </w:tcPr>
          <w:p>
            <w:r>
              <w:rPr>
                <w:b w:val="0"/>
                <w:sz w:val="18"/>
              </w:rPr>
              <w:t>SharePoint list tracker medallion</w:t>
            </w:r>
          </w:p>
        </w:tc>
      </w:tr>
      <w:tr>
        <w:tc>
          <w:tcPr>
            <w:tcW w:type="dxa" w:w="2160"/>
          </w:tcPr>
          <w:p>
            <w:r>
              <w:rPr>
                <w:rFonts w:ascii="Consolas" w:hAnsi="Consolas"/>
                <w:color w:val="B03060"/>
                <w:sz w:val="16"/>
              </w:rPr>
              <w:t>tests/postgres_brd.md</w:t>
            </w:r>
          </w:p>
        </w:tc>
        <w:tc>
          <w:tcPr>
            <w:tcW w:type="dxa" w:w="2160"/>
          </w:tcPr>
          <w:p>
            <w:r>
              <w:rPr>
                <w:rFonts w:ascii="Consolas" w:hAnsi="Consolas"/>
                <w:color w:val="B03060"/>
                <w:sz w:val="16"/>
              </w:rPr>
              <w:t>linking-external-source</w:t>
            </w:r>
            <w:r>
              <w:rPr>
                <w:b w:val="0"/>
                <w:sz w:val="18"/>
              </w:rPr>
              <w:t xml:space="preserve">, </w:t>
            </w:r>
            <w:r>
              <w:rPr>
                <w:rFonts w:ascii="Consolas" w:hAnsi="Consolas"/>
                <w:color w:val="B03060"/>
                <w:sz w:val="16"/>
              </w:rPr>
              <w:t>linking-er</w:t>
            </w:r>
          </w:p>
        </w:tc>
        <w:tc>
          <w:tcPr>
            <w:tcW w:type="dxa" w:w="2160"/>
          </w:tcPr>
          <w:p>
            <w:r>
              <w:rPr>
                <w:b w:val="0"/>
                <w:sz w:val="18"/>
              </w:rPr>
              <w:t>—</w:t>
            </w:r>
          </w:p>
        </w:tc>
        <w:tc>
          <w:tcPr>
            <w:tcW w:type="dxa" w:w="2160"/>
          </w:tcPr>
          <w:p>
            <w:r>
              <w:rPr>
                <w:b w:val="0"/>
                <w:sz w:val="18"/>
              </w:rPr>
              <w:t>Postgres retail medallion (prose form)</w:t>
            </w:r>
          </w:p>
        </w:tc>
      </w:tr>
      <w:tr>
        <w:tc>
          <w:tcPr>
            <w:tcW w:type="dxa" w:w="2160"/>
          </w:tcPr>
          <w:p>
            <w:r>
              <w:rPr>
                <w:rFonts w:ascii="Consolas" w:hAnsi="Consolas"/>
                <w:color w:val="B03060"/>
                <w:sz w:val="16"/>
              </w:rPr>
              <w:t>brd_retail_medallion.md</w:t>
            </w:r>
          </w:p>
        </w:tc>
        <w:tc>
          <w:tcPr>
            <w:tcW w:type="dxa" w:w="2160"/>
          </w:tcPr>
          <w:p>
            <w:r>
              <w:rPr>
                <w:b w:val="0"/>
                <w:sz w:val="18"/>
              </w:rPr>
              <w:t>all</w:t>
            </w:r>
          </w:p>
        </w:tc>
        <w:tc>
          <w:tcPr>
            <w:tcW w:type="dxa" w:w="2160"/>
          </w:tcPr>
          <w:p>
            <w:r>
              <w:rPr>
                <w:b w:val="0"/>
                <w:sz w:val="18"/>
              </w:rPr>
              <w:t>1</w:t>
            </w:r>
          </w:p>
        </w:tc>
        <w:tc>
          <w:tcPr>
            <w:tcW w:type="dxa" w:w="2160"/>
          </w:tcPr>
          <w:p>
            <w:r>
              <w:rPr>
                <w:b w:val="0"/>
                <w:sz w:val="18"/>
              </w:rPr>
              <w:t>The original worked example at repo root</w:t>
            </w:r>
          </w:p>
        </w:tc>
      </w:tr>
    </w:tbl>
    <w:p/>
    <w:p>
      <w:pPr>
        <w:spacing w:after="120"/>
        <w:jc w:val="left"/>
      </w:pPr>
      <w:r>
        <w:rPr>
          <w:b w:val="0"/>
        </w:rPr>
        <w:t>Historical suites referenced in run reports (</w:t>
      </w:r>
      <w:r>
        <w:rPr>
          <w:rFonts w:ascii="Consolas" w:hAnsi="Consolas"/>
          <w:color w:val="B03060"/>
          <w:sz w:val="19"/>
        </w:rPr>
        <w:t>final_hard_brds.md</w:t>
      </w:r>
      <w:r>
        <w:rPr>
          <w:b w:val="0"/>
        </w:rPr>
        <w:t xml:space="preserve">, </w:t>
      </w:r>
      <w:r>
        <w:rPr>
          <w:rFonts w:ascii="Consolas" w:hAnsi="Consolas"/>
          <w:color w:val="B03060"/>
          <w:sz w:val="19"/>
        </w:rPr>
        <w:t>tough_all_aspects_brds.md</w:t>
      </w:r>
      <w:r>
        <w:rPr>
          <w:b w:val="0"/>
        </w:rPr>
        <w:t xml:space="preserve">, </w:t>
      </w:r>
      <w:r>
        <w:rPr>
          <w:rFonts w:ascii="Consolas" w:hAnsi="Consolas"/>
          <w:color w:val="B03060"/>
          <w:sz w:val="19"/>
        </w:rPr>
        <w:t>container_regression_brds.md</w:t>
      </w:r>
      <w:r>
        <w:rPr>
          <w:b w:val="0"/>
        </w:rPr>
        <w:t xml:space="preserve">, </w:t>
      </w:r>
      <w:r>
        <w:rPr>
          <w:rFonts w:ascii="Consolas" w:hAnsi="Consolas"/>
          <w:color w:val="B03060"/>
          <w:sz w:val="19"/>
        </w:rPr>
        <w:t>folder_grouping_brds.md</w:t>
      </w:r>
      <w:r>
        <w:rPr>
          <w:b w:val="0"/>
        </w:rPr>
        <w:t xml:space="preserve">) were consolidated into the files above as their coverage was absorbed; their results are preserved in the POC document and in </w:t>
      </w:r>
      <w:r>
        <w:rPr>
          <w:rFonts w:ascii="Consolas" w:hAnsi="Consolas"/>
          <w:color w:val="B03060"/>
          <w:sz w:val="19"/>
        </w:rPr>
        <w:t>artifacts/*.json</w:t>
      </w:r>
      <w:r>
        <w:rPr>
          <w:b w:val="0"/>
        </w:rPr>
        <w:t xml:space="preserve"> run summaries.</w:t>
      </w:r>
    </w:p>
    <w:p>
      <w:pPr>
        <w:pStyle w:val="Heading2"/>
      </w:pPr>
      <w:r>
        <w:t>Branch map</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sz w:val="18"/>
              </w:rPr>
              <w:t>Branch</w:t>
            </w:r>
          </w:p>
        </w:tc>
        <w:tc>
          <w:tcPr>
            <w:tcW w:type="dxa" w:w="2880"/>
          </w:tcPr>
          <w:p>
            <w:r>
              <w:rPr>
                <w:b/>
                <w:sz w:val="18"/>
              </w:rPr>
              <w:t>Carries</w:t>
            </w:r>
          </w:p>
        </w:tc>
        <w:tc>
          <w:tcPr>
            <w:tcW w:type="dxa" w:w="2880"/>
          </w:tcPr>
          <w:p>
            <w:r>
              <w:rPr>
                <w:b/>
                <w:sz w:val="18"/>
              </w:rPr>
              <w:t>Why it exists</w:t>
            </w:r>
          </w:p>
        </w:tc>
      </w:tr>
      <w:tr>
        <w:tc>
          <w:tcPr>
            <w:tcW w:type="dxa" w:w="2880"/>
          </w:tcPr>
          <w:p>
            <w:r>
              <w:rPr>
                <w:rFonts w:ascii="Consolas" w:hAnsi="Consolas"/>
                <w:color w:val="B03060"/>
                <w:sz w:val="16"/>
              </w:rPr>
              <w:t>main</w:t>
            </w:r>
          </w:p>
        </w:tc>
        <w:tc>
          <w:tcPr>
            <w:tcW w:type="dxa" w:w="2880"/>
          </w:tcPr>
          <w:p>
            <w:r>
              <w:rPr>
                <w:b w:val="0"/>
                <w:sz w:val="18"/>
              </w:rPr>
              <w:t>Agent + storage/HTTP BRD suites</w:t>
            </w:r>
          </w:p>
        </w:tc>
        <w:tc>
          <w:tcPr>
            <w:tcW w:type="dxa" w:w="2880"/>
          </w:tcPr>
          <w:p>
            <w:r>
              <w:rPr>
                <w:b w:val="0"/>
                <w:sz w:val="18"/>
              </w:rPr>
              <w:t>Stable baseline: BRD → ADF for Azure Blob/ADLS and public HTTP sources</w:t>
            </w:r>
          </w:p>
        </w:tc>
      </w:tr>
      <w:tr>
        <w:tc>
          <w:tcPr>
            <w:tcW w:type="dxa" w:w="2880"/>
          </w:tcPr>
          <w:p>
            <w:r>
              <w:rPr>
                <w:rFonts w:ascii="Consolas" w:hAnsi="Consolas"/>
                <w:color w:val="B03060"/>
                <w:sz w:val="16"/>
              </w:rPr>
              <w:t>brd-passed-version</w:t>
            </w:r>
          </w:p>
        </w:tc>
        <w:tc>
          <w:tcPr>
            <w:tcW w:type="dxa" w:w="2880"/>
          </w:tcPr>
          <w:p>
            <w:r>
              <w:rPr>
                <w:b w:val="0"/>
                <w:sz w:val="18"/>
              </w:rPr>
              <w:t xml:space="preserve">Same as </w:t>
            </w:r>
            <w:r>
              <w:rPr>
                <w:rFonts w:ascii="Consolas" w:hAnsi="Consolas"/>
                <w:color w:val="B03060"/>
                <w:sz w:val="16"/>
              </w:rPr>
              <w:t>main</w:t>
            </w:r>
          </w:p>
        </w:tc>
        <w:tc>
          <w:tcPr>
            <w:tcW w:type="dxa" w:w="2880"/>
          </w:tcPr>
          <w:p>
            <w:r>
              <w:rPr>
                <w:b w:val="0"/>
                <w:sz w:val="18"/>
              </w:rPr>
              <w:t xml:space="preserve">Historical checkpoint of the BRD-tested version; won a live bake-off against </w:t>
            </w:r>
            <w:r>
              <w:rPr>
                <w:rFonts w:ascii="Consolas" w:hAnsi="Consolas"/>
                <w:color w:val="B03060"/>
                <w:sz w:val="16"/>
              </w:rPr>
              <w:t>main</w:t>
            </w:r>
          </w:p>
        </w:tc>
      </w:tr>
      <w:tr>
        <w:tc>
          <w:tcPr>
            <w:tcW w:type="dxa" w:w="2880"/>
          </w:tcPr>
          <w:p>
            <w:r>
              <w:rPr>
                <w:rFonts w:ascii="Consolas" w:hAnsi="Consolas"/>
                <w:color w:val="B03060"/>
                <w:sz w:val="16"/>
              </w:rPr>
              <w:t>linking-external-source</w:t>
            </w:r>
          </w:p>
        </w:tc>
        <w:tc>
          <w:tcPr>
            <w:tcW w:type="dxa" w:w="2880"/>
          </w:tcPr>
          <w:p>
            <w:r>
              <w:rPr>
                <w:rFonts w:ascii="Consolas" w:hAnsi="Consolas"/>
                <w:color w:val="B03060"/>
                <w:sz w:val="16"/>
              </w:rPr>
              <w:t>main</w:t>
            </w:r>
            <w:r>
              <w:rPr>
                <w:b w:val="0"/>
                <w:sz w:val="18"/>
              </w:rPr>
              <w:t xml:space="preserve"> + Dataverse, Postgres, BigQuery, GCS, SharePoint source tooling</w:t>
            </w:r>
          </w:p>
        </w:tc>
        <w:tc>
          <w:tcPr>
            <w:tcW w:type="dxa" w:w="2880"/>
          </w:tcPr>
          <w:p>
            <w:r>
              <w:rPr>
                <w:b w:val="0"/>
                <w:sz w:val="18"/>
              </w:rPr>
              <w:t>Adds non-Azure sources: connectors, schema readers, bronze seeding</w:t>
            </w:r>
          </w:p>
        </w:tc>
      </w:tr>
      <w:tr>
        <w:tc>
          <w:tcPr>
            <w:tcW w:type="dxa" w:w="2880"/>
          </w:tcPr>
          <w:p>
            <w:r>
              <w:rPr>
                <w:rFonts w:ascii="Consolas" w:hAnsi="Consolas"/>
                <w:color w:val="B03060"/>
                <w:sz w:val="16"/>
              </w:rPr>
              <w:t>linking-er</w:t>
            </w:r>
          </w:p>
        </w:tc>
        <w:tc>
          <w:tcPr>
            <w:tcW w:type="dxa" w:w="2880"/>
          </w:tcPr>
          <w:p>
            <w:r>
              <w:rPr>
                <w:b w:val="0"/>
                <w:sz w:val="18"/>
              </w:rPr>
              <w:t xml:space="preserve">Everything above + </w:t>
            </w:r>
            <w:r>
              <w:rPr>
                <w:rFonts w:ascii="Consolas" w:hAnsi="Consolas"/>
                <w:color w:val="B03060"/>
                <w:sz w:val="16"/>
              </w:rPr>
              <w:t>ER-Diagram/</w:t>
            </w:r>
            <w:r>
              <w:rPr>
                <w:b w:val="0"/>
                <w:sz w:val="18"/>
              </w:rPr>
              <w:t xml:space="preserve"> frontend/backend, redesigned UI, catalog seam</w:t>
            </w:r>
          </w:p>
        </w:tc>
        <w:tc>
          <w:tcPr>
            <w:tcW w:type="dxa" w:w="2880"/>
          </w:tcPr>
          <w:p>
            <w:r>
              <w:rPr>
                <w:b w:val="0"/>
                <w:sz w:val="18"/>
              </w:rPr>
              <w:t>Integration branch — the complete unified application</w:t>
            </w:r>
          </w:p>
        </w:tc>
      </w:tr>
    </w:tbl>
    <w:p/>
    <w:p>
      <w:pPr>
        <w:pStyle w:val="Heading2"/>
      </w:pPr>
      <w:r>
        <w:t>The BRD shapes that have been tested</w:t>
      </w:r>
    </w:p>
    <w:p>
      <w:pPr>
        <w:spacing w:after="120"/>
        <w:jc w:val="left"/>
      </w:pPr>
      <w:r>
        <w:rPr>
          <w:b w:val="0"/>
        </w:rPr>
        <w:t>The corpus deliberately spans four difficulty axes rather than 50 variations of the same document.</w:t>
      </w:r>
    </w:p>
    <w:p>
      <w:pPr>
        <w:spacing w:after="120"/>
        <w:jc w:val="left"/>
      </w:pPr>
      <w:r>
        <w:rPr>
          <w:b/>
        </w:rPr>
        <w:t>1. Descriptive BRDs.</w:t>
      </w:r>
      <w:r>
        <w:rPr>
          <w:b w:val="0"/>
        </w:rPr>
        <w:t xml:space="preserve"> Business prose — "land these CSVs, clean them like this, produce this mart." The agent infers entity names, containers, and object names. Most of </w:t>
      </w:r>
      <w:r>
        <w:rPr>
          <w:rFonts w:ascii="Consolas" w:hAnsi="Consolas"/>
          <w:color w:val="B03060"/>
          <w:sz w:val="19"/>
        </w:rPr>
        <w:t>heldout_brds.md</w:t>
      </w:r>
      <w:r>
        <w:rPr>
          <w:b w:val="0"/>
        </w:rPr>
        <w:t xml:space="preserve"> and </w:t>
      </w:r>
      <w:r>
        <w:rPr>
          <w:rFonts w:ascii="Consolas" w:hAnsi="Consolas"/>
          <w:color w:val="B03060"/>
          <w:sz w:val="19"/>
        </w:rPr>
        <w:t>stress_brds.md</w:t>
      </w:r>
      <w:r>
        <w:rPr>
          <w:b w:val="0"/>
        </w:rPr>
        <w:t>.</w:t>
      </w:r>
    </w:p>
    <w:p>
      <w:pPr>
        <w:spacing w:after="120"/>
        <w:jc w:val="left"/>
      </w:pPr>
      <w:r>
        <w:rPr>
          <w:b/>
        </w:rPr>
        <w:t>2. Prescriptive BRDs.</w:t>
      </w:r>
      <w:r>
        <w:rPr>
          <w:b w:val="0"/>
        </w:rPr>
        <w:t xml:space="preserve"> The BRD names every ADF object it wants: </w:t>
      </w:r>
      <w:r>
        <w:rPr>
          <w:rFonts w:ascii="Consolas" w:hAnsi="Consolas"/>
          <w:color w:val="B03060"/>
          <w:sz w:val="19"/>
        </w:rPr>
        <w:t>s_PL_Master</w:t>
      </w:r>
      <w:r>
        <w:rPr>
          <w:b w:val="0"/>
        </w:rPr>
        <w:t xml:space="preserve">, </w:t>
      </w:r>
      <w:r>
        <w:rPr>
          <w:rFonts w:ascii="Consolas" w:hAnsi="Consolas"/>
          <w:color w:val="B03060"/>
          <w:sz w:val="19"/>
        </w:rPr>
        <w:t>s_DF_Customers_Silver</w:t>
      </w:r>
      <w:r>
        <w:rPr>
          <w:b w:val="0"/>
        </w:rPr>
        <w:t xml:space="preserve">, </w:t>
      </w:r>
      <w:r>
        <w:rPr>
          <w:rFonts w:ascii="Consolas" w:hAnsi="Consolas"/>
          <w:color w:val="B03060"/>
          <w:sz w:val="19"/>
        </w:rPr>
        <w:t>s_DS_Landing_CSV</w:t>
      </w:r>
      <w:r>
        <w:rPr>
          <w:b w:val="0"/>
        </w:rPr>
        <w:t xml:space="preserve">, plus the exact container chain </w:t>
      </w:r>
      <w:r>
        <w:rPr>
          <w:rFonts w:ascii="Consolas" w:hAnsi="Consolas"/>
          <w:color w:val="B03060"/>
          <w:sz w:val="19"/>
        </w:rPr>
        <w:t>s-landing → s-bronze → s-silver → s-gold</w:t>
      </w:r>
      <w:r>
        <w:rPr>
          <w:b w:val="0"/>
        </w:rPr>
        <w:t xml:space="preserve">. The agent must honor those names rather than generate its own. </w:t>
      </w:r>
      <w:r>
        <w:rPr>
          <w:rFonts w:ascii="Consolas" w:hAnsi="Consolas"/>
          <w:color w:val="B03060"/>
          <w:sz w:val="19"/>
        </w:rPr>
        <w:t>gold_silver_brds.md</w:t>
      </w:r>
      <w:r>
        <w:rPr>
          <w:b w:val="0"/>
        </w:rPr>
        <w:t xml:space="preserve"> BRDs 11–14 — the bike-store 8-output analytics BRD is the canonical example of this shape.</w:t>
      </w:r>
    </w:p>
    <w:p>
      <w:pPr>
        <w:spacing w:after="120"/>
        <w:jc w:val="left"/>
      </w:pPr>
      <w:r>
        <w:rPr>
          <w:b/>
        </w:rPr>
        <w:t>3. Trap BRDs.</w:t>
      </w:r>
      <w:r>
        <w:rPr>
          <w:b w:val="0"/>
        </w:rPr>
        <w:t xml:space="preserve"> BRDs whose correct answer is *not* a pipeline:</w:t>
      </w:r>
    </w:p>
    <w:p>
      <w:pPr>
        <w:pStyle w:val="ListBullet"/>
        <w:spacing w:after="40"/>
      </w:pPr>
      <w:r>
        <w:rPr>
          <w:b/>
        </w:rPr>
        <w:t>Ambiguity trap</w:t>
      </w:r>
      <w:r>
        <w:rPr>
          <w:b w:val="0"/>
        </w:rPr>
        <w:t xml:space="preserve"> (</w:t>
      </w:r>
      <w:r>
        <w:rPr>
          <w:rFonts w:ascii="Consolas" w:hAnsi="Consolas"/>
          <w:color w:val="B03060"/>
          <w:sz w:val="19"/>
        </w:rPr>
        <w:t>stress_brds.md</w:t>
      </w:r>
      <w:r>
        <w:rPr>
          <w:b w:val="0"/>
        </w:rPr>
        <w:t xml:space="preserve"> BRD 7) — correct answer is a clarifying question.</w:t>
      </w:r>
    </w:p>
    <w:p>
      <w:pPr>
        <w:pStyle w:val="ListBullet"/>
        <w:spacing w:after="40"/>
      </w:pPr>
      <w:r>
        <w:rPr>
          <w:b/>
        </w:rPr>
        <w:t>Refusal trap</w:t>
      </w:r>
      <w:r>
        <w:rPr>
          <w:b w:val="0"/>
        </w:rPr>
        <w:t xml:space="preserve"> (</w:t>
      </w:r>
      <w:r>
        <w:rPr>
          <w:rFonts w:ascii="Consolas" w:hAnsi="Consolas"/>
          <w:color w:val="B03060"/>
          <w:sz w:val="19"/>
        </w:rPr>
        <w:t>stress_brds.md</w:t>
      </w:r>
      <w:r>
        <w:rPr>
          <w:b w:val="0"/>
        </w:rPr>
        <w:t xml:space="preserve"> BRD 8, </w:t>
      </w:r>
      <w:r>
        <w:rPr>
          <w:rFonts w:ascii="Consolas" w:hAnsi="Consolas"/>
          <w:color w:val="B03060"/>
          <w:sz w:val="19"/>
        </w:rPr>
        <w:t>external_suite_brds.md</w:t>
      </w:r>
      <w:r>
        <w:rPr>
          <w:b w:val="0"/>
        </w:rPr>
        <w:t xml:space="preserve"> BRD 10) — mostly unsupported</w:t>
      </w:r>
    </w:p>
    <w:p>
      <w:pPr>
        <w:spacing w:after="120"/>
        <w:jc w:val="left"/>
      </w:pPr>
      <w:r>
        <w:rPr>
          <w:b w:val="0"/>
        </w:rPr>
        <w:t>asks; correct answer is an honest refusal list plus building the runnable remainder.</w:t>
      </w:r>
    </w:p>
    <w:p>
      <w:pPr>
        <w:pStyle w:val="ListBullet"/>
        <w:spacing w:after="40"/>
      </w:pPr>
      <w:r>
        <w:rPr>
          <w:b/>
        </w:rPr>
        <w:t>Nonexistent column</w:t>
      </w:r>
      <w:r>
        <w:rPr>
          <w:b w:val="0"/>
        </w:rPr>
        <w:t xml:space="preserve"> (</w:t>
      </w:r>
      <w:r>
        <w:rPr>
          <w:rFonts w:ascii="Consolas" w:hAnsi="Consolas"/>
          <w:color w:val="B03060"/>
          <w:sz w:val="19"/>
        </w:rPr>
        <w:t>tough_suite_round3_brds.md</w:t>
      </w:r>
      <w:r>
        <w:rPr>
          <w:b w:val="0"/>
        </w:rPr>
        <w:t xml:space="preserve"> BRD 07) — a column the source does not</w:t>
      </w:r>
    </w:p>
    <w:p>
      <w:pPr>
        <w:spacing w:after="120"/>
        <w:jc w:val="left"/>
      </w:pPr>
      <w:r>
        <w:rPr>
          <w:b w:val="0"/>
        </w:rPr>
        <w:t>have; correct answer is to drop it and say so, not to invent it.</w:t>
      </w:r>
    </w:p>
    <w:p>
      <w:pPr>
        <w:pStyle w:val="ListBullet"/>
        <w:spacing w:after="40"/>
      </w:pPr>
      <w:r>
        <w:rPr>
          <w:b/>
        </w:rPr>
        <w:t>Underspecified</w:t>
      </w:r>
      <w:r>
        <w:rPr>
          <w:b w:val="0"/>
        </w:rPr>
        <w:t xml:space="preserve"> (</w:t>
      </w:r>
      <w:r>
        <w:rPr>
          <w:rFonts w:ascii="Consolas" w:hAnsi="Consolas"/>
          <w:color w:val="B03060"/>
          <w:sz w:val="19"/>
        </w:rPr>
        <w:t>tough_suite_round3_brds.md</w:t>
      </w:r>
      <w:r>
        <w:rPr>
          <w:b w:val="0"/>
        </w:rPr>
        <w:t xml:space="preserve"> BRD 09) — correct answer is to ask, not invent.</w:t>
      </w:r>
    </w:p>
    <w:p>
      <w:pPr>
        <w:spacing w:after="120"/>
        <w:jc w:val="left"/>
      </w:pPr>
      <w:r>
        <w:rPr>
          <w:b/>
        </w:rPr>
        <w:t>4. External-source BRDs.</w:t>
      </w:r>
      <w:r>
        <w:rPr>
          <w:b w:val="0"/>
        </w:rPr>
        <w:t xml:space="preserve"> Same medallion shapes, but the bronze layer pulls from Dataverse, SharePoint, Postgres, BigQuery, or GCS instead of an Azure container. Cross-source BRDs join two different external systems in gold.</w:t>
      </w:r>
    </w:p>
    <w:p>
      <w:pPr>
        <w:pStyle w:val="Heading2"/>
      </w:pPr>
      <w:r>
        <w:t>Source formats the vocabulary accepts</w:t>
      </w:r>
    </w:p>
    <w:p>
      <w:pPr>
        <w:spacing w:after="120"/>
        <w:jc w:val="left"/>
      </w:pPr>
      <w:r>
        <w:rPr>
          <w:b w:val="0"/>
        </w:rPr>
        <w:t xml:space="preserve">From </w:t>
      </w:r>
      <w:r>
        <w:rPr>
          <w:rFonts w:ascii="Consolas" w:hAnsi="Consolas"/>
          <w:color w:val="B03060"/>
          <w:sz w:val="19"/>
        </w:rPr>
        <w:t>models/logical.py</w:t>
      </w:r>
      <w:r>
        <w:rPr>
          <w:b w:val="0"/>
        </w:rPr>
        <w:t xml:space="preserve"> </w:t>
      </w:r>
      <w:r>
        <w:rPr>
          <w:rFonts w:ascii="Consolas" w:hAnsi="Consolas"/>
          <w:color w:val="B03060"/>
          <w:sz w:val="19"/>
        </w:rPr>
        <w:t>SourceFormat</w:t>
      </w:r>
      <w:r>
        <w:rPr>
          <w:b w:val="0"/>
        </w:rPr>
        <w:t>:</w:t>
      </w:r>
    </w:p>
    <w:p>
      <w:pPr>
        <w:spacing w:after="120"/>
        <w:jc w:val="left"/>
      </w:pPr>
      <w:r>
        <w:rPr>
          <w:rFonts w:ascii="Consolas" w:hAnsi="Consolas"/>
          <w:color w:val="B03060"/>
          <w:sz w:val="19"/>
        </w:rPr>
        <w:t>csv</w:t>
      </w:r>
      <w:r>
        <w:rPr>
          <w:b w:val="0"/>
        </w:rPr>
        <w:t xml:space="preserve">, </w:t>
      </w:r>
      <w:r>
        <w:rPr>
          <w:rFonts w:ascii="Consolas" w:hAnsi="Consolas"/>
          <w:color w:val="B03060"/>
          <w:sz w:val="19"/>
        </w:rPr>
        <w:t>text</w:t>
      </w:r>
      <w:r>
        <w:rPr>
          <w:b w:val="0"/>
        </w:rPr>
        <w:t xml:space="preserve">, </w:t>
      </w:r>
      <w:r>
        <w:rPr>
          <w:rFonts w:ascii="Consolas" w:hAnsi="Consolas"/>
          <w:color w:val="B03060"/>
          <w:sz w:val="19"/>
        </w:rPr>
        <w:t>parquet</w:t>
      </w:r>
      <w:r>
        <w:rPr>
          <w:b w:val="0"/>
        </w:rPr>
        <w:t xml:space="preserve">, </w:t>
      </w:r>
      <w:r>
        <w:rPr>
          <w:rFonts w:ascii="Consolas" w:hAnsi="Consolas"/>
          <w:color w:val="B03060"/>
          <w:sz w:val="19"/>
        </w:rPr>
        <w:t>json</w:t>
      </w:r>
      <w:r>
        <w:rPr>
          <w:b w:val="0"/>
        </w:rPr>
        <w:t xml:space="preserve">, </w:t>
      </w:r>
      <w:r>
        <w:rPr>
          <w:rFonts w:ascii="Consolas" w:hAnsi="Consolas"/>
          <w:color w:val="B03060"/>
          <w:sz w:val="19"/>
        </w:rPr>
        <w:t>binary</w:t>
      </w:r>
      <w:r>
        <w:rPr>
          <w:b w:val="0"/>
        </w:rPr>
        <w:t xml:space="preserve">, </w:t>
      </w:r>
      <w:r>
        <w:rPr>
          <w:rFonts w:ascii="Consolas" w:hAnsi="Consolas"/>
          <w:color w:val="B03060"/>
          <w:sz w:val="19"/>
        </w:rPr>
        <w:t>sql_table</w:t>
      </w:r>
      <w:r>
        <w:rPr>
          <w:b w:val="0"/>
        </w:rPr>
        <w:t xml:space="preserve">, </w:t>
      </w:r>
      <w:r>
        <w:rPr>
          <w:rFonts w:ascii="Consolas" w:hAnsi="Consolas"/>
          <w:color w:val="B03060"/>
          <w:sz w:val="19"/>
        </w:rPr>
        <w:t>http_csv</w:t>
      </w:r>
      <w:r>
        <w:rPr>
          <w:b w:val="0"/>
        </w:rPr>
        <w:t xml:space="preserve">, </w:t>
      </w:r>
      <w:r>
        <w:rPr>
          <w:rFonts w:ascii="Consolas" w:hAnsi="Consolas"/>
          <w:color w:val="B03060"/>
          <w:sz w:val="19"/>
        </w:rPr>
        <w:t>dataverse</w:t>
      </w:r>
      <w:r>
        <w:rPr>
          <w:b w:val="0"/>
        </w:rPr>
        <w:t xml:space="preserve">, </w:t>
      </w:r>
      <w:r>
        <w:rPr>
          <w:rFonts w:ascii="Consolas" w:hAnsi="Consolas"/>
          <w:color w:val="B03060"/>
          <w:sz w:val="19"/>
        </w:rPr>
        <w:t>postgres</w:t>
      </w:r>
      <w:r>
        <w:rPr>
          <w:b w:val="0"/>
        </w:rPr>
        <w:t xml:space="preserve">, </w:t>
      </w:r>
      <w:r>
        <w:rPr>
          <w:rFonts w:ascii="Consolas" w:hAnsi="Consolas"/>
          <w:color w:val="B03060"/>
          <w:sz w:val="19"/>
        </w:rPr>
        <w:t>bigquery</w:t>
      </w:r>
      <w:r>
        <w:rPr>
          <w:b w:val="0"/>
        </w:rPr>
        <w:t xml:space="preserve">, </w:t>
      </w:r>
      <w:r>
        <w:rPr>
          <w:rFonts w:ascii="Consolas" w:hAnsi="Consolas"/>
          <w:color w:val="B03060"/>
          <w:sz w:val="19"/>
        </w:rPr>
        <w:t>gcs</w:t>
      </w:r>
      <w:r>
        <w:rPr>
          <w:b w:val="0"/>
        </w:rPr>
        <w:t xml:space="preserve">, </w:t>
      </w:r>
      <w:r>
        <w:rPr>
          <w:rFonts w:ascii="Consolas" w:hAnsi="Consolas"/>
          <w:color w:val="B03060"/>
          <w:sz w:val="19"/>
        </w:rPr>
        <w:t>sharepoint</w:t>
      </w:r>
    </w:p>
    <w:p>
      <w:pPr>
        <w:spacing w:after="120"/>
        <w:jc w:val="left"/>
      </w:pPr>
      <w:r>
        <w:rPr>
          <w:b w:val="0"/>
        </w:rPr>
        <w:t>Anything outside this list is refused at parse time with a suggested alternative — it is never silently approximated.</w:t>
      </w:r>
    </w:p>
    <w:p>
      <w:pPr>
        <w:pStyle w:val="Heading2"/>
      </w:pPr>
      <w:r>
        <w:t>Running a suite</w:t>
      </w:r>
    </w:p>
    <w:p>
      <w:pPr>
        <w:spacing w:after="120"/>
        <w:jc w:val="left"/>
      </w:pPr>
      <w:r>
        <w:rPr>
          <w:b w:val="0"/>
        </w:rPr>
        <w:t xml:space="preserve">BRDs are pasted into the UI or posted to </w:t>
      </w:r>
      <w:r>
        <w:rPr>
          <w:rFonts w:ascii="Consolas" w:hAnsi="Consolas"/>
          <w:color w:val="B03060"/>
          <w:sz w:val="19"/>
        </w:rPr>
        <w:t>/plan</w:t>
      </w:r>
      <w:r>
        <w:rPr>
          <w:b w:val="0"/>
        </w:rPr>
        <w:t>. There is no suite runner in-repo by design: the point of a benchmark run is that it goes through the same HTTP surface a user does.</w:t>
      </w:r>
    </w:p>
    <w:p>
      <w:pPr>
        <w:spacing w:before="120" w:after="120"/>
        <w:ind w:left="360"/>
        <w:shd w:val="clear" w:fill="F2F2F2"/>
      </w:pPr>
      <w:r>
        <w:rPr>
          <w:rFonts w:ascii="Consolas" w:hAnsi="Consolas"/>
          <w:color w:val="1A1A1A"/>
          <w:sz w:val="17"/>
        </w:rPr>
        <w:t>uvicorn app:app --reload     # then paste the BRD at http://127.0.0.1:8000</w:t>
      </w:r>
    </w:p>
    <w:p>
      <w:pPr>
        <w:spacing w:after="120"/>
        <w:jc w:val="left"/>
      </w:pPr>
      <w:r>
        <w:rPr>
          <w:b w:val="0"/>
        </w:rPr>
        <w:t xml:space="preserve">Benchmark rule for every suite: run the BRDs </w:t>
      </w:r>
      <w:r>
        <w:rPr>
          <w:b/>
        </w:rPr>
        <w:t>as written</w:t>
      </w:r>
      <w:r>
        <w:rPr>
          <w:b w:val="0"/>
        </w:rPr>
        <w:t>. No code edits, no BRD rewording mid-run. The app's built-in repair and self-heal are part of the product and are allowed to operate; the final status is recorded honestly, including safe pre-deploy blocks.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