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before="0" w:after="120" w:line="360" w:lineRule="exact"/>
        <w:ind w:firstLine="0" w:left="0"/>
        <w:jc w:val="center"/>
      </w:pPr>
      <w:r>
        <w:rPr>
          <w:rFonts w:ascii="Times New Roman" w:hAnsi="Times New Roman" w:cs="Times New Roman" w:eastAsia="Times New Roman"/>
          <w:b/>
          <w:i w:val="0"/>
          <w:sz w:val="31"/>
        </w:rPr>
        <w:t>AMDL-TPNE: An Adaptive Multi-Model Detection Layer for Multi-Round Adversarial Promo Fraud Detection</w:t>
      </w:r>
    </w:p>
    <w:p>
      <w:pPr>
        <w:keepNext w:val="0"/>
        <w:spacing w:before="0" w:after="60" w:line="260" w:lineRule="exact"/>
        <w:ind w:firstLine="0" w:left="0"/>
        <w:jc w:val="center"/>
      </w:pPr>
      <w:r>
        <w:rPr>
          <w:rFonts w:ascii="Times New Roman" w:hAnsi="Times New Roman" w:cs="Times New Roman" w:eastAsia="Times New Roman"/>
          <w:b w:val="0"/>
          <w:i w:val="0"/>
          <w:sz w:val="22"/>
        </w:rPr>
        <w:t>DR. R.G. SURESH KUMAR</w:t>
      </w:r>
      <w:r>
        <w:rPr>
          <w:rFonts w:ascii="Times New Roman" w:hAnsi="Times New Roman" w:cs="Times New Roman" w:eastAsia="Times New Roman"/>
          <w:b w:val="0"/>
          <w:i w:val="0"/>
          <w:sz w:val="22"/>
          <w:vertAlign w:val="superscript"/>
        </w:rPr>
        <w:t>1</w:t>
      </w:r>
      <w:r>
        <w:rPr>
          <w:rFonts w:ascii="Times New Roman" w:hAnsi="Times New Roman" w:cs="Times New Roman" w:eastAsia="Times New Roman"/>
          <w:b w:val="0"/>
          <w:i w:val="0"/>
          <w:sz w:val="22"/>
        </w:rPr>
        <w:t xml:space="preserve">,  </w:t>
      </w:r>
      <w:r>
        <w:rPr>
          <w:rFonts w:ascii="Times New Roman" w:hAnsi="Times New Roman" w:cs="Times New Roman" w:eastAsia="Times New Roman"/>
          <w:b w:val="0"/>
          <w:i w:val="0"/>
          <w:sz w:val="22"/>
        </w:rPr>
        <w:t>KARNEISH S</w:t>
      </w:r>
      <w:r>
        <w:rPr>
          <w:rFonts w:ascii="Times New Roman" w:hAnsi="Times New Roman" w:cs="Times New Roman" w:eastAsia="Times New Roman"/>
          <w:b w:val="0"/>
          <w:i w:val="0"/>
          <w:sz w:val="22"/>
          <w:vertAlign w:val="superscript"/>
        </w:rPr>
        <w:t>1</w:t>
      </w:r>
      <w:r>
        <w:rPr>
          <w:rFonts w:ascii="Times New Roman" w:hAnsi="Times New Roman" w:cs="Times New Roman" w:eastAsia="Times New Roman"/>
          <w:b w:val="0"/>
          <w:i w:val="0"/>
          <w:sz w:val="22"/>
          <w:vertAlign w:val="superscript"/>
        </w:rPr>
        <w:t>*</w:t>
      </w:r>
      <w:r>
        <w:rPr>
          <w:rFonts w:ascii="Times New Roman" w:hAnsi="Times New Roman" w:cs="Times New Roman" w:eastAsia="Times New Roman"/>
          <w:b w:val="0"/>
          <w:i w:val="0"/>
          <w:sz w:val="22"/>
        </w:rPr>
        <w:t xml:space="preserve">,  </w:t>
      </w:r>
      <w:r>
        <w:rPr>
          <w:rFonts w:ascii="Times New Roman" w:hAnsi="Times New Roman" w:cs="Times New Roman" w:eastAsia="Times New Roman"/>
          <w:b w:val="0"/>
          <w:i w:val="0"/>
          <w:sz w:val="22"/>
        </w:rPr>
        <w:t>KAVIN VENTHAN J</w:t>
      </w:r>
      <w:r>
        <w:rPr>
          <w:rFonts w:ascii="Times New Roman" w:hAnsi="Times New Roman" w:cs="Times New Roman" w:eastAsia="Times New Roman"/>
          <w:b w:val="0"/>
          <w:i w:val="0"/>
          <w:sz w:val="22"/>
          <w:vertAlign w:val="superscript"/>
        </w:rPr>
        <w:t>1</w:t>
      </w:r>
    </w:p>
    <w:p>
      <w:pPr>
        <w:keepNext w:val="0"/>
        <w:spacing w:before="0" w:after="20" w:line="210" w:lineRule="exact"/>
        <w:ind w:firstLine="0" w:left="0"/>
        <w:jc w:val="center"/>
      </w:pPr>
      <w:r>
        <w:rPr>
          <w:rFonts w:ascii="Times New Roman" w:hAnsi="Times New Roman" w:cs="Times New Roman" w:eastAsia="Times New Roman"/>
          <w:b w:val="0"/>
          <w:i w:val="0"/>
          <w:sz w:val="18"/>
          <w:vertAlign w:val="superscript"/>
        </w:rPr>
        <w:t>1</w:t>
      </w:r>
      <w:r>
        <w:rPr>
          <w:rFonts w:ascii="Times New Roman" w:hAnsi="Times New Roman" w:cs="Times New Roman" w:eastAsia="Times New Roman"/>
          <w:b w:val="0"/>
          <w:i w:val="0"/>
          <w:sz w:val="18"/>
        </w:rPr>
        <w:t>Department of Computer Science and Engineering, Rajiv Gandhi College of Engineering and Technology, Puducherry - 607 403, India</w:t>
      </w:r>
    </w:p>
    <w:p>
      <w:pPr>
        <w:keepNext w:val="0"/>
        <w:spacing w:before="80" w:after="20" w:line="210" w:lineRule="exact"/>
        <w:ind w:firstLine="0" w:left="0"/>
        <w:jc w:val="center"/>
      </w:pPr>
      <w:r>
        <w:rPr>
          <w:rFonts w:ascii="Times New Roman" w:hAnsi="Times New Roman" w:cs="Times New Roman" w:eastAsia="Times New Roman"/>
          <w:b w:val="0"/>
          <w:i/>
          <w:sz w:val="17"/>
        </w:rPr>
        <w:t>Corresponding author: KARNEISH S</w:t>
      </w:r>
    </w:p>
    <w:p>
      <w:pPr>
        <w:keepNext w:val="0"/>
        <w:spacing w:before="0" w:after="200" w:line="210" w:lineRule="exact"/>
        <w:ind w:firstLine="0" w:left="0"/>
        <w:jc w:val="center"/>
      </w:pPr>
      <w:r>
        <w:rPr>
          <w:rFonts w:ascii="Times New Roman" w:hAnsi="Times New Roman" w:cs="Times New Roman" w:eastAsia="Times New Roman"/>
          <w:b w:val="0"/>
          <w:i/>
          <w:sz w:val="17"/>
        </w:rPr>
        <w:t>Email: karneish.sk@gmail.com</w:t>
      </w:r>
    </w:p>
    <w:p>
      <w:pPr>
        <w:keepNext w:val="0"/>
        <w:spacing w:before="0" w:after="80" w:line="208" w:lineRule="exact"/>
        <w:ind w:firstLine="0" w:left="200" w:right="200"/>
        <w:jc w:val="both"/>
      </w:pPr>
      <w:r>
        <w:rPr>
          <w:rFonts w:ascii="Times New Roman" w:hAnsi="Times New Roman" w:cs="Times New Roman" w:eastAsia="Times New Roman"/>
          <w:b/>
          <w:i w:val="0"/>
          <w:smallCaps/>
          <w:sz w:val="17"/>
        </w:rPr>
        <w:t>ABSTRACT</w:t>
      </w:r>
      <w:r>
        <w:rPr>
          <w:rFonts w:ascii="Times New Roman" w:hAnsi="Times New Roman" w:cs="Times New Roman" w:eastAsia="Times New Roman"/>
          <w:b w:val="0"/>
          <w:i w:val="0"/>
          <w:smallCaps/>
          <w:sz w:val="17"/>
        </w:rPr>
        <w:t xml:space="preserve"> — </w:t>
      </w:r>
      <w:r>
        <w:rPr>
          <w:rFonts w:ascii="Times New Roman" w:hAnsi="Times New Roman" w:cs="Times New Roman" w:eastAsia="Times New Roman"/>
          <w:b w:val="0"/>
          <w:i w:val="0"/>
          <w:sz w:val="17"/>
        </w:rPr>
        <w:t>Multi-round promo fraud is an adaptive problem. A detector is fitted on an initial graph of abusive accounts, and a motivated adversary then manufactures fresh fraudulent nodes that resemble the accounts the detector has already learned to reject. This paper presents AMDL-TPNE, a framework that couples a temporally pre-trained node embedder (TPNE) with an Adaptive Multi-Model Detection Layer (AMDL) and evaluates both against a reproducible multi-round adversarial scenario. TPNE maps every account to a 384-dimensional vector formed by concatenating a static half with a temporal half, optimised under three self-supervised objectives: neighbourhood reconstruction, temporal disentanglement and temporal maximisation. AMDL replaces the single gradient-boosted head of the reference implementation with three heterogeneous learners — XGBoost, histogram gradient boosting and extremely randomised trees — fused by an adaptive F</w:t>
      </w:r>
      <w:r>
        <w:rPr>
          <w:rFonts w:ascii="Times New Roman" w:hAnsi="Times New Roman" w:cs="Times New Roman" w:eastAsia="Times New Roman"/>
          <w:b w:val="0"/>
          <w:i w:val="0"/>
          <w:sz w:val="17"/>
          <w:vertAlign w:val="subscript"/>
        </w:rPr>
        <w:t>1</w:t>
      </w:r>
      <w:r>
        <w:rPr>
          <w:rFonts w:ascii="Times New Roman" w:hAnsi="Times New Roman" w:cs="Times New Roman" w:eastAsia="Times New Roman"/>
          <w:b w:val="0"/>
          <w:i w:val="0"/>
          <w:sz w:val="17"/>
        </w:rPr>
        <w:t xml:space="preserve">-proportional weighting with a relative floor, and all warm-started so that a round costs additional boosting rounds rather than a full refit. Measurements are reported on the </w:t>
      </w:r>
      <w:r>
        <w:rPr>
          <w:rFonts w:ascii="Times New Roman" w:hAnsi="Times New Roman" w:cs="Times New Roman" w:eastAsia="Times New Roman"/>
          <w:b w:val="0"/>
          <w:i/>
          <w:sz w:val="17"/>
        </w:rPr>
        <w:t>tolokers</w:t>
      </w:r>
      <w:r>
        <w:rPr>
          <w:rFonts w:ascii="Times New Roman" w:hAnsi="Times New Roman" w:cs="Times New Roman" w:eastAsia="Times New Roman"/>
          <w:b w:val="0"/>
          <w:i w:val="0"/>
          <w:sz w:val="17"/>
        </w:rPr>
        <w:t xml:space="preserve"> </w:t>
      </w:r>
      <w:r>
        <w:rPr>
          <w:rFonts w:ascii="Times New Roman" w:hAnsi="Times New Roman" w:cs="Times New Roman" w:eastAsia="Times New Roman"/>
          <w:b w:val="0"/>
          <w:i/>
          <w:sz w:val="17"/>
        </w:rPr>
        <w:t>bid</w:t>
      </w:r>
      <w:r>
        <w:rPr>
          <w:rFonts w:ascii="Times New Roman" w:hAnsi="Times New Roman" w:cs="Times New Roman" w:eastAsia="Times New Roman"/>
          <w:b w:val="0"/>
          <w:i w:val="0"/>
          <w:sz w:val="17"/>
        </w:rPr>
        <w:t xml:space="preserve"> interaction graph (11,758 nodes, 21.82% positive; 530,758 edges counting the 519,000 undirected pairs and 11,758 self-loops as the reference does) under a greedy, replay-modification adversary over three rounds with 587 generated nodes per round, on the authors' own predefined split. Against a five-trial reproduction of the reference control, the layer wins the final-round query metrics outright — precision 42.13 against 31.01, AUC 85.49 against 64.00 and recall 83.59 against 27.50, measured identically on both sides — and retains essentially the whole query population at a precision floor of 0.30. It does not win the two F</w:t>
      </w:r>
      <w:r>
        <w:rPr>
          <w:rFonts w:ascii="Times New Roman" w:hAnsi="Times New Roman" w:cs="Times New Roman" w:eastAsia="Times New Roman"/>
          <w:b w:val="0"/>
          <w:i w:val="0"/>
          <w:sz w:val="17"/>
          <w:vertAlign w:val="subscript"/>
        </w:rPr>
        <w:t>1</w:t>
      </w:r>
      <w:r>
        <w:rPr>
          <w:rFonts w:ascii="Times New Roman" w:hAnsi="Times New Roman" w:cs="Times New Roman" w:eastAsia="Times New Roman"/>
          <w:b w:val="0"/>
          <w:i w:val="0"/>
          <w:sz w:val="17"/>
        </w:rPr>
        <w:t xml:space="preserve"> metrics: round-0 F</w:t>
      </w:r>
      <w:r>
        <w:rPr>
          <w:rFonts w:ascii="Times New Roman" w:hAnsi="Times New Roman" w:cs="Times New Roman" w:eastAsia="Times New Roman"/>
          <w:b w:val="0"/>
          <w:i w:val="0"/>
          <w:sz w:val="17"/>
          <w:vertAlign w:val="subscript"/>
        </w:rPr>
        <w:t>1</w:t>
      </w:r>
      <w:r>
        <w:rPr>
          <w:rFonts w:ascii="Times New Roman" w:hAnsi="Times New Roman" w:cs="Times New Roman" w:eastAsia="Times New Roman"/>
          <w:b w:val="0"/>
          <w:i w:val="0"/>
          <w:sz w:val="17"/>
        </w:rPr>
        <w:t xml:space="preserve"> is 54.89 ± 1.01 against 66.56 ± 0.75, and average on-round F</w:t>
      </w:r>
      <w:r>
        <w:rPr>
          <w:rFonts w:ascii="Times New Roman" w:hAnsi="Times New Roman" w:cs="Times New Roman" w:eastAsia="Times New Roman"/>
          <w:b w:val="0"/>
          <w:i w:val="0"/>
          <w:sz w:val="17"/>
          <w:vertAlign w:val="subscript"/>
        </w:rPr>
        <w:t>1</w:t>
      </w:r>
      <w:r>
        <w:rPr>
          <w:rFonts w:ascii="Times New Roman" w:hAnsi="Times New Roman" w:cs="Times New Roman" w:eastAsia="Times New Roman"/>
          <w:b w:val="0"/>
          <w:i w:val="0"/>
          <w:sz w:val="17"/>
        </w:rPr>
        <w:t xml:space="preserve"> is 54.51 ± 5.29 against 57.09 ± 2.33, the latter a deficit of about one standard deviation. Holding the embedding fixed, replacing a single XGBoost head with the three-model layer raises on-round F</w:t>
      </w:r>
      <w:r>
        <w:rPr>
          <w:rFonts w:ascii="Times New Roman" w:hAnsi="Times New Roman" w:cs="Times New Roman" w:eastAsia="Times New Roman"/>
          <w:b w:val="0"/>
          <w:i w:val="0"/>
          <w:sz w:val="17"/>
          <w:vertAlign w:val="subscript"/>
        </w:rPr>
        <w:t>1</w:t>
      </w:r>
      <w:r>
        <w:rPr>
          <w:rFonts w:ascii="Times New Roman" w:hAnsi="Times New Roman" w:cs="Times New Roman" w:eastAsia="Times New Roman"/>
          <w:b w:val="0"/>
          <w:i w:val="0"/>
          <w:sz w:val="17"/>
        </w:rPr>
        <w:t xml:space="preserve"> from 0.119 to 0.263, a 2.2× gain attributable to the detection layer alone. Two defects found by auditing this work's own harness are reported rather than dropped: a claim that all four metrics beat the reference was retracted as train-on-test, and a configuration guard had been silently running the reference encoder untrained, which invalidates every earlier figure obtained with it. AMDL-TPNE is therefore presented as a partially validated research direction, with its negative results and its retractions reported alongside its positive ones.</w:t>
      </w:r>
    </w:p>
    <w:p>
      <w:pPr>
        <w:keepNext w:val="0"/>
        <w:spacing w:before="0" w:after="200" w:line="208" w:lineRule="exact"/>
        <w:ind w:firstLine="0" w:left="200" w:right="200"/>
        <w:jc w:val="both"/>
      </w:pPr>
      <w:r>
        <w:rPr>
          <w:rFonts w:ascii="Times New Roman" w:hAnsi="Times New Roman" w:cs="Times New Roman" w:eastAsia="Times New Roman"/>
          <w:b/>
          <w:i w:val="0"/>
          <w:smallCaps/>
          <w:sz w:val="17"/>
        </w:rPr>
        <w:t>KEYWORDS</w:t>
      </w:r>
      <w:r>
        <w:rPr>
          <w:rFonts w:ascii="Times New Roman" w:hAnsi="Times New Roman" w:cs="Times New Roman" w:eastAsia="Times New Roman"/>
          <w:b w:val="0"/>
          <w:i w:val="0"/>
          <w:smallCaps/>
          <w:sz w:val="17"/>
        </w:rPr>
        <w:t xml:space="preserve"> — </w:t>
      </w:r>
      <w:r>
        <w:rPr>
          <w:rFonts w:ascii="Times New Roman" w:hAnsi="Times New Roman" w:cs="Times New Roman" w:eastAsia="Times New Roman"/>
          <w:b w:val="0"/>
          <w:i/>
          <w:sz w:val="17"/>
        </w:rPr>
        <w:t>Multi-Round Adversarial Scenario; Promo Fraud Detection; Temporal Node Embedding; Self-Supervised Graph Learning; Adaptive Multi-Model Ensemble; Gradient-Boosted Decision Trees; Extremely Randomised Trees; Adversarial Robustness; Warm-Start Retraining; Fraud Detection Benchmarking</w:t>
      </w:r>
    </w:p>
    <w:p>
      <w:pPr>
        <w:sectPr>
          <w:footerReference w:type="default" r:id="rId12"/>
          <w:pgSz w:w="11909" w:h="16834"/>
          <w:pgMar w:top="1100" w:right="380" w:bottom="1020" w:left="940" w:header="720" w:footer="720" w:gutter="0"/>
          <w:docGrid w:linePitch="360"/>
          <w:cols w:num="1" w:space="388"/>
        </w:sectPr>
      </w:pPr>
    </w:p>
    <w:p>
      <w:pPr>
        <w:keepNext/>
        <w:spacing w:before="180" w:after="80" w:line="250" w:lineRule="exact"/>
        <w:ind w:firstLine="0" w:left="0"/>
        <w:jc w:val="center"/>
      </w:pPr>
      <w:r>
        <w:rPr>
          <w:rFonts w:ascii="Times New Roman" w:hAnsi="Times New Roman" w:cs="Times New Roman" w:eastAsia="Times New Roman"/>
          <w:b/>
          <w:i w:val="0"/>
          <w:smallCaps/>
          <w:sz w:val="20"/>
        </w:rPr>
        <w:t>1. INTRODUCTION</w:t>
      </w:r>
    </w:p>
    <w:p>
      <w:pPr>
        <w:keepNext w:val="0"/>
        <w:spacing w:before="0" w:after="0" w:line="208" w:lineRule="exact"/>
        <w:ind w:firstLine="0" w:left="0"/>
        <w:jc w:val="both"/>
      </w:pPr>
      <w:r>
        <w:rPr>
          <w:rFonts w:ascii="Times New Roman" w:hAnsi="Times New Roman" w:cs="Times New Roman" w:eastAsia="Times New Roman"/>
          <w:b w:val="0"/>
          <w:i w:val="0"/>
          <w:sz w:val="17"/>
        </w:rPr>
        <w:t>Promotional abuse is normally treated as a classification problem: an account issues a request, a model scores the request, and a threshold decides. That framing is adequate while the adversary is stationary, because the set of abusive behaviours observed during training continues to resemble the set observed during operation. It stops being adequate as soon as the adversary reads the detector. Fraudulent operators observe which accounts were flagged, reproduce or perturb those accounts, and resubmit. The fraud population is therefore not a fixed set of entities but a moving target that is re-aimed after every detection decision.</w:t>
      </w:r>
    </w:p>
    <w:p>
      <w:pPr>
        <w:keepNext w:val="0"/>
        <w:spacing w:before="0" w:after="0" w:line="208" w:lineRule="exact"/>
        <w:ind w:firstLine="0" w:left="0"/>
        <w:jc w:val="both"/>
      </w:pPr>
      <w:r>
        <w:rPr>
          <w:rFonts w:ascii="Times New Roman" w:hAnsi="Times New Roman" w:cs="Times New Roman" w:eastAsia="Times New Roman"/>
          <w:b w:val="0"/>
          <w:i w:val="0"/>
          <w:sz w:val="17"/>
        </w:rPr>
        <w:t>This is the setting formalised by the multi-rounded adversarial scenario of Prasetya, Liu, Murata and Matono [1], which models detection as a sequence of rounds rather than a single split. In each round an adversary selects seed nodes from the current graph, generates new query nodes that resemble them, and the detector is evaluated on the newly generated nodes before being refitted. The reference implementation couples this scenario with a temporally pre-trained node embedder (TPNE) and a single XGBoost head, and reports that the on-round performance of the head falls well below its round-0 performance. That fall is the interesting object of study, because it isolates how much of a detector's apparent skill is representation quality and how much is the head's ability to hold a boundary while the distribution moves.</w:t>
      </w:r>
    </w:p>
    <w:p>
      <w:pPr>
        <w:keepNext w:val="0"/>
        <w:spacing w:before="0" w:after="0" w:line="208" w:lineRule="exact"/>
        <w:ind w:firstLine="0" w:left="0"/>
        <w:jc w:val="both"/>
      </w:pPr>
      <w:r>
        <w:rPr>
          <w:rFonts w:ascii="Times New Roman" w:hAnsi="Times New Roman" w:cs="Times New Roman" w:eastAsia="Times New Roman"/>
          <w:b w:val="0"/>
          <w:i w:val="0"/>
          <w:sz w:val="17"/>
        </w:rPr>
        <w:t>Two observations motivate the framework presented here. The first concerns the head. A single gradient-boosted classifier makes one commitment: it commits to one inductive bias, one notion of neighbourhood shape, and one failure mode. When an adversary targets that bias, the head has nothing to fall back on. The second observation concerns the embedding. A representation that is recomputed from the full round window on every round is expensive in a way that scales with the number of rounds already seen, which makes long-horizon evaluation impractical and pushes an implementer toward short horizons. Both observations point at the same remedy: keep the representation faithful but make it cheap to update, and make the decision layer plural so that no single failure mode is decisive.</w:t>
      </w:r>
    </w:p>
    <w:p>
      <w:pPr>
        <w:keepNext w:val="0"/>
        <w:spacing w:before="0" w:after="0" w:line="208" w:lineRule="exact"/>
        <w:ind w:firstLine="0" w:left="0"/>
        <w:jc w:val="both"/>
      </w:pPr>
      <w:r>
        <w:rPr>
          <w:rFonts w:ascii="Times New Roman" w:hAnsi="Times New Roman" w:cs="Times New Roman" w:eastAsia="Times New Roman"/>
          <w:b w:val="0"/>
          <w:i w:val="0"/>
          <w:sz w:val="17"/>
        </w:rPr>
        <w:t>AMDL-TPNE follows that remedy. It retains the multi-round adversarial scenario and the TPNE objective unchanged, and it changes two things: the detection head becomes an Adaptive Multi-Model Detection Layer that fuses three heterogeneous learners with weights derived from their recent discrimination on a trailing holdout, and the embedder gains an incremental mode in which only the newest round is propagated and the temporal half is formed from the round-over-round delta. Everything reported below was measured on a four-core CPU-only host with no GPU, and the reporting protocol is deliberately conservative: figures that could not be regenerated from artefacts in the repository are identified as such, and single-trial results are labelled as single-trial.</w:t>
      </w:r>
    </w:p>
    <w:p>
      <w:pPr>
        <w:keepNext/>
        <w:spacing w:before="180" w:after="80" w:line="250" w:lineRule="exact"/>
        <w:ind w:firstLine="0" w:left="0"/>
        <w:jc w:val="center"/>
      </w:pPr>
      <w:r>
        <w:rPr>
          <w:rFonts w:ascii="Times New Roman" w:hAnsi="Times New Roman" w:cs="Times New Roman" w:eastAsia="Times New Roman"/>
          <w:b/>
          <w:i w:val="0"/>
          <w:smallCaps/>
          <w:sz w:val="20"/>
        </w:rPr>
        <w:t>2. BACKGROUND AND RELATED WORK</w:t>
      </w:r>
    </w:p>
    <w:p>
      <w:pPr>
        <w:keepNext/>
        <w:spacing w:before="120" w:after="80" w:line="240" w:lineRule="exact"/>
        <w:ind w:firstLine="0" w:left="0"/>
        <w:jc w:val="left"/>
      </w:pPr>
      <w:r>
        <w:rPr>
          <w:rFonts w:ascii="Times New Roman" w:hAnsi="Times New Roman" w:cs="Times New Roman" w:eastAsia="Times New Roman"/>
          <w:b/>
          <w:i w:val="0"/>
          <w:sz w:val="19"/>
        </w:rPr>
        <w:t>2.1 Fraud Detection in Transaction Streams</w:t>
      </w:r>
    </w:p>
    <w:p>
      <w:pPr>
        <w:keepNext w:val="0"/>
        <w:spacing w:before="0" w:after="0" w:line="208" w:lineRule="exact"/>
        <w:ind w:firstLine="0" w:left="0"/>
        <w:jc w:val="both"/>
      </w:pPr>
      <w:r>
        <w:rPr>
          <w:rFonts w:ascii="Times New Roman" w:hAnsi="Times New Roman" w:cs="Times New Roman" w:eastAsia="Times New Roman"/>
          <w:b w:val="0"/>
          <w:i w:val="0"/>
          <w:sz w:val="17"/>
        </w:rPr>
        <w:t>The dominant operational setting for promo and payment abuse is a transaction stream. Decisions have to be taken in the path of the transaction, close to where it originates, because a verdict returned after settlement is worth nothing [2], [3]. Benign traffic is extremely imbalanced — on the IEEE-CIS transaction corpus used in this work the positive rate observed on the evaluation slices was 2.56% to 2.87% — so accuracy is uninformative and precision-recall behaviour, recall at a fixed review budget, and the number of false positives per analyst-hour are the metrics that actually decide whether a detector is deployable [8], [9]. Feature engineering in this regime is dominated by velocity and history aggregates: counts over short windows, amount ratios, distinct-cardinality, and reuse ratios. The implementation described here uses twelve source-independent profile columns of this kind together with fifteen native columns, giving twenty-seven features before any embedding contribution is added.</w:t>
      </w:r>
    </w:p>
    <w:p>
      <w:pPr>
        <w:keepNext w:val="0"/>
        <w:spacing w:before="0" w:after="0" w:line="208" w:lineRule="exact"/>
        <w:ind w:firstLine="0" w:left="0"/>
        <w:jc w:val="both"/>
      </w:pPr>
      <w:r>
        <w:rPr>
          <w:rFonts w:ascii="Times New Roman" w:hAnsi="Times New Roman" w:cs="Times New Roman" w:eastAsia="Times New Roman"/>
          <w:b w:val="0"/>
          <w:i w:val="0"/>
          <w:sz w:val="17"/>
        </w:rPr>
        <w:t>Tree ensembles dominate this setting. Boosting was introduced to raise accuracy over weak learners [27] and has been applied to payment fraud specifically [26]; XGBoost [4] and LightGBM [5] provide regularised, histogram-based gradient boosting that scales to hundreds of features and millions of rows, and extremely randomised trees [6] add variance reduction through fully randomised split selection. Random forests [6] and logistic regression remain useful as low-variance references. The literature consensus, however, is largely reported on a single split, and single-split reporting systematically conceals the behaviour that matters operationally: what happens to the fitted boundary once the population drifts. All of the learners used here are standard estimators in established machine-learning toolkits [7], [10], which is what makes one implementation comparable across arms.</w:t>
      </w:r>
    </w:p>
    <w:p>
      <w:pPr>
        <w:keepNext/>
        <w:spacing w:before="120" w:after="80" w:line="240" w:lineRule="exact"/>
        <w:ind w:firstLine="0" w:left="0"/>
        <w:jc w:val="left"/>
      </w:pPr>
      <w:r>
        <w:rPr>
          <w:rFonts w:ascii="Times New Roman" w:hAnsi="Times New Roman" w:cs="Times New Roman" w:eastAsia="Times New Roman"/>
          <w:b/>
          <w:i w:val="0"/>
          <w:sz w:val="19"/>
        </w:rPr>
        <w:t>2.2 Graph Representation for Fraud</w:t>
      </w:r>
    </w:p>
    <w:p>
      <w:pPr>
        <w:keepNext w:val="0"/>
        <w:spacing w:before="0" w:after="0" w:line="208" w:lineRule="exact"/>
        <w:ind w:firstLine="0" w:left="0"/>
        <w:jc w:val="both"/>
      </w:pPr>
      <w:r>
        <w:rPr>
          <w:rFonts w:ascii="Times New Roman" w:hAnsi="Times New Roman" w:cs="Times New Roman" w:eastAsia="Times New Roman"/>
          <w:b w:val="0"/>
          <w:i w:val="0"/>
          <w:sz w:val="17"/>
        </w:rPr>
        <w:t>Fraud is relational. Abusive accounts share devices, addresses, payment instruments, coupon codes and behavioural templates, so a representation that sees only a single account's own history discards the evidence that actually separates fraud from unusual but legitimate behaviour. Graph-based fraud detection encodes accounts as nodes and these shared artefacts as edges, and has become an established family [11]-[17], [25], [31], [32]. Heterogeneous graph networks represent typed relations directly [11], [12]; attention-based propagation reweights neighbours so that a small number of high-signal relations dominate [13]; and self-supervised contrastive objectives address the extreme label sparsity that makes supervised graph training unreliable [14]-[16].</w:t>
      </w:r>
    </w:p>
    <w:p>
      <w:pPr>
        <w:keepNext w:val="0"/>
        <w:spacing w:before="0" w:after="0" w:line="208" w:lineRule="exact"/>
        <w:ind w:firstLine="0" w:left="0"/>
        <w:jc w:val="both"/>
      </w:pPr>
      <w:r>
        <w:rPr>
          <w:rFonts w:ascii="Times New Roman" w:hAnsi="Times New Roman" w:cs="Times New Roman" w:eastAsia="Times New Roman"/>
          <w:b w:val="0"/>
          <w:i w:val="0"/>
          <w:sz w:val="17"/>
        </w:rPr>
        <w:t>TPNE [1] belongs to this family with a specific emphasis: it is self-supervised, so it requires no labels, and it is explicitly temporal, producing a static representation concatenated with a temporal one. Its three objectives are complementary by construction. Reconstruction preserves neighbourhood structure, disentanglement forces the static and temporal halves to occupy non-overlapping subspaces, and maximisation encourages the temporal half to spread over the window rather than collapse onto its mean. Because the embedder is self-supervised, it can be fitted once on an unlabelled graph and then reused across detection rounds, which is what makes the round-by-round protocol affordable. Deep representation learning assumes the objective is differentiable end to end [20], and that assumption is exactly what the offline encoder discussed in Section 3.2 does not currently satisfy.</w:t>
      </w:r>
    </w:p>
    <w:p>
      <w:pPr>
        <w:keepNext/>
        <w:spacing w:before="120" w:after="80" w:line="240" w:lineRule="exact"/>
        <w:ind w:firstLine="0" w:left="0"/>
        <w:jc w:val="left"/>
      </w:pPr>
      <w:r>
        <w:rPr>
          <w:rFonts w:ascii="Times New Roman" w:hAnsi="Times New Roman" w:cs="Times New Roman" w:eastAsia="Times New Roman"/>
          <w:b/>
          <w:i w:val="0"/>
          <w:sz w:val="19"/>
        </w:rPr>
        <w:t>2.3 Adaptive Adversarial Evaluation</w:t>
      </w:r>
    </w:p>
    <w:p>
      <w:pPr>
        <w:keepNext w:val="0"/>
        <w:spacing w:before="0" w:after="0" w:line="208" w:lineRule="exact"/>
        <w:ind w:firstLine="0" w:left="0"/>
        <w:jc w:val="both"/>
      </w:pPr>
      <w:r>
        <w:rPr>
          <w:rFonts w:ascii="Times New Roman" w:hAnsi="Times New Roman" w:cs="Times New Roman" w:eastAsia="Times New Roman"/>
          <w:b w:val="0"/>
          <w:i w:val="0"/>
          <w:sz w:val="17"/>
        </w:rPr>
        <w:t>Standard fraud benchmarks measure robustness to noise, not to a motivated opponent [24]. The multi-rounded adversarial scenario of [1] differs in that the adversary observes the detector. It maintains three graphs per round: a test graph containing everything used for evaluation in that round, a query graph containing only the nodes generated in that round, and a support graph containing the previous support set plus newly generated support nodes. Seed selection can be uniform, greedy on the detector's misses, or greedy restricted to nodes created before the first round. Node modification can replay a seed verbatim, perturb features by a fraction of a standard deviation, perturb features toward the benign prototype, or blend features toward the graph mean. Support augmentation can be disabled, can replay fresh positives and negatives, or can randomise the creation round of round-0 training nodes, which is the mechanism that forces the embedder to retain a multi-round window.</w:t>
      </w:r>
    </w:p>
    <w:p>
      <w:pPr>
        <w:keepNext w:val="0"/>
        <w:spacing w:before="0" w:after="0" w:line="208" w:lineRule="exact"/>
        <w:ind w:firstLine="0" w:left="0"/>
        <w:jc w:val="both"/>
      </w:pPr>
      <w:r>
        <w:rPr>
          <w:rFonts w:ascii="Times New Roman" w:hAnsi="Times New Roman" w:cs="Times New Roman" w:eastAsia="Times New Roman"/>
          <w:b w:val="0"/>
          <w:i w:val="0"/>
          <w:sz w:val="17"/>
        </w:rPr>
        <w:t>The greedy seed selector is the component that makes the scenario adversarial rather than merely noisy. It preferentially seeds from nodes the previous detector labelled negative but which are in fact positive, so each round is concentrated on the detector's residual error. The approach resembles the recursive adversarial-generation line of work in which a detector is repeatedly defeated and repaired [30], but applied at the level of the node population rather than of input perturbation. Detection quality that does not improve under this selector is not evidence of generalisation, and this is the measurement that the framework reported here is built to survive.</w:t>
      </w:r>
    </w:p>
    <w:p>
      <w:pPr>
        <w:keepNext/>
        <w:spacing w:before="120" w:after="80" w:line="240" w:lineRule="exact"/>
        <w:ind w:firstLine="0" w:left="0"/>
        <w:jc w:val="left"/>
      </w:pPr>
      <w:r>
        <w:rPr>
          <w:rFonts w:ascii="Times New Roman" w:hAnsi="Times New Roman" w:cs="Times New Roman" w:eastAsia="Times New Roman"/>
          <w:b/>
          <w:i w:val="0"/>
          <w:sz w:val="19"/>
        </w:rPr>
        <w:t>2.4 Multi-Model Fusion and Incremental Learning</w:t>
      </w:r>
    </w:p>
    <w:p>
      <w:pPr>
        <w:keepNext w:val="0"/>
        <w:spacing w:before="0" w:after="0" w:line="208" w:lineRule="exact"/>
        <w:ind w:firstLine="0" w:left="0"/>
        <w:jc w:val="both"/>
      </w:pPr>
      <w:r>
        <w:rPr>
          <w:rFonts w:ascii="Times New Roman" w:hAnsi="Times New Roman" w:cs="Times New Roman" w:eastAsia="Times New Roman"/>
          <w:b w:val="0"/>
          <w:i w:val="0"/>
          <w:sz w:val="17"/>
        </w:rPr>
        <w:t>Ensembles of diverse learners usually improve robustness under distribution shift, and classical ensemble selection showed that carefully weighted combinations beat their best member [18], [19]. In fraud, the gain is usually larger than in average-case learning because the decision boundary must survive a deliberate attack, and diversity in the inductive bias is the cheapest available insurance. A parallel and independent concern is retraining cost. Full refits are prohibitive in a stream; warm-started boosting, in which additional trees are appended to an existing booster, converts a refit into an increment at the cost of some forgetting. AMDL uses both ideas together, which is why its heads are individually cheap to update.</w:t>
      </w:r>
    </w:p>
    <w:p>
      <w:pPr>
        <w:keepNext/>
        <w:spacing w:before="120" w:after="80" w:line="240" w:lineRule="exact"/>
        <w:ind w:firstLine="0" w:left="0"/>
        <w:jc w:val="left"/>
      </w:pPr>
      <w:r>
        <w:rPr>
          <w:rFonts w:ascii="Times New Roman" w:hAnsi="Times New Roman" w:cs="Times New Roman" w:eastAsia="Times New Roman"/>
          <w:b/>
          <w:i w:val="0"/>
          <w:sz w:val="19"/>
        </w:rPr>
        <w:t>2.5 Streaming and Real-Time Operation</w:t>
      </w:r>
    </w:p>
    <w:p>
      <w:pPr>
        <w:keepNext w:val="0"/>
        <w:spacing w:before="0" w:after="0" w:line="208" w:lineRule="exact"/>
        <w:ind w:firstLine="0" w:left="0"/>
        <w:jc w:val="both"/>
      </w:pPr>
      <w:r>
        <w:rPr>
          <w:rFonts w:ascii="Times New Roman" w:hAnsi="Times New Roman" w:cs="Times New Roman" w:eastAsia="Times New Roman"/>
          <w:b w:val="0"/>
          <w:i w:val="0"/>
          <w:sz w:val="17"/>
        </w:rPr>
        <w:t>The graph protocol above assumes a bounded experiment. In operation, promo abuse arrives as a stream and the same detection layer is asked to score it without a pre-built graph. Two components make this possible. The first is a source-independent profile extractor that computes the same twelve columns for every producer, so a replayed transaction feed, a live public-ledger subscription and an arbitrary webhook all yield comparable vectors. The second is a trigger rather than a schedule: refits are gated on buffered label count and on elapsed time, so a quiet hour does not cause repeated redundant refits and a busy hour does not starve the detector.</w:t>
      </w:r>
    </w:p>
    <w:p>
      <w:pPr>
        <w:keepNext w:val="0"/>
        <w:spacing w:before="0" w:after="0" w:line="208" w:lineRule="exact"/>
        <w:ind w:firstLine="0" w:left="0"/>
        <w:jc w:val="both"/>
      </w:pPr>
      <w:r>
        <w:rPr>
          <w:rFonts w:ascii="Times New Roman" w:hAnsi="Times New Roman" w:cs="Times New Roman" w:eastAsia="Times New Roman"/>
          <w:b w:val="0"/>
          <w:i w:val="0"/>
          <w:sz w:val="17"/>
        </w:rPr>
        <w:t>A streaming deployment also needs an answer to the question of what happens when a label arrives late. The review queue supplies it: a request above the review threshold is held rather than blocked, an analyst or an upstream matcher returns a label, and that label enters the training buffer on the next refit. This is the mechanism that allows an unlabelled live source to become a labelled training source without a separate annotation campaign. The cost of the mechanism is that the analyst-visible metrics are optimistic by construction, because they are computed on data the model has already seen; they are liveness indicators and should be reported separately from evaluation.</w:t>
      </w:r>
    </w:p>
    <w:p>
      <w:pPr>
        <w:keepNext/>
        <w:spacing w:before="180" w:after="80" w:line="250" w:lineRule="exact"/>
        <w:ind w:firstLine="0" w:left="0"/>
        <w:jc w:val="center"/>
      </w:pPr>
      <w:r>
        <w:rPr>
          <w:rFonts w:ascii="Times New Roman" w:hAnsi="Times New Roman" w:cs="Times New Roman" w:eastAsia="Times New Roman"/>
          <w:b/>
          <w:i w:val="0"/>
          <w:smallCaps/>
          <w:sz w:val="20"/>
        </w:rPr>
        <w:t>3. SYSTEM DESIGN: AMDL-TPNE</w:t>
      </w:r>
    </w:p>
    <w:p>
      <w:pPr>
        <w:keepNext w:val="0"/>
        <w:spacing w:before="0" w:after="0" w:line="208" w:lineRule="exact"/>
        <w:ind w:firstLine="0" w:left="0"/>
        <w:jc w:val="both"/>
      </w:pPr>
      <w:r>
        <w:rPr>
          <w:rFonts w:ascii="Times New Roman" w:hAnsi="Times New Roman" w:cs="Times New Roman" w:eastAsia="Times New Roman"/>
          <w:b w:val="0"/>
          <w:i w:val="0"/>
          <w:sz w:val="17"/>
        </w:rPr>
        <w:t>AMDL-TPNE is organised as a pipeline of ten logical components: scenario state, adversarial expansion, node representation, feature assembly, candidate generation, adaptive multi-model scoring, decision, execution, metric accumulation and re-scheduling. Figure 1 places the design in the space of the four families of strategy it draws on, and makes the central design question explicit: which component is adaptive, and with respect to what information available at decision time.</w:t>
      </w:r>
    </w:p>
    <w:p>
      <w:pPr>
        <w:keepNext w:val="0"/>
        <w:spacing w:before="0" w:after="0" w:line="208" w:lineRule="exact"/>
        <w:ind w:firstLine="0" w:left="0"/>
        <w:jc w:val="both"/>
      </w:pPr>
      <w:r>
        <w:rPr>
          <w:rFonts w:ascii="Times New Roman" w:hAnsi="Times New Roman" w:cs="Times New Roman" w:eastAsia="Times New Roman"/>
          <w:b w:val="0"/>
          <w:i w:val="0"/>
          <w:sz w:val="17"/>
        </w:rPr>
        <w:t>The families overlap rather than forming exclusive groups. An incremental embedder with a warm-started single head is a legitimate configuration; so is an offline embedder with a three-model layer. The configuration is not the point. The point is that each component adapts on a different signal, and that the signals are available at different costs. The remaining subsections describe each component in the order in which the pipeline consumes it.</w:t>
      </w:r>
    </w:p>
    <w:p>
      <w:pPr>
        <w:keepNext/>
        <w:spacing w:before="120" w:after="80" w:line="240" w:lineRule="exact"/>
        <w:ind w:firstLine="0" w:left="0"/>
        <w:jc w:val="left"/>
      </w:pPr>
      <w:r>
        <w:rPr>
          <w:rFonts w:ascii="Times New Roman" w:hAnsi="Times New Roman" w:cs="Times New Roman" w:eastAsia="Times New Roman"/>
          <w:b/>
          <w:i w:val="0"/>
          <w:sz w:val="19"/>
        </w:rPr>
        <w:t>3.1 Scenario State and Adversarial Expansion</w:t>
      </w:r>
    </w:p>
    <w:p>
      <w:pPr>
        <w:keepNext w:val="0"/>
        <w:spacing w:before="0" w:after="0" w:line="208" w:lineRule="exact"/>
        <w:ind w:firstLine="0" w:left="0"/>
        <w:jc w:val="both"/>
      </w:pPr>
      <w:r>
        <w:rPr>
          <w:rFonts w:ascii="Times New Roman" w:hAnsi="Times New Roman" w:cs="Times New Roman" w:eastAsia="Times New Roman"/>
          <w:b w:val="0"/>
          <w:i w:val="0"/>
          <w:sz w:val="17"/>
        </w:rPr>
        <w:t xml:space="preserve">At the start of round </w:t>
      </w:r>
      <w:r>
        <w:rPr>
          <w:rFonts w:ascii="Times New Roman" w:hAnsi="Times New Roman" w:cs="Times New Roman" w:eastAsia="Times New Roman"/>
          <w:b w:val="0"/>
          <w:i/>
          <w:sz w:val="17"/>
        </w:rPr>
        <w:t>t</w:t>
      </w:r>
      <w:r>
        <w:rPr>
          <w:rFonts w:ascii="Times New Roman" w:hAnsi="Times New Roman" w:cs="Times New Roman" w:eastAsia="Times New Roman"/>
          <w:b w:val="0"/>
          <w:i w:val="0"/>
          <w:sz w:val="17"/>
        </w:rPr>
        <w:t xml:space="preserve"> the scenario holds the round-0 graph, the accumulated support set, and the set of nodes the previous round's detector misclassified. Seed selection draws from the miss set under the greedy policy. Modification then produces the new nodes, and the round budget fixes their number at a fraction of each class: at five percent of positives and five percent of negatives, a graph with 2,566 positives and 9,192 negatives yields 128 new positive and 459 new negative nodes, for a query set of 587 nodes per round. After scoring, the predicted labels of the query nodes are recorded and returned to the scenario, which is what closes the loop and lets the next round concentrate on the current residual error.</w:t>
      </w:r>
    </w:p>
    <w:p>
      <w:pPr>
        <w:keepNext w:val="0"/>
        <w:spacing w:before="0" w:after="0" w:line="208" w:lineRule="exact"/>
        <w:ind w:firstLine="0" w:left="0"/>
        <w:jc w:val="both"/>
      </w:pPr>
      <w:r>
        <w:rPr>
          <w:rFonts w:ascii="Times New Roman" w:hAnsi="Times New Roman" w:cs="Times New Roman" w:eastAsia="Times New Roman"/>
          <w:b w:val="0"/>
          <w:i w:val="0"/>
          <w:sz w:val="17"/>
        </w:rPr>
        <w:t>One implementation decision deserves emphasis because it changes the results qualitatively. In an earlier form of the pipeline every generated node was returned as query and none was ever trained on, so the detector never saw adversarial nodes. That arrangement is coherent for measuring robustness and incoherent for measuring adaptation, and it produces a collapsed detector in any configuration that involves gradient-based encoder training. The pipeline therefore separates the query graph from the support graph and trains on the union of the previous support set and the newly generated support nodes.</w:t>
      </w:r>
    </w:p>
    <w:p>
      <w:pPr>
        <w:keepNext/>
        <w:spacing w:before="120" w:after="80" w:line="240" w:lineRule="exact"/>
        <w:ind w:firstLine="0" w:left="0"/>
        <w:jc w:val="left"/>
      </w:pPr>
      <w:r>
        <w:rPr>
          <w:rFonts w:ascii="Times New Roman" w:hAnsi="Times New Roman" w:cs="Times New Roman" w:eastAsia="Times New Roman"/>
          <w:b/>
          <w:i w:val="0"/>
          <w:sz w:val="19"/>
        </w:rPr>
        <w:t>3.2 TPNE Representation</w:t>
      </w:r>
    </w:p>
    <w:p>
      <w:pPr>
        <w:keepNext w:val="0"/>
        <w:spacing w:before="0" w:after="0" w:line="208" w:lineRule="exact"/>
        <w:ind w:firstLine="0" w:left="0"/>
        <w:jc w:val="both"/>
      </w:pPr>
      <w:r>
        <w:rPr>
          <w:rFonts w:ascii="Times New Roman" w:hAnsi="Times New Roman" w:cs="Times New Roman" w:eastAsia="Times New Roman"/>
          <w:b w:val="0"/>
          <w:i w:val="0"/>
          <w:sz w:val="17"/>
        </w:rPr>
        <w:t>The embedder is a two-layer propagation network over a row-normalised adjacency with self-loops, with sixty-four hidden features per layer, L</w:t>
      </w:r>
      <w:r>
        <w:rPr>
          <w:rFonts w:ascii="Times New Roman" w:hAnsi="Times New Roman" w:cs="Times New Roman" w:eastAsia="Times New Roman"/>
          <w:b w:val="0"/>
          <w:i w:val="0"/>
          <w:sz w:val="17"/>
          <w:vertAlign w:val="subscript"/>
        </w:rPr>
        <w:t>2</w:t>
      </w:r>
      <w:r>
        <w:rPr>
          <w:rFonts w:ascii="Times New Roman" w:hAnsi="Times New Roman" w:cs="Times New Roman" w:eastAsia="Times New Roman"/>
          <w:b w:val="0"/>
          <w:i w:val="0"/>
          <w:sz w:val="17"/>
        </w:rPr>
        <w:t xml:space="preserve"> row normalisation and a leaky ReLU of slope 0.01 between layers. The output dimension is 2 × 64 × (2 + 1) = 384, split evenly into a 192-dimensional static half and a 192-dimensional temporal half aggregated over a seven-round window with a learned weighting. The three self-supervised objectives are, in the notation of [1],</w:t>
      </w:r>
    </w:p>
    <w:p>
      <w:pPr>
        <w:keepNext w:val="0"/>
        <w:spacing w:before="80" w:after="80" w:line="222" w:lineRule="exact"/>
        <w:ind w:firstLine="0" w:left="0"/>
        <w:jc w:val="center"/>
      </w:pPr>
      <w:r>
        <w:rPr>
          <w:rFonts w:ascii="Times New Roman" w:hAnsi="Times New Roman" w:cs="Times New Roman" w:eastAsia="Times New Roman"/>
          <w:b w:val="0"/>
          <w:i w:val="0"/>
          <w:sz w:val="17"/>
        </w:rPr>
        <w:t>L</w:t>
      </w:r>
      <w:r>
        <w:rPr>
          <w:rFonts w:ascii="Times New Roman" w:hAnsi="Times New Roman" w:cs="Times New Roman" w:eastAsia="Times New Roman"/>
          <w:b w:val="0"/>
          <w:i w:val="0"/>
          <w:sz w:val="17"/>
          <w:vertAlign w:val="subscript"/>
        </w:rPr>
        <w:t>recon</w:t>
      </w:r>
      <w:r>
        <w:rPr>
          <w:rFonts w:ascii="Times New Roman" w:hAnsi="Times New Roman" w:cs="Times New Roman" w:eastAsia="Times New Roman"/>
          <w:b w:val="0"/>
          <w:i w:val="0"/>
          <w:sz w:val="17"/>
        </w:rPr>
        <w:t xml:space="preserve"> = (1 / (L + 1)) Σ</w:t>
      </w:r>
      <w:r>
        <w:rPr>
          <w:rFonts w:ascii="Times New Roman" w:hAnsi="Times New Roman" w:cs="Times New Roman" w:eastAsia="Times New Roman"/>
          <w:b w:val="0"/>
          <w:i w:val="0"/>
          <w:sz w:val="17"/>
          <w:vertAlign w:val="subscript"/>
        </w:rPr>
        <w:t>l</w:t>
      </w:r>
      <w:r>
        <w:rPr>
          <w:rFonts w:ascii="Times New Roman" w:hAnsi="Times New Roman" w:cs="Times New Roman" w:eastAsia="Times New Roman"/>
          <w:b w:val="0"/>
          <w:i w:val="0"/>
          <w:sz w:val="17"/>
        </w:rPr>
        <w:t xml:space="preserve"> [ log(d</w:t>
      </w:r>
      <w:r>
        <w:rPr>
          <w:rFonts w:ascii="Times New Roman" w:hAnsi="Times New Roman" w:cs="Times New Roman" w:eastAsia="Times New Roman"/>
          <w:b w:val="0"/>
          <w:i w:val="0"/>
          <w:sz w:val="17"/>
          <w:vertAlign w:val="subscript"/>
        </w:rPr>
        <w:t>par</w:t>
      </w:r>
      <w:r>
        <w:rPr>
          <w:rFonts w:ascii="Times New Roman" w:hAnsi="Times New Roman" w:cs="Times New Roman" w:eastAsia="Times New Roman"/>
          <w:b w:val="0"/>
          <w:i w:val="0"/>
          <w:sz w:val="17"/>
        </w:rPr>
        <w:t>) − log(d</w:t>
      </w:r>
      <w:r>
        <w:rPr>
          <w:rFonts w:ascii="Times New Roman" w:hAnsi="Times New Roman" w:cs="Times New Roman" w:eastAsia="Times New Roman"/>
          <w:b w:val="0"/>
          <w:i w:val="0"/>
          <w:sz w:val="17"/>
          <w:vertAlign w:val="subscript"/>
        </w:rPr>
        <w:t>nonpar</w:t>
      </w:r>
      <w:r>
        <w:rPr>
          <w:rFonts w:ascii="Times New Roman" w:hAnsi="Times New Roman" w:cs="Times New Roman" w:eastAsia="Times New Roman"/>
          <w:b w:val="0"/>
          <w:i w:val="0"/>
          <w:sz w:val="17"/>
        </w:rPr>
        <w:t>) ]</w:t>
      </w:r>
      <w:r>
        <w:rPr>
          <w:rFonts w:ascii="Times New Roman" w:hAnsi="Times New Roman" w:cs="Times New Roman" w:eastAsia="Times New Roman"/>
          <w:b w:val="0"/>
          <w:i w:val="0"/>
          <w:sz w:val="17"/>
          <w:vertAlign w:val="superscript"/>
        </w:rPr>
        <w:t>2</w:t>
      </w:r>
      <w:r>
        <w:rPr>
          <w:rFonts w:ascii="Times New Roman" w:hAnsi="Times New Roman" w:cs="Times New Roman" w:eastAsia="Times New Roman"/>
          <w:b w:val="0"/>
          <w:i w:val="0"/>
          <w:sz w:val="17"/>
        </w:rPr>
        <w:t xml:space="preserve"> ,    L</w:t>
      </w:r>
      <w:r>
        <w:rPr>
          <w:rFonts w:ascii="Times New Roman" w:hAnsi="Times New Roman" w:cs="Times New Roman" w:eastAsia="Times New Roman"/>
          <w:b w:val="0"/>
          <w:i w:val="0"/>
          <w:sz w:val="17"/>
          <w:vertAlign w:val="subscript"/>
        </w:rPr>
        <w:t>disent</w:t>
      </w:r>
      <w:r>
        <w:rPr>
          <w:rFonts w:ascii="Times New Roman" w:hAnsi="Times New Roman" w:cs="Times New Roman" w:eastAsia="Times New Roman"/>
          <w:b w:val="0"/>
          <w:i w:val="0"/>
          <w:sz w:val="17"/>
        </w:rPr>
        <w:t xml:space="preserve"> = 1 − cos( h</w:t>
      </w:r>
      <w:r>
        <w:rPr>
          <w:rFonts w:ascii="Times New Roman" w:hAnsi="Times New Roman" w:cs="Times New Roman" w:eastAsia="Times New Roman"/>
          <w:b w:val="0"/>
          <w:i w:val="0"/>
          <w:sz w:val="17"/>
          <w:vertAlign w:val="superscript"/>
        </w:rPr>
        <w:t>static</w:t>
      </w:r>
      <w:r>
        <w:rPr>
          <w:rFonts w:ascii="Times New Roman" w:hAnsi="Times New Roman" w:cs="Times New Roman" w:eastAsia="Times New Roman"/>
          <w:b w:val="0"/>
          <w:i w:val="0"/>
          <w:sz w:val="17"/>
        </w:rPr>
        <w:t xml:space="preserve"> , h</w:t>
      </w:r>
      <w:r>
        <w:rPr>
          <w:rFonts w:ascii="Times New Roman" w:hAnsi="Times New Roman" w:cs="Times New Roman" w:eastAsia="Times New Roman"/>
          <w:b w:val="0"/>
          <w:i w:val="0"/>
          <w:sz w:val="17"/>
          <w:vertAlign w:val="superscript"/>
        </w:rPr>
        <w:t>temp</w:t>
      </w:r>
      <w:r>
        <w:rPr>
          <w:rFonts w:ascii="Times New Roman" w:hAnsi="Times New Roman" w:cs="Times New Roman" w:eastAsia="Times New Roman"/>
          <w:b w:val="0"/>
          <w:i w:val="0"/>
          <w:sz w:val="17"/>
        </w:rPr>
        <w:t xml:space="preserve"> ) ,    L</w:t>
      </w:r>
      <w:r>
        <w:rPr>
          <w:rFonts w:ascii="Times New Roman" w:hAnsi="Times New Roman" w:cs="Times New Roman" w:eastAsia="Times New Roman"/>
          <w:b w:val="0"/>
          <w:i w:val="0"/>
          <w:sz w:val="17"/>
          <w:vertAlign w:val="subscript"/>
        </w:rPr>
        <w:t>temp</w:t>
      </w:r>
      <w:r>
        <w:rPr>
          <w:rFonts w:ascii="Times New Roman" w:hAnsi="Times New Roman" w:cs="Times New Roman" w:eastAsia="Times New Roman"/>
          <w:b w:val="0"/>
          <w:i w:val="0"/>
          <w:sz w:val="17"/>
        </w:rPr>
        <w:t xml:space="preserve"> = 1 / log( ||h</w:t>
      </w:r>
      <w:r>
        <w:rPr>
          <w:rFonts w:ascii="Times New Roman" w:hAnsi="Times New Roman" w:cs="Times New Roman" w:eastAsia="Times New Roman"/>
          <w:b w:val="0"/>
          <w:i w:val="0"/>
          <w:sz w:val="17"/>
          <w:vertAlign w:val="superscript"/>
        </w:rPr>
        <w:t>temp</w:t>
      </w:r>
      <w:r>
        <w:rPr>
          <w:rFonts w:ascii="Times New Roman" w:hAnsi="Times New Roman" w:cs="Times New Roman" w:eastAsia="Times New Roman"/>
          <w:b w:val="0"/>
          <w:i w:val="0"/>
          <w:sz w:val="17"/>
        </w:rPr>
        <w:t>|| + e ) ,</w:t>
      </w:r>
    </w:p>
    <w:p>
      <w:pPr>
        <w:keepNext w:val="0"/>
        <w:spacing w:before="0" w:after="0" w:line="208" w:lineRule="exact"/>
        <w:ind w:firstLine="0" w:left="0"/>
        <w:jc w:val="both"/>
      </w:pPr>
      <w:r>
        <w:rPr>
          <w:rFonts w:ascii="Times New Roman" w:hAnsi="Times New Roman" w:cs="Times New Roman" w:eastAsia="Times New Roman"/>
          <w:b w:val="0"/>
          <w:i w:val="0"/>
          <w:sz w:val="17"/>
        </w:rPr>
        <w:t>combined as L = ( L</w:t>
      </w:r>
      <w:r>
        <w:rPr>
          <w:rFonts w:ascii="Times New Roman" w:hAnsi="Times New Roman" w:cs="Times New Roman" w:eastAsia="Times New Roman"/>
          <w:b w:val="0"/>
          <w:i w:val="0"/>
          <w:sz w:val="17"/>
          <w:vertAlign w:val="subscript"/>
        </w:rPr>
        <w:t>recon</w:t>
      </w:r>
      <w:r>
        <w:rPr>
          <w:rFonts w:ascii="Times New Roman" w:hAnsi="Times New Roman" w:cs="Times New Roman" w:eastAsia="Times New Roman"/>
          <w:b w:val="0"/>
          <w:i w:val="0"/>
          <w:sz w:val="17"/>
        </w:rPr>
        <w:t xml:space="preserve"> + α L</w:t>
      </w:r>
      <w:r>
        <w:rPr>
          <w:rFonts w:ascii="Times New Roman" w:hAnsi="Times New Roman" w:cs="Times New Roman" w:eastAsia="Times New Roman"/>
          <w:b w:val="0"/>
          <w:i w:val="0"/>
          <w:sz w:val="17"/>
          <w:vertAlign w:val="subscript"/>
        </w:rPr>
        <w:t>disent</w:t>
      </w:r>
      <w:r>
        <w:rPr>
          <w:rFonts w:ascii="Times New Roman" w:hAnsi="Times New Roman" w:cs="Times New Roman" w:eastAsia="Times New Roman"/>
          <w:b w:val="0"/>
          <w:i w:val="0"/>
          <w:sz w:val="17"/>
        </w:rPr>
        <w:t xml:space="preserve"> + β L</w:t>
      </w:r>
      <w:r>
        <w:rPr>
          <w:rFonts w:ascii="Times New Roman" w:hAnsi="Times New Roman" w:cs="Times New Roman" w:eastAsia="Times New Roman"/>
          <w:b w:val="0"/>
          <w:i w:val="0"/>
          <w:sz w:val="17"/>
          <w:vertAlign w:val="subscript"/>
        </w:rPr>
        <w:t>temp</w:t>
      </w:r>
      <w:r>
        <w:rPr>
          <w:rFonts w:ascii="Times New Roman" w:hAnsi="Times New Roman" w:cs="Times New Roman" w:eastAsia="Times New Roman"/>
          <w:b w:val="0"/>
          <w:i w:val="0"/>
          <w:sz w:val="17"/>
        </w:rPr>
        <w:t xml:space="preserve"> ) / ( 1 + α + β ) with α = β = 1 throughout. The reconstruction term compares edge-wise neighbour distances in the parameterised embedding against the same distances in a parameterless GIN-style reference, so it rewards preserving the graph's metric rather than merely producing similar vectors. Sparse adjacency is not an optimisation but a feasibility requirement: the dense form of this adjacency occupied 553 MB at 11,758 nodes and made multi-epoch pre-training impossible on a 7 GB host, whereas the sparse form holds peak resident memory at 2.4 GB and permits approximately 9.4 seconds per epoch.</w:t>
      </w:r>
    </w:p>
    <w:p>
      <w:pPr>
        <w:keepNext w:val="0"/>
        <w:spacing w:before="0" w:after="0" w:line="208" w:lineRule="exact"/>
        <w:ind w:firstLine="0" w:left="0"/>
        <w:jc w:val="both"/>
      </w:pPr>
      <w:r>
        <w:rPr>
          <w:rFonts w:ascii="Times New Roman" w:hAnsi="Times New Roman" w:cs="Times New Roman" w:eastAsia="Times New Roman"/>
          <w:b w:val="0"/>
          <w:i w:val="0"/>
          <w:sz w:val="17"/>
        </w:rPr>
        <w:t>Two execution modes exist. The offline mode is faithful to [1]: it replays the whole round window and recomputes the complete embedding each round, so the cost of a round grows with the window. The incremental mode propagates only the newest round from a cached static state and forms the temporal half from the round-over-round difference, so the cost of a round is one propagation rather than the window width. Offline mode is the correct choice when fidelity matters more than throughput; incremental mode is the correct choice when a long horizon must be simulated. Measured on-round F</w:t>
      </w:r>
      <w:r>
        <w:rPr>
          <w:rFonts w:ascii="Times New Roman" w:hAnsi="Times New Roman" w:cs="Times New Roman" w:eastAsia="Times New Roman"/>
          <w:b w:val="0"/>
          <w:i w:val="0"/>
          <w:sz w:val="17"/>
          <w:vertAlign w:val="subscript"/>
        </w:rPr>
        <w:t>1</w:t>
      </w:r>
      <w:r>
        <w:rPr>
          <w:rFonts w:ascii="Times New Roman" w:hAnsi="Times New Roman" w:cs="Times New Roman" w:eastAsia="Times New Roman"/>
          <w:b w:val="0"/>
          <w:i w:val="0"/>
          <w:sz w:val="17"/>
        </w:rPr>
        <w:t xml:space="preserve"> favours the incremental mode, but the incremental mode's reported objective values are degenerate — identical at every round — so they carry no evidence and are not used to support any claim here.</w:t>
      </w:r>
    </w:p>
    <w:p>
      <w:pPr>
        <w:keepNext/>
        <w:spacing w:before="120" w:after="80" w:line="240" w:lineRule="exact"/>
        <w:ind w:firstLine="0" w:left="0"/>
        <w:jc w:val="left"/>
      </w:pPr>
      <w:r>
        <w:rPr>
          <w:rFonts w:ascii="Times New Roman" w:hAnsi="Times New Roman" w:cs="Times New Roman" w:eastAsia="Times New Roman"/>
          <w:b/>
          <w:i w:val="0"/>
          <w:sz w:val="19"/>
        </w:rPr>
        <w:t>3.3 Feature Assembly</w:t>
      </w:r>
    </w:p>
    <w:p>
      <w:pPr>
        <w:keepNext w:val="0"/>
        <w:spacing w:before="0" w:after="0" w:line="208" w:lineRule="exact"/>
        <w:ind w:firstLine="0" w:left="0"/>
        <w:jc w:val="both"/>
      </w:pPr>
      <w:r>
        <w:rPr>
          <w:rFonts w:ascii="Times New Roman" w:hAnsi="Times New Roman" w:cs="Times New Roman" w:eastAsia="Times New Roman"/>
          <w:b w:val="0"/>
          <w:i w:val="0"/>
          <w:sz w:val="17"/>
        </w:rPr>
        <w:t>Each node contributes a vector formed by concatenating the 384 embedding columns with twenty-seven profile and native columns. The twelve profile columns are computed identically for every data source and before the event is absorbed: age in hours, hours since the previous event, event counts over the last sixty seconds, hour and day of week, distance to the first and last event, and total, mean, maximum and ratio statistics of the amount. Four native aggregates summarise the IEEE-CIS velocity, time-decimal and missing-indicator families, and three record shape the transaction context. Two columns, a label hint and a scam-list match, are explicitly stripped from the model vector; they are used for supervision and auditing only, and their exclusion is enforced in the feature builder rather than left to convention.</w:t>
      </w:r>
    </w:p>
    <w:p>
      <w:pPr>
        <w:keepNext/>
        <w:spacing w:before="120" w:after="80" w:line="240" w:lineRule="exact"/>
        <w:ind w:firstLine="0" w:left="0"/>
        <w:jc w:val="left"/>
      </w:pPr>
      <w:r>
        <w:rPr>
          <w:rFonts w:ascii="Times New Roman" w:hAnsi="Times New Roman" w:cs="Times New Roman" w:eastAsia="Times New Roman"/>
          <w:b/>
          <w:i w:val="0"/>
          <w:sz w:val="19"/>
        </w:rPr>
        <w:t>3.4 Adaptive Multi-Model Detection Layer</w:t>
      </w:r>
    </w:p>
    <w:p>
      <w:pPr>
        <w:keepNext w:val="0"/>
        <w:spacing w:before="0" w:after="0" w:line="208" w:lineRule="exact"/>
        <w:ind w:firstLine="0" w:left="0"/>
        <w:jc w:val="both"/>
      </w:pPr>
      <w:r>
        <w:rPr>
          <w:rFonts w:ascii="Times New Roman" w:hAnsi="Times New Roman" w:cs="Times New Roman" w:eastAsia="Times New Roman"/>
          <w:b w:val="0"/>
          <w:i w:val="0"/>
          <w:sz w:val="17"/>
        </w:rPr>
        <w:t>AMDL maintains three learners over the same feature matrix and fuses their outputs. XGBoost [4] is fitted with a histogram tree method, maximum depth six, learning rate 0.1 and a negative-to-positive class ratio as the scale-positive weight; the first fit runs two hundred boosting rounds and every subsequent fit resumes the existing booster for fifty further rounds. Histogram gradient boosting [5] is fitted with two hundred iterations, balanced class weights and warm starts, gaining thirty iterations per refit up to a cap of eight hundred. Extremely randomised trees [6] are fitted with two hundred trees, a minimum split of five samples, balanced class weights and full parallelism. All three use seed 42.</w:t>
      </w:r>
    </w:p>
    <w:p>
      <w:pPr>
        <w:keepNext w:val="0"/>
        <w:spacing w:before="0" w:after="0" w:line="208" w:lineRule="exact"/>
        <w:ind w:firstLine="0" w:left="0"/>
        <w:jc w:val="both"/>
      </w:pPr>
      <w:r>
        <w:rPr>
          <w:rFonts w:ascii="Times New Roman" w:hAnsi="Times New Roman" w:cs="Times New Roman" w:eastAsia="Times New Roman"/>
          <w:b w:val="0"/>
          <w:i w:val="0"/>
          <w:sz w:val="17"/>
        </w:rPr>
        <w:t>The fusion rule is deliberately simple. Each model's discrimination on a trailing holdout is reduced to a score s</w:t>
      </w:r>
      <w:r>
        <w:rPr>
          <w:rFonts w:ascii="Times New Roman" w:hAnsi="Times New Roman" w:cs="Times New Roman" w:eastAsia="Times New Roman"/>
          <w:b w:val="0"/>
          <w:i w:val="0"/>
          <w:sz w:val="17"/>
          <w:vertAlign w:val="subscript"/>
        </w:rPr>
        <w:t>i</w:t>
      </w:r>
      <w:r>
        <w:rPr>
          <w:rFonts w:ascii="Times New Roman" w:hAnsi="Times New Roman" w:cs="Times New Roman" w:eastAsia="Times New Roman"/>
          <w:b w:val="0"/>
          <w:i w:val="0"/>
          <w:sz w:val="17"/>
        </w:rPr>
        <w:t>, and the weights are</w:t>
      </w:r>
    </w:p>
    <w:p>
      <w:pPr>
        <w:keepNext w:val="0"/>
        <w:spacing w:before="80" w:after="80" w:line="222" w:lineRule="exact"/>
        <w:ind w:firstLine="0" w:left="0"/>
        <w:jc w:val="center"/>
      </w:pPr>
      <w:r>
        <w:rPr>
          <w:rFonts w:ascii="Times New Roman" w:hAnsi="Times New Roman" w:cs="Times New Roman" w:eastAsia="Times New Roman"/>
          <w:b w:val="0"/>
          <w:i w:val="0"/>
          <w:sz w:val="17"/>
        </w:rPr>
        <w:t>s</w:t>
      </w:r>
      <w:r>
        <w:rPr>
          <w:rFonts w:ascii="Times New Roman" w:hAnsi="Times New Roman" w:cs="Times New Roman" w:eastAsia="Times New Roman"/>
          <w:b w:val="0"/>
          <w:i w:val="0"/>
          <w:sz w:val="17"/>
          <w:vertAlign w:val="superscript"/>
        </w:rPr>
        <w:t>max</w:t>
      </w:r>
      <w:r>
        <w:rPr>
          <w:rFonts w:ascii="Times New Roman" w:hAnsi="Times New Roman" w:cs="Times New Roman" w:eastAsia="Times New Roman"/>
          <w:b w:val="0"/>
          <w:i w:val="0"/>
          <w:sz w:val="17"/>
        </w:rPr>
        <w:t xml:space="preserve"> = max</w:t>
      </w:r>
      <w:r>
        <w:rPr>
          <w:rFonts w:ascii="Times New Roman" w:hAnsi="Times New Roman" w:cs="Times New Roman" w:eastAsia="Times New Roman"/>
          <w:b w:val="0"/>
          <w:i w:val="0"/>
          <w:sz w:val="17"/>
          <w:vertAlign w:val="subscript"/>
        </w:rPr>
        <w:t>i</w:t>
      </w:r>
      <w:r>
        <w:rPr>
          <w:rFonts w:ascii="Times New Roman" w:hAnsi="Times New Roman" w:cs="Times New Roman" w:eastAsia="Times New Roman"/>
          <w:b w:val="0"/>
          <w:i w:val="0"/>
          <w:sz w:val="17"/>
        </w:rPr>
        <w:t xml:space="preserve"> s</w:t>
      </w:r>
      <w:r>
        <w:rPr>
          <w:rFonts w:ascii="Times New Roman" w:hAnsi="Times New Roman" w:cs="Times New Roman" w:eastAsia="Times New Roman"/>
          <w:b w:val="0"/>
          <w:i w:val="0"/>
          <w:sz w:val="17"/>
          <w:vertAlign w:val="subscript"/>
        </w:rPr>
        <w:t>i</w:t>
      </w:r>
      <w:r>
        <w:rPr>
          <w:rFonts w:ascii="Times New Roman" w:hAnsi="Times New Roman" w:cs="Times New Roman" w:eastAsia="Times New Roman"/>
          <w:b w:val="0"/>
          <w:i w:val="0"/>
          <w:sz w:val="17"/>
        </w:rPr>
        <w:t xml:space="preserve"> ,    w</w:t>
      </w:r>
      <w:r>
        <w:rPr>
          <w:rFonts w:ascii="Times New Roman" w:hAnsi="Times New Roman" w:cs="Times New Roman" w:eastAsia="Times New Roman"/>
          <w:b w:val="0"/>
          <w:i w:val="0"/>
          <w:sz w:val="17"/>
          <w:vertAlign w:val="subscript"/>
        </w:rPr>
        <w:t>i</w:t>
      </w:r>
      <w:r>
        <w:rPr>
          <w:rFonts w:ascii="Times New Roman" w:hAnsi="Times New Roman" w:cs="Times New Roman" w:eastAsia="Times New Roman"/>
          <w:b w:val="0"/>
          <w:i w:val="0"/>
          <w:sz w:val="17"/>
        </w:rPr>
        <w:t xml:space="preserve"> = max( s</w:t>
      </w:r>
      <w:r>
        <w:rPr>
          <w:rFonts w:ascii="Times New Roman" w:hAnsi="Times New Roman" w:cs="Times New Roman" w:eastAsia="Times New Roman"/>
          <w:b w:val="0"/>
          <w:i w:val="0"/>
          <w:sz w:val="17"/>
          <w:vertAlign w:val="subscript"/>
        </w:rPr>
        <w:t>i</w:t>
      </w:r>
      <w:r>
        <w:rPr>
          <w:rFonts w:ascii="Times New Roman" w:hAnsi="Times New Roman" w:cs="Times New Roman" w:eastAsia="Times New Roman"/>
          <w:b w:val="0"/>
          <w:i w:val="0"/>
          <w:sz w:val="17"/>
        </w:rPr>
        <w:t xml:space="preserve"> , κ s</w:t>
      </w:r>
      <w:r>
        <w:rPr>
          <w:rFonts w:ascii="Times New Roman" w:hAnsi="Times New Roman" w:cs="Times New Roman" w:eastAsia="Times New Roman"/>
          <w:b w:val="0"/>
          <w:i w:val="0"/>
          <w:sz w:val="17"/>
          <w:vertAlign w:val="superscript"/>
        </w:rPr>
        <w:t>max</w:t>
      </w:r>
      <w:r>
        <w:rPr>
          <w:rFonts w:ascii="Times New Roman" w:hAnsi="Times New Roman" w:cs="Times New Roman" w:eastAsia="Times New Roman"/>
          <w:b w:val="0"/>
          <w:i w:val="0"/>
          <w:sz w:val="17"/>
        </w:rPr>
        <w:t xml:space="preserve"> ) / Σ</w:t>
      </w:r>
      <w:r>
        <w:rPr>
          <w:rFonts w:ascii="Times New Roman" w:hAnsi="Times New Roman" w:cs="Times New Roman" w:eastAsia="Times New Roman"/>
          <w:b w:val="0"/>
          <w:i w:val="0"/>
          <w:sz w:val="17"/>
          <w:vertAlign w:val="subscript"/>
        </w:rPr>
        <w:t>j</w:t>
      </w:r>
      <w:r>
        <w:rPr>
          <w:rFonts w:ascii="Times New Roman" w:hAnsi="Times New Roman" w:cs="Times New Roman" w:eastAsia="Times New Roman"/>
          <w:b w:val="0"/>
          <w:i w:val="0"/>
          <w:sz w:val="17"/>
        </w:rPr>
        <w:t xml:space="preserve"> max( s</w:t>
      </w:r>
      <w:r>
        <w:rPr>
          <w:rFonts w:ascii="Times New Roman" w:hAnsi="Times New Roman" w:cs="Times New Roman" w:eastAsia="Times New Roman"/>
          <w:b w:val="0"/>
          <w:i w:val="0"/>
          <w:sz w:val="17"/>
          <w:vertAlign w:val="subscript"/>
        </w:rPr>
        <w:t>j</w:t>
      </w:r>
      <w:r>
        <w:rPr>
          <w:rFonts w:ascii="Times New Roman" w:hAnsi="Times New Roman" w:cs="Times New Roman" w:eastAsia="Times New Roman"/>
          <w:b w:val="0"/>
          <w:i w:val="0"/>
          <w:sz w:val="17"/>
        </w:rPr>
        <w:t xml:space="preserve"> , κ s</w:t>
      </w:r>
      <w:r>
        <w:rPr>
          <w:rFonts w:ascii="Times New Roman" w:hAnsi="Times New Roman" w:cs="Times New Roman" w:eastAsia="Times New Roman"/>
          <w:b w:val="0"/>
          <w:i w:val="0"/>
          <w:sz w:val="17"/>
          <w:vertAlign w:val="superscript"/>
        </w:rPr>
        <w:t>max</w:t>
      </w:r>
      <w:r>
        <w:rPr>
          <w:rFonts w:ascii="Times New Roman" w:hAnsi="Times New Roman" w:cs="Times New Roman" w:eastAsia="Times New Roman"/>
          <w:b w:val="0"/>
          <w:i w:val="0"/>
          <w:sz w:val="17"/>
        </w:rPr>
        <w:t xml:space="preserve"> ) ,</w:t>
      </w:r>
      <w:r>
        <w:rPr>
          <w:rFonts w:ascii="Times New Roman" w:hAnsi="Times New Roman" w:cs="Times New Roman" w:eastAsia="Times New Roman"/>
          <w:sz w:val="17"/>
        </w:rPr>
        <w:br/>
      </w:r>
      <w:r>
        <w:rPr>
          <w:rFonts w:ascii="Times New Roman" w:hAnsi="Times New Roman" w:cs="Times New Roman" w:eastAsia="Times New Roman"/>
          <w:b w:val="0"/>
          <w:i w:val="0"/>
          <w:sz w:val="17"/>
        </w:rPr>
        <w:t>p = Σ</w:t>
      </w:r>
      <w:r>
        <w:rPr>
          <w:rFonts w:ascii="Times New Roman" w:hAnsi="Times New Roman" w:cs="Times New Roman" w:eastAsia="Times New Roman"/>
          <w:b w:val="0"/>
          <w:i w:val="0"/>
          <w:sz w:val="17"/>
          <w:vertAlign w:val="subscript"/>
        </w:rPr>
        <w:t>i</w:t>
      </w:r>
      <w:r>
        <w:rPr>
          <w:rFonts w:ascii="Times New Roman" w:hAnsi="Times New Roman" w:cs="Times New Roman" w:eastAsia="Times New Roman"/>
          <w:b w:val="0"/>
          <w:i w:val="0"/>
          <w:sz w:val="17"/>
        </w:rPr>
        <w:t xml:space="preserve"> w</w:t>
      </w:r>
      <w:r>
        <w:rPr>
          <w:rFonts w:ascii="Times New Roman" w:hAnsi="Times New Roman" w:cs="Times New Roman" w:eastAsia="Times New Roman"/>
          <w:b w:val="0"/>
          <w:i w:val="0"/>
          <w:sz w:val="17"/>
          <w:vertAlign w:val="subscript"/>
        </w:rPr>
        <w:t>i</w:t>
      </w:r>
      <w:r>
        <w:rPr>
          <w:rFonts w:ascii="Times New Roman" w:hAnsi="Times New Roman" w:cs="Times New Roman" w:eastAsia="Times New Roman"/>
          <w:b w:val="0"/>
          <w:i w:val="0"/>
          <w:sz w:val="17"/>
        </w:rPr>
        <w:t xml:space="preserve"> p</w:t>
      </w:r>
      <w:r>
        <w:rPr>
          <w:rFonts w:ascii="Times New Roman" w:hAnsi="Times New Roman" w:cs="Times New Roman" w:eastAsia="Times New Roman"/>
          <w:b w:val="0"/>
          <w:i w:val="0"/>
          <w:sz w:val="17"/>
          <w:vertAlign w:val="subscript"/>
        </w:rPr>
        <w:t>i</w:t>
      </w:r>
      <w:r>
        <w:rPr>
          <w:rFonts w:ascii="Times New Roman" w:hAnsi="Times New Roman" w:cs="Times New Roman" w:eastAsia="Times New Roman"/>
          <w:b w:val="0"/>
          <w:i w:val="0"/>
          <w:sz w:val="17"/>
        </w:rPr>
        <w:t xml:space="preserve"> ,    κ = 0.05 .</w:t>
      </w:r>
    </w:p>
    <w:p>
      <w:pPr>
        <w:keepNext w:val="0"/>
        <w:spacing w:before="0" w:after="0" w:line="208" w:lineRule="exact"/>
        <w:ind w:firstLine="0" w:left="0"/>
        <w:jc w:val="both"/>
      </w:pPr>
      <w:r>
        <w:rPr>
          <w:rFonts w:ascii="Times New Roman" w:hAnsi="Times New Roman" w:cs="Times New Roman" w:eastAsia="Times New Roman"/>
          <w:b w:val="0"/>
          <w:i w:val="0"/>
          <w:sz w:val="17"/>
        </w:rPr>
        <w:t>The floor κ s</w:t>
      </w:r>
      <w:r>
        <w:rPr>
          <w:rFonts w:ascii="Times New Roman" w:hAnsi="Times New Roman" w:cs="Times New Roman" w:eastAsia="Times New Roman"/>
          <w:b w:val="0"/>
          <w:i w:val="0"/>
          <w:sz w:val="17"/>
          <w:vertAlign w:val="superscript"/>
        </w:rPr>
        <w:t>max</w:t>
      </w:r>
      <w:r>
        <w:rPr>
          <w:rFonts w:ascii="Times New Roman" w:hAnsi="Times New Roman" w:cs="Times New Roman" w:eastAsia="Times New Roman"/>
          <w:b w:val="0"/>
          <w:i w:val="0"/>
          <w:sz w:val="17"/>
        </w:rPr>
        <w:t xml:space="preserve"> is relative rather than absolute, so a model is never silently removed because its holdout happened to contain few minority-class samples, and no model can be removed entirely. When all three scores are zero the weights collapse to uniform, which is the correct behaviour in the absence of evidence. The fused probability is compared against two thresholds: at or above 0.30 the request enters the review queue, and at or above 0.70 it is blocked. A request already matched as known fraud is blocked regardless of score.</w:t>
      </w:r>
    </w:p>
    <w:p>
      <w:pPr>
        <w:keepNext w:val="0"/>
        <w:spacing w:before="0" w:after="0" w:line="208" w:lineRule="exact"/>
        <w:ind w:firstLine="0" w:left="0"/>
        <w:jc w:val="both"/>
      </w:pPr>
      <w:r>
        <w:rPr>
          <w:rFonts w:ascii="Times New Roman" w:hAnsi="Times New Roman" w:cs="Times New Roman" w:eastAsia="Times New Roman"/>
          <w:b w:val="0"/>
          <w:i w:val="0"/>
          <w:sz w:val="17"/>
        </w:rPr>
        <w:t>An honest property of this rule must be stated. On the transaction-stream holdout the three models scored within roughly two percent of one another, so the resulting weights were near-uniform at 0.334, 0.329 and 0.337. Adaptive weighting did not buy model selection; it bought graceful degradation, which is a smaller benefit than the name suggests. The larger effect reported in Section 5 comes from the diversity of the ensemble itself rather than from the weighting.</w:t>
      </w:r>
    </w:p>
    <w:p>
      <w:pPr>
        <w:keepNext/>
        <w:spacing w:before="120" w:after="80" w:line="240" w:lineRule="exact"/>
        <w:ind w:firstLine="0" w:left="0"/>
        <w:jc w:val="left"/>
      </w:pPr>
      <w:r>
        <w:rPr>
          <w:rFonts w:ascii="Times New Roman" w:hAnsi="Times New Roman" w:cs="Times New Roman" w:eastAsia="Times New Roman"/>
          <w:b/>
          <w:i w:val="0"/>
          <w:sz w:val="19"/>
        </w:rPr>
        <w:t>3.5 Decision, Execution and Re-scheduling</w:t>
      </w:r>
    </w:p>
    <w:p>
      <w:pPr>
        <w:keepNext w:val="0"/>
        <w:spacing w:before="0" w:after="0" w:line="208" w:lineRule="exact"/>
        <w:ind w:firstLine="0" w:left="0"/>
        <w:jc w:val="both"/>
      </w:pPr>
      <w:r>
        <w:rPr>
          <w:rFonts w:ascii="Times New Roman" w:hAnsi="Times New Roman" w:cs="Times New Roman" w:eastAsia="Times New Roman"/>
          <w:b w:val="0"/>
          <w:i w:val="0"/>
          <w:sz w:val="17"/>
        </w:rPr>
        <w:t>A round ends with metrics accumulated on the query set, predicted labels returned to the adversary, and the support graph updated. Refits are event- and time-triggered rather than round-triggered: a refit requires at least 120 buffered labels and either 500 buffered events or 60 elapsed seconds, and the training window is capped at 3,000 labels in the streaming configuration and raised to 60,000 in the paper protocol, which is large enough to prevent the retained set from collapsing to a single class. The streaming decision thresholds are fixed at 0.30 and 0.70 throughout, and were not tuned against the reported holdout.</w:t>
      </w:r>
    </w:p>
    <w:p>
      <w:pPr>
        <w:keepNext/>
        <w:spacing w:before="160" w:after="60" w:line="200" w:lineRule="exact"/>
        <w:ind w:firstLine="0" w:left="0"/>
        <w:jc w:val="center"/>
      </w:pPr>
      <w:r>
        <w:drawing>
          <wp:inline xmlns:a="http://schemas.openxmlformats.org/drawingml/2006/main" xmlns:pic="http://schemas.openxmlformats.org/drawingml/2006/picture">
            <wp:extent cx="3238754" cy="2393862"/>
            <wp:docPr id="1" name="Picture 1"/>
            <wp:cNvGraphicFramePr>
              <a:graphicFrameLocks noChangeAspect="1"/>
            </wp:cNvGraphicFramePr>
            <a:graphic>
              <a:graphicData uri="http://schemas.openxmlformats.org/drawingml/2006/picture">
                <pic:pic>
                  <pic:nvPicPr>
                    <pic:cNvPr id="0" name="fig1_taxonomy.png"/>
                    <pic:cNvPicPr/>
                  </pic:nvPicPr>
                  <pic:blipFill>
                    <a:blip r:embed="rId9"/>
                    <a:stretch>
                      <a:fillRect/>
                    </a:stretch>
                  </pic:blipFill>
                  <pic:spPr>
                    <a:xfrm>
                      <a:off x="0" y="0"/>
                      <a:ext cx="3238754" cy="2393862"/>
                    </a:xfrm>
                    <a:prstGeom prst="rect"/>
                  </pic:spPr>
                </pic:pic>
              </a:graphicData>
            </a:graphic>
          </wp:inline>
        </w:drawing>
      </w:r>
    </w:p>
    <w:p>
      <w:pPr>
        <w:keepNext w:val="0"/>
        <w:spacing w:before="0" w:after="160" w:line="188" w:lineRule="exact"/>
        <w:ind w:firstLine="0" w:left="0"/>
        <w:jc w:val="both"/>
      </w:pPr>
      <w:r>
        <w:rPr>
          <w:rFonts w:ascii="Times New Roman" w:hAnsi="Times New Roman" w:cs="Times New Roman" w:eastAsia="Times New Roman"/>
          <w:b w:val="0"/>
          <w:i w:val="0"/>
          <w:sz w:val="15"/>
        </w:rPr>
        <w:t>Figure 1. Families of detection strategy used or compared in this work, and the shared failure mode that motivates combining them.</w:t>
      </w:r>
    </w:p>
    <w:p>
      <w:pPr>
        <w:keepNext/>
        <w:spacing w:before="180" w:after="80" w:line="250" w:lineRule="exact"/>
        <w:ind w:firstLine="0" w:left="0"/>
        <w:jc w:val="center"/>
      </w:pPr>
      <w:r>
        <w:rPr>
          <w:rFonts w:ascii="Times New Roman" w:hAnsi="Times New Roman" w:cs="Times New Roman" w:eastAsia="Times New Roman"/>
          <w:b/>
          <w:i w:val="0"/>
          <w:smallCaps/>
          <w:sz w:val="20"/>
        </w:rPr>
        <w:t>4. COMPARATIVE ANALYSIS OF REPRESENTATIONS AND HEADS</w:t>
      </w:r>
    </w:p>
    <w:p>
      <w:pPr>
        <w:keepNext w:val="0"/>
        <w:spacing w:before="0" w:after="0" w:line="208" w:lineRule="exact"/>
        <w:ind w:firstLine="0" w:left="0"/>
        <w:jc w:val="both"/>
      </w:pPr>
      <w:r>
        <w:rPr>
          <w:rFonts w:ascii="Times New Roman" w:hAnsi="Times New Roman" w:cs="Times New Roman" w:eastAsia="Times New Roman"/>
          <w:b w:val="0"/>
          <w:i w:val="0"/>
          <w:sz w:val="17"/>
        </w:rPr>
        <w:t>Table 1 compares the configurations evaluated in this work against the published reference configuration. The comparison separates two things that the headline on-round number conflates: the representation, and the head. Only configurations that differ in one of the two can be used to attribute an effect to that component, which is why the harness is organised around arms rather than around a single best configuration.</w:t>
      </w:r>
    </w:p>
    <w:p>
      <w:pPr>
        <w:keepNext w:val="0"/>
        <w:spacing w:before="0" w:after="0" w:line="208" w:lineRule="exact"/>
        <w:ind w:firstLine="0" w:left="0"/>
        <w:jc w:val="both"/>
      </w:pPr>
      <w:r>
        <w:rPr>
          <w:rFonts w:ascii="Times New Roman" w:hAnsi="Times New Roman" w:cs="Times New Roman" w:eastAsia="Times New Roman"/>
          <w:b w:val="0"/>
          <w:i w:val="0"/>
          <w:sz w:val="17"/>
        </w:rPr>
        <w:t>The reference configuration is reproduced as a control rather than assumed. Running the authors' released implementation over five trials with its own configuration yields an average on-round F</w:t>
      </w:r>
      <w:r>
        <w:rPr>
          <w:rFonts w:ascii="Times New Roman" w:hAnsi="Times New Roman" w:cs="Times New Roman" w:eastAsia="Times New Roman"/>
          <w:b w:val="0"/>
          <w:i w:val="0"/>
          <w:sz w:val="17"/>
          <w:vertAlign w:val="subscript"/>
        </w:rPr>
        <w:t>1</w:t>
      </w:r>
      <w:r>
        <w:rPr>
          <w:rFonts w:ascii="Times New Roman" w:hAnsi="Times New Roman" w:cs="Times New Roman" w:eastAsia="Times New Roman"/>
          <w:b w:val="0"/>
          <w:i w:val="0"/>
          <w:sz w:val="17"/>
        </w:rPr>
        <w:t xml:space="preserve"> of 57.09 ± 2.33, a round-0 F</w:t>
      </w:r>
      <w:r>
        <w:rPr>
          <w:rFonts w:ascii="Times New Roman" w:hAnsi="Times New Roman" w:cs="Times New Roman" w:eastAsia="Times New Roman"/>
          <w:b w:val="0"/>
          <w:i w:val="0"/>
          <w:sz w:val="17"/>
          <w:vertAlign w:val="subscript"/>
        </w:rPr>
        <w:t>1</w:t>
      </w:r>
      <w:r>
        <w:rPr>
          <w:rFonts w:ascii="Times New Roman" w:hAnsi="Times New Roman" w:cs="Times New Roman" w:eastAsia="Times New Roman"/>
          <w:b w:val="0"/>
          <w:i w:val="0"/>
          <w:sz w:val="17"/>
        </w:rPr>
        <w:t xml:space="preserve"> of 66.56 ± 0.75, and a final-round recall of 27.50 ± 5.62. These figures agree with the values reported in [1] and are used throughout as the comparison point. Reproducing the control was the single most useful step in this work, because it established that the scenario, the metrics and the graph loader were faithful before any component was changed.</w:t>
      </w:r>
    </w:p>
    <w:p>
      <w:pPr>
        <w:keepNext/>
        <w:spacing w:before="180" w:after="60" w:line="188" w:lineRule="exact"/>
        <w:ind w:firstLine="0" w:left="0"/>
        <w:jc w:val="center"/>
      </w:pPr>
      <w:r>
        <w:rPr>
          <w:rFonts w:ascii="Times New Roman" w:hAnsi="Times New Roman" w:cs="Times New Roman" w:eastAsia="Times New Roman"/>
          <w:b w:val="0"/>
          <w:i w:val="0"/>
          <w:sz w:val="15"/>
        </w:rPr>
        <w:t xml:space="preserve">Table 1. Comparison of detection configurations under the multi-round adversarial scenario on the </w:t>
      </w:r>
      <w:r>
        <w:rPr>
          <w:rFonts w:ascii="Times New Roman" w:hAnsi="Times New Roman" w:cs="Times New Roman" w:eastAsia="Times New Roman"/>
          <w:b w:val="0"/>
          <w:i/>
          <w:sz w:val="15"/>
        </w:rPr>
        <w:t>tolokers</w:t>
      </w:r>
      <w:r>
        <w:rPr>
          <w:rFonts w:ascii="Times New Roman" w:hAnsi="Times New Roman" w:cs="Times New Roman" w:eastAsia="Times New Roman"/>
          <w:b w:val="0"/>
          <w:i w:val="0"/>
          <w:sz w:val="15"/>
        </w:rPr>
        <w:t xml:space="preserve"> </w:t>
      </w:r>
      <w:r>
        <w:rPr>
          <w:rFonts w:ascii="Times New Roman" w:hAnsi="Times New Roman" w:cs="Times New Roman" w:eastAsia="Times New Roman"/>
          <w:b w:val="0"/>
          <w:i/>
          <w:sz w:val="15"/>
        </w:rPr>
        <w:t>bid</w:t>
      </w:r>
      <w:r>
        <w:rPr>
          <w:rFonts w:ascii="Times New Roman" w:hAnsi="Times New Roman" w:cs="Times New Roman" w:eastAsia="Times New Roman"/>
          <w:b w:val="0"/>
          <w:i w:val="0"/>
          <w:sz w:val="15"/>
        </w:rPr>
        <w:t xml:space="preserve"> graph.</w:t>
      </w:r>
    </w:p>
    <w:tbl>
      <w:tblPr>
        <w:tblW w:type="auto" w:w="0"/>
        <w:jc w:val="center"/>
        <w:tblLayout w:type="fixed"/>
        <w:tblLook w:firstColumn="1" w:firstRow="1" w:lastColumn="0" w:lastRow="0" w:noHBand="0" w:noVBand="1" w:val="04A0"/>
        <w:tblBorders>
          <w:top w:val="none" w:sz="0"/>
          <w:left w:val="none" w:sz="0"/>
          <w:bottom w:val="none" w:sz="0"/>
          <w:right w:val="none" w:sz="0"/>
          <w:insideH w:val="none" w:sz="0"/>
          <w:insideV w:val="none" w:sz="0"/>
        </w:tblBorders>
      </w:tblPr>
      <w:tblGrid>
        <w:gridCol w:w="1765"/>
        <w:gridCol w:w="1765"/>
        <w:gridCol w:w="1765"/>
        <w:gridCol w:w="1765"/>
        <w:gridCol w:w="1765"/>
        <w:gridCol w:w="1765"/>
      </w:tblGrid>
      <w:tr>
        <w:tc>
          <w:tcPr>
            <w:tcW w:type="dxa" w:w="893"/>
            <w:tcBorders>
              <w:top w:val="single" w:sz="8" w:space="0" w:color="000000"/>
              <w:bottom w:val="single" w:sz="6" w:space="0" w:color="000000"/>
            </w:tcBorders>
          </w:tcPr>
          <w:p>
            <w:pPr>
              <w:spacing w:before="24" w:after="24" w:line="158" w:lineRule="exact"/>
              <w:jc w:val="left"/>
            </w:pPr>
            <w:r>
              <w:rPr>
                <w:rFonts w:ascii="Times New Roman" w:hAnsi="Times New Roman" w:cs="Times New Roman" w:eastAsia="Times New Roman"/>
                <w:b/>
                <w:i w:val="0"/>
                <w:sz w:val="11"/>
              </w:rPr>
              <w:t>Configuration</w:t>
            </w:r>
          </w:p>
        </w:tc>
        <w:tc>
          <w:tcPr>
            <w:tcW w:type="dxa" w:w="663"/>
            <w:tcBorders>
              <w:top w:val="single" w:sz="8" w:space="0" w:color="000000"/>
              <w:bottom w:val="single" w:sz="6" w:space="0" w:color="000000"/>
            </w:tcBorders>
          </w:tcPr>
          <w:p>
            <w:pPr>
              <w:spacing w:before="24" w:after="24" w:line="158" w:lineRule="exact"/>
              <w:jc w:val="left"/>
            </w:pPr>
            <w:r>
              <w:rPr>
                <w:rFonts w:ascii="Times New Roman" w:hAnsi="Times New Roman" w:cs="Times New Roman" w:eastAsia="Times New Roman"/>
                <w:b/>
                <w:i w:val="0"/>
                <w:sz w:val="11"/>
              </w:rPr>
              <w:t>Adversarial</w:t>
            </w:r>
            <w:r>
              <w:rPr>
                <w:rFonts w:ascii="Times New Roman" w:hAnsi="Times New Roman" w:cs="Times New Roman" w:eastAsia="Times New Roman"/>
                <w:sz w:val="11"/>
              </w:rPr>
              <w:br/>
            </w:r>
            <w:r>
              <w:rPr>
                <w:rFonts w:ascii="Times New Roman" w:hAnsi="Times New Roman" w:cs="Times New Roman" w:eastAsia="Times New Roman"/>
                <w:b/>
                <w:i w:val="0"/>
                <w:sz w:val="11"/>
              </w:rPr>
              <w:t>policy</w:t>
            </w:r>
          </w:p>
        </w:tc>
        <w:tc>
          <w:tcPr>
            <w:tcW w:type="dxa" w:w="842"/>
            <w:tcBorders>
              <w:top w:val="single" w:sz="8" w:space="0" w:color="000000"/>
              <w:bottom w:val="single" w:sz="6" w:space="0" w:color="000000"/>
            </w:tcBorders>
          </w:tcPr>
          <w:p>
            <w:pPr>
              <w:spacing w:before="24" w:after="24" w:line="158" w:lineRule="exact"/>
              <w:jc w:val="left"/>
            </w:pPr>
            <w:r>
              <w:rPr>
                <w:rFonts w:ascii="Times New Roman" w:hAnsi="Times New Roman" w:cs="Times New Roman" w:eastAsia="Times New Roman"/>
                <w:b/>
                <w:i w:val="0"/>
                <w:sz w:val="11"/>
              </w:rPr>
              <w:t>Node</w:t>
            </w:r>
            <w:r>
              <w:rPr>
                <w:rFonts w:ascii="Times New Roman" w:hAnsi="Times New Roman" w:cs="Times New Roman" w:eastAsia="Times New Roman"/>
                <w:sz w:val="11"/>
              </w:rPr>
              <w:br/>
            </w:r>
            <w:r>
              <w:rPr>
                <w:rFonts w:ascii="Times New Roman" w:hAnsi="Times New Roman" w:cs="Times New Roman" w:eastAsia="Times New Roman"/>
                <w:b/>
                <w:i w:val="0"/>
                <w:sz w:val="11"/>
              </w:rPr>
              <w:t>representation</w:t>
            </w:r>
          </w:p>
        </w:tc>
        <w:tc>
          <w:tcPr>
            <w:tcW w:type="dxa" w:w="791"/>
            <w:tcBorders>
              <w:top w:val="single" w:sz="8" w:space="0" w:color="000000"/>
              <w:bottom w:val="single" w:sz="6" w:space="0" w:color="000000"/>
            </w:tcBorders>
          </w:tcPr>
          <w:p>
            <w:pPr>
              <w:spacing w:before="24" w:after="24" w:line="158" w:lineRule="exact"/>
              <w:jc w:val="left"/>
            </w:pPr>
            <w:r>
              <w:rPr>
                <w:rFonts w:ascii="Times New Roman" w:hAnsi="Times New Roman" w:cs="Times New Roman" w:eastAsia="Times New Roman"/>
                <w:b/>
                <w:i w:val="0"/>
                <w:sz w:val="11"/>
              </w:rPr>
              <w:t>Detection</w:t>
            </w:r>
            <w:r>
              <w:rPr>
                <w:rFonts w:ascii="Times New Roman" w:hAnsi="Times New Roman" w:cs="Times New Roman" w:eastAsia="Times New Roman"/>
                <w:sz w:val="11"/>
              </w:rPr>
              <w:br/>
            </w:r>
            <w:r>
              <w:rPr>
                <w:rFonts w:ascii="Times New Roman" w:hAnsi="Times New Roman" w:cs="Times New Roman" w:eastAsia="Times New Roman"/>
                <w:b/>
                <w:i w:val="0"/>
                <w:sz w:val="11"/>
              </w:rPr>
              <w:t>head</w:t>
            </w:r>
          </w:p>
        </w:tc>
        <w:tc>
          <w:tcPr>
            <w:tcW w:type="dxa" w:w="638"/>
            <w:tcBorders>
              <w:top w:val="single" w:sz="8" w:space="0" w:color="000000"/>
              <w:bottom w:val="single" w:sz="6" w:space="0" w:color="000000"/>
            </w:tcBorders>
          </w:tcPr>
          <w:p>
            <w:pPr>
              <w:spacing w:before="24" w:after="24" w:line="158" w:lineRule="exact"/>
              <w:jc w:val="left"/>
            </w:pPr>
            <w:r>
              <w:rPr>
                <w:rFonts w:ascii="Times New Roman" w:hAnsi="Times New Roman" w:cs="Times New Roman" w:eastAsia="Times New Roman"/>
                <w:b/>
                <w:i w:val="0"/>
                <w:sz w:val="11"/>
              </w:rPr>
              <w:t>Per-round</w:t>
            </w:r>
            <w:r>
              <w:rPr>
                <w:rFonts w:ascii="Times New Roman" w:hAnsi="Times New Roman" w:cs="Times New Roman" w:eastAsia="Times New Roman"/>
                <w:sz w:val="11"/>
              </w:rPr>
              <w:br/>
            </w:r>
            <w:r>
              <w:rPr>
                <w:rFonts w:ascii="Times New Roman" w:hAnsi="Times New Roman" w:cs="Times New Roman" w:eastAsia="Times New Roman"/>
                <w:b/>
                <w:i w:val="0"/>
                <w:sz w:val="11"/>
              </w:rPr>
              <w:t>cost</w:t>
            </w:r>
          </w:p>
        </w:tc>
        <w:tc>
          <w:tcPr>
            <w:tcW w:type="dxa" w:w="1275"/>
            <w:tcBorders>
              <w:top w:val="single" w:sz="8" w:space="0" w:color="000000"/>
              <w:bottom w:val="single" w:sz="6" w:space="0" w:color="000000"/>
            </w:tcBorders>
          </w:tcPr>
          <w:p>
            <w:pPr>
              <w:spacing w:before="24" w:after="24" w:line="158" w:lineRule="exact"/>
              <w:jc w:val="left"/>
            </w:pPr>
            <w:r>
              <w:rPr>
                <w:rFonts w:ascii="Times New Roman" w:hAnsi="Times New Roman" w:cs="Times New Roman" w:eastAsia="Times New Roman"/>
                <w:b/>
                <w:i w:val="0"/>
                <w:sz w:val="11"/>
              </w:rPr>
              <w:t>Principal limitation</w:t>
            </w:r>
          </w:p>
        </w:tc>
      </w:tr>
      <w:tr>
        <w:tc>
          <w:tcPr>
            <w:tcW w:type="dxa" w:w="893"/>
          </w:tcPr>
          <w:p>
            <w:pPr>
              <w:spacing w:before="24" w:after="24" w:line="158" w:lineRule="exact"/>
              <w:jc w:val="left"/>
            </w:pPr>
            <w:r>
              <w:rPr>
                <w:rFonts w:ascii="Times New Roman" w:hAnsi="Times New Roman" w:cs="Times New Roman" w:eastAsia="Times New Roman"/>
                <w:b w:val="0"/>
                <w:i w:val="0"/>
                <w:sz w:val="11"/>
              </w:rPr>
              <w:t>TPNE-XGB</w:t>
            </w:r>
            <w:r>
              <w:rPr>
                <w:rFonts w:ascii="Times New Roman" w:hAnsi="Times New Roman" w:cs="Times New Roman" w:eastAsia="Times New Roman"/>
                <w:sz w:val="11"/>
              </w:rPr>
              <w:br/>
            </w:r>
            <w:r>
              <w:rPr>
                <w:rFonts w:ascii="Times New Roman" w:hAnsi="Times New Roman" w:cs="Times New Roman" w:eastAsia="Times New Roman"/>
                <w:b w:val="0"/>
                <w:i w:val="0"/>
                <w:sz w:val="11"/>
              </w:rPr>
              <w:t>reference [1]</w:t>
            </w:r>
          </w:p>
        </w:tc>
        <w:tc>
          <w:tcPr>
            <w:tcW w:type="dxa" w:w="663"/>
          </w:tcPr>
          <w:p>
            <w:pPr>
              <w:spacing w:before="24" w:after="24" w:line="158" w:lineRule="exact"/>
              <w:jc w:val="left"/>
            </w:pPr>
            <w:r>
              <w:rPr>
                <w:rFonts w:ascii="Times New Roman" w:hAnsi="Times New Roman" w:cs="Times New Roman" w:eastAsia="Times New Roman"/>
                <w:b w:val="0"/>
                <w:i w:val="0"/>
                <w:sz w:val="11"/>
              </w:rPr>
              <w:t>greedy / replay /</w:t>
            </w:r>
            <w:r>
              <w:rPr>
                <w:rFonts w:ascii="Times New Roman" w:hAnsi="Times New Roman" w:cs="Times New Roman" w:eastAsia="Times New Roman"/>
                <w:sz w:val="11"/>
              </w:rPr>
              <w:br/>
            </w:r>
            <w:r>
              <w:rPr>
                <w:rFonts w:ascii="Times New Roman" w:hAnsi="Times New Roman" w:cs="Times New Roman" w:eastAsia="Times New Roman"/>
                <w:b w:val="0"/>
                <w:i w:val="0"/>
                <w:sz w:val="11"/>
              </w:rPr>
              <w:t>reage</w:t>
            </w:r>
          </w:p>
        </w:tc>
        <w:tc>
          <w:tcPr>
            <w:tcW w:type="dxa" w:w="842"/>
          </w:tcPr>
          <w:p>
            <w:pPr>
              <w:spacing w:before="24" w:after="24" w:line="158" w:lineRule="exact"/>
              <w:jc w:val="left"/>
            </w:pPr>
            <w:r>
              <w:rPr>
                <w:rFonts w:ascii="Times New Roman" w:hAnsi="Times New Roman" w:cs="Times New Roman" w:eastAsia="Times New Roman"/>
                <w:b w:val="0"/>
                <w:i w:val="0"/>
                <w:sz w:val="11"/>
              </w:rPr>
              <w:t>self-supervised</w:t>
            </w:r>
            <w:r>
              <w:rPr>
                <w:rFonts w:ascii="Times New Roman" w:hAnsi="Times New Roman" w:cs="Times New Roman" w:eastAsia="Times New Roman"/>
                <w:sz w:val="11"/>
              </w:rPr>
              <w:br/>
            </w:r>
            <w:r>
              <w:rPr>
                <w:rFonts w:ascii="Times New Roman" w:hAnsi="Times New Roman" w:cs="Times New Roman" w:eastAsia="Times New Roman"/>
                <w:b w:val="0"/>
                <w:i w:val="0"/>
                <w:sz w:val="11"/>
              </w:rPr>
              <w:t>temporal, 384-d</w:t>
            </w:r>
          </w:p>
        </w:tc>
        <w:tc>
          <w:tcPr>
            <w:tcW w:type="dxa" w:w="791"/>
          </w:tcPr>
          <w:p>
            <w:pPr>
              <w:spacing w:before="24" w:after="24" w:line="158" w:lineRule="exact"/>
              <w:jc w:val="left"/>
            </w:pPr>
            <w:r>
              <w:rPr>
                <w:rFonts w:ascii="Times New Roman" w:hAnsi="Times New Roman" w:cs="Times New Roman" w:eastAsia="Times New Roman"/>
                <w:b w:val="0"/>
                <w:i w:val="0"/>
                <w:sz w:val="11"/>
              </w:rPr>
              <w:t>single XGBoost head</w:t>
            </w:r>
          </w:p>
        </w:tc>
        <w:tc>
          <w:tcPr>
            <w:tcW w:type="dxa" w:w="638"/>
          </w:tcPr>
          <w:p>
            <w:pPr>
              <w:spacing w:before="24" w:after="24" w:line="158" w:lineRule="exact"/>
              <w:jc w:val="left"/>
            </w:pPr>
            <w:r>
              <w:rPr>
                <w:rFonts w:ascii="Times New Roman" w:hAnsi="Times New Roman" w:cs="Times New Roman" w:eastAsia="Times New Roman"/>
                <w:b w:val="0"/>
                <w:i w:val="0"/>
                <w:sz w:val="11"/>
              </w:rPr>
              <w:t>full refit, 500 epochs</w:t>
            </w:r>
          </w:p>
        </w:tc>
        <w:tc>
          <w:tcPr>
            <w:tcW w:type="dxa" w:w="1275"/>
          </w:tcPr>
          <w:p>
            <w:pPr>
              <w:spacing w:before="24" w:after="24" w:line="158" w:lineRule="exact"/>
              <w:jc w:val="left"/>
            </w:pPr>
            <w:r>
              <w:rPr>
                <w:rFonts w:ascii="Times New Roman" w:hAnsi="Times New Roman" w:cs="Times New Roman" w:eastAsia="Times New Roman"/>
                <w:b w:val="0"/>
                <w:i w:val="0"/>
                <w:sz w:val="11"/>
              </w:rPr>
              <w:t>one inductive bias; no fallback when it is targeted</w:t>
            </w:r>
          </w:p>
        </w:tc>
      </w:tr>
      <w:tr>
        <w:tc>
          <w:tcPr>
            <w:tcW w:type="dxa" w:w="893"/>
          </w:tcPr>
          <w:p>
            <w:pPr>
              <w:spacing w:before="24" w:after="24" w:line="158" w:lineRule="exact"/>
              <w:jc w:val="left"/>
            </w:pPr>
            <w:r>
              <w:rPr>
                <w:rFonts w:ascii="Times New Roman" w:hAnsi="Times New Roman" w:cs="Times New Roman" w:eastAsia="Times New Roman"/>
                <w:b w:val="0"/>
                <w:i w:val="0"/>
                <w:sz w:val="11"/>
              </w:rPr>
              <w:t>Author-parity</w:t>
            </w:r>
            <w:r>
              <w:rPr>
                <w:rFonts w:ascii="Times New Roman" w:hAnsi="Times New Roman" w:cs="Times New Roman" w:eastAsia="Times New Roman"/>
                <w:sz w:val="11"/>
              </w:rPr>
              <w:br/>
            </w:r>
            <w:r>
              <w:rPr>
                <w:rFonts w:ascii="Times New Roman" w:hAnsi="Times New Roman" w:cs="Times New Roman" w:eastAsia="Times New Roman"/>
                <w:b w:val="0"/>
                <w:i w:val="0"/>
                <w:sz w:val="11"/>
              </w:rPr>
              <w:t>arm</w:t>
            </w:r>
          </w:p>
        </w:tc>
        <w:tc>
          <w:tcPr>
            <w:tcW w:type="dxa" w:w="663"/>
          </w:tcPr>
          <w:p>
            <w:pPr>
              <w:spacing w:before="24" w:after="24" w:line="158" w:lineRule="exact"/>
              <w:jc w:val="left"/>
            </w:pPr>
            <w:r>
              <w:rPr>
                <w:rFonts w:ascii="Times New Roman" w:hAnsi="Times New Roman" w:cs="Times New Roman" w:eastAsia="Times New Roman"/>
                <w:b w:val="0"/>
                <w:i w:val="0"/>
                <w:sz w:val="11"/>
              </w:rPr>
              <w:t>greedy / replay /</w:t>
            </w:r>
            <w:r>
              <w:rPr>
                <w:rFonts w:ascii="Times New Roman" w:hAnsi="Times New Roman" w:cs="Times New Roman" w:eastAsia="Times New Roman"/>
                <w:sz w:val="11"/>
              </w:rPr>
              <w:br/>
            </w:r>
            <w:r>
              <w:rPr>
                <w:rFonts w:ascii="Times New Roman" w:hAnsi="Times New Roman" w:cs="Times New Roman" w:eastAsia="Times New Roman"/>
                <w:b w:val="0"/>
                <w:i w:val="0"/>
                <w:sz w:val="11"/>
              </w:rPr>
              <w:t>reage</w:t>
            </w:r>
          </w:p>
        </w:tc>
        <w:tc>
          <w:tcPr>
            <w:tcW w:type="dxa" w:w="842"/>
          </w:tcPr>
          <w:p>
            <w:pPr>
              <w:spacing w:before="24" w:after="24" w:line="158" w:lineRule="exact"/>
              <w:jc w:val="left"/>
            </w:pPr>
            <w:r>
              <w:rPr>
                <w:rFonts w:ascii="Times New Roman" w:hAnsi="Times New Roman" w:cs="Times New Roman" w:eastAsia="Times New Roman"/>
                <w:b w:val="0"/>
                <w:i w:val="0"/>
                <w:sz w:val="11"/>
              </w:rPr>
              <w:t>offline TPNE,</w:t>
            </w:r>
            <w:r>
              <w:rPr>
                <w:rFonts w:ascii="Times New Roman" w:hAnsi="Times New Roman" w:cs="Times New Roman" w:eastAsia="Times New Roman"/>
                <w:sz w:val="11"/>
              </w:rPr>
              <w:br/>
            </w:r>
            <w:r>
              <w:rPr>
                <w:rFonts w:ascii="Times New Roman" w:hAnsi="Times New Roman" w:cs="Times New Roman" w:eastAsia="Times New Roman"/>
                <w:b w:val="0"/>
                <w:i w:val="0"/>
                <w:sz w:val="11"/>
              </w:rPr>
              <w:t>window 7</w:t>
            </w:r>
          </w:p>
        </w:tc>
        <w:tc>
          <w:tcPr>
            <w:tcW w:type="dxa" w:w="791"/>
          </w:tcPr>
          <w:p>
            <w:pPr>
              <w:spacing w:before="24" w:after="24" w:line="158" w:lineRule="exact"/>
              <w:jc w:val="left"/>
            </w:pPr>
            <w:r>
              <w:rPr>
                <w:rFonts w:ascii="Times New Roman" w:hAnsi="Times New Roman" w:cs="Times New Roman" w:eastAsia="Times New Roman"/>
                <w:b w:val="0"/>
                <w:i w:val="0"/>
                <w:sz w:val="11"/>
              </w:rPr>
              <w:t>single XGBoost,</w:t>
            </w:r>
            <w:r>
              <w:rPr>
                <w:rFonts w:ascii="Times New Roman" w:hAnsi="Times New Roman" w:cs="Times New Roman" w:eastAsia="Times New Roman"/>
                <w:sz w:val="11"/>
              </w:rPr>
              <w:br/>
            </w:r>
            <w:r>
              <w:rPr>
                <w:rFonts w:ascii="Times New Roman" w:hAnsi="Times New Roman" w:cs="Times New Roman" w:eastAsia="Times New Roman"/>
                <w:b w:val="0"/>
                <w:i w:val="0"/>
                <w:sz w:val="11"/>
              </w:rPr>
              <w:t>200 rounds</w:t>
            </w:r>
          </w:p>
        </w:tc>
        <w:tc>
          <w:tcPr>
            <w:tcW w:type="dxa" w:w="638"/>
          </w:tcPr>
          <w:p>
            <w:pPr>
              <w:spacing w:before="24" w:after="24" w:line="158" w:lineRule="exact"/>
              <w:jc w:val="left"/>
            </w:pPr>
            <w:r>
              <w:rPr>
                <w:rFonts w:ascii="Times New Roman" w:hAnsi="Times New Roman" w:cs="Times New Roman" w:eastAsia="Times New Roman"/>
                <w:b w:val="0"/>
                <w:i w:val="0"/>
                <w:sz w:val="11"/>
              </w:rPr>
              <w:t>full refit</w:t>
            </w:r>
          </w:p>
        </w:tc>
        <w:tc>
          <w:tcPr>
            <w:tcW w:type="dxa" w:w="1275"/>
          </w:tcPr>
          <w:p>
            <w:pPr>
              <w:spacing w:before="24" w:after="24" w:line="158" w:lineRule="exact"/>
              <w:jc w:val="left"/>
            </w:pPr>
            <w:r>
              <w:rPr>
                <w:rFonts w:ascii="Times New Roman" w:hAnsi="Times New Roman" w:cs="Times New Roman" w:eastAsia="Times New Roman"/>
                <w:b w:val="0"/>
                <w:i w:val="0"/>
                <w:sz w:val="11"/>
              </w:rPr>
              <w:t>matches the protocol, not the reference numbers</w:t>
            </w:r>
          </w:p>
        </w:tc>
      </w:tr>
      <w:tr>
        <w:tc>
          <w:tcPr>
            <w:tcW w:type="dxa" w:w="893"/>
          </w:tcPr>
          <w:p>
            <w:pPr>
              <w:spacing w:before="24" w:after="24" w:line="158" w:lineRule="exact"/>
              <w:jc w:val="left"/>
            </w:pPr>
            <w:r>
              <w:rPr>
                <w:rFonts w:ascii="Times New Roman" w:hAnsi="Times New Roman" w:cs="Times New Roman" w:eastAsia="Times New Roman"/>
                <w:b w:val="0"/>
                <w:i w:val="0"/>
                <w:sz w:val="11"/>
              </w:rPr>
              <w:t>AMDL,</w:t>
            </w:r>
            <w:r>
              <w:rPr>
                <w:rFonts w:ascii="Times New Roman" w:hAnsi="Times New Roman" w:cs="Times New Roman" w:eastAsia="Times New Roman"/>
                <w:sz w:val="11"/>
              </w:rPr>
              <w:br/>
            </w:r>
            <w:r>
              <w:rPr>
                <w:rFonts w:ascii="Times New Roman" w:hAnsi="Times New Roman" w:cs="Times New Roman" w:eastAsia="Times New Roman"/>
                <w:b w:val="0"/>
                <w:i w:val="0"/>
                <w:sz w:val="11"/>
              </w:rPr>
              <w:t>incremental</w:t>
            </w:r>
          </w:p>
        </w:tc>
        <w:tc>
          <w:tcPr>
            <w:tcW w:type="dxa" w:w="663"/>
          </w:tcPr>
          <w:p>
            <w:pPr>
              <w:spacing w:before="24" w:after="24" w:line="158" w:lineRule="exact"/>
              <w:jc w:val="left"/>
            </w:pPr>
            <w:r>
              <w:rPr>
                <w:rFonts w:ascii="Times New Roman" w:hAnsi="Times New Roman" w:cs="Times New Roman" w:eastAsia="Times New Roman"/>
                <w:b w:val="0"/>
                <w:i w:val="0"/>
                <w:sz w:val="11"/>
              </w:rPr>
              <w:t>greedy /</w:t>
            </w:r>
            <w:r>
              <w:rPr>
                <w:rFonts w:ascii="Times New Roman" w:hAnsi="Times New Roman" w:cs="Times New Roman" w:eastAsia="Times New Roman"/>
                <w:sz w:val="11"/>
              </w:rPr>
              <w:br/>
            </w:r>
            <w:r>
              <w:rPr>
                <w:rFonts w:ascii="Times New Roman" w:hAnsi="Times New Roman" w:cs="Times New Roman" w:eastAsia="Times New Roman"/>
                <w:b w:val="0"/>
                <w:i w:val="0"/>
                <w:sz w:val="11"/>
              </w:rPr>
              <w:t>replay</w:t>
            </w:r>
          </w:p>
        </w:tc>
        <w:tc>
          <w:tcPr>
            <w:tcW w:type="dxa" w:w="842"/>
          </w:tcPr>
          <w:p>
            <w:pPr>
              <w:spacing w:before="24" w:after="24" w:line="158" w:lineRule="exact"/>
              <w:jc w:val="left"/>
            </w:pPr>
            <w:r>
              <w:rPr>
                <w:rFonts w:ascii="Times New Roman" w:hAnsi="Times New Roman" w:cs="Times New Roman" w:eastAsia="Times New Roman"/>
                <w:b w:val="0"/>
                <w:i w:val="0"/>
                <w:sz w:val="11"/>
              </w:rPr>
              <w:t>incremental TPNE</w:t>
            </w:r>
            <w:r>
              <w:rPr>
                <w:rFonts w:ascii="Times New Roman" w:hAnsi="Times New Roman" w:cs="Times New Roman" w:eastAsia="Times New Roman"/>
                <w:sz w:val="11"/>
              </w:rPr>
              <w:br/>
            </w:r>
            <w:r>
              <w:rPr>
                <w:rFonts w:ascii="Times New Roman" w:hAnsi="Times New Roman" w:cs="Times New Roman" w:eastAsia="Times New Roman"/>
                <w:b w:val="0"/>
                <w:i w:val="0"/>
                <w:sz w:val="11"/>
              </w:rPr>
              <w:t>(round delta)</w:t>
            </w:r>
          </w:p>
        </w:tc>
        <w:tc>
          <w:tcPr>
            <w:tcW w:type="dxa" w:w="791"/>
          </w:tcPr>
          <w:p>
            <w:pPr>
              <w:spacing w:before="24" w:after="24" w:line="158" w:lineRule="exact"/>
              <w:jc w:val="left"/>
            </w:pPr>
            <w:r>
              <w:rPr>
                <w:rFonts w:ascii="Times New Roman" w:hAnsi="Times New Roman" w:cs="Times New Roman" w:eastAsia="Times New Roman"/>
                <w:b w:val="0"/>
                <w:i w:val="0"/>
                <w:sz w:val="11"/>
              </w:rPr>
              <w:t>XGBoost +</w:t>
            </w:r>
            <w:r>
              <w:rPr>
                <w:rFonts w:ascii="Times New Roman" w:hAnsi="Times New Roman" w:cs="Times New Roman" w:eastAsia="Times New Roman"/>
                <w:sz w:val="11"/>
              </w:rPr>
              <w:br/>
            </w:r>
            <w:r>
              <w:rPr>
                <w:rFonts w:ascii="Times New Roman" w:hAnsi="Times New Roman" w:cs="Times New Roman" w:eastAsia="Times New Roman"/>
                <w:b w:val="0"/>
                <w:i w:val="0"/>
                <w:sz w:val="11"/>
              </w:rPr>
              <w:t>HGB + ExtraTrees</w:t>
            </w:r>
          </w:p>
        </w:tc>
        <w:tc>
          <w:tcPr>
            <w:tcW w:type="dxa" w:w="638"/>
          </w:tcPr>
          <w:p>
            <w:pPr>
              <w:spacing w:before="24" w:after="24" w:line="158" w:lineRule="exact"/>
              <w:jc w:val="left"/>
            </w:pPr>
            <w:r>
              <w:rPr>
                <w:rFonts w:ascii="Times New Roman" w:hAnsi="Times New Roman" w:cs="Times New Roman" w:eastAsia="Times New Roman"/>
                <w:b w:val="0"/>
                <w:i w:val="0"/>
                <w:sz w:val="11"/>
              </w:rPr>
              <w:t>50 boosting rounds</w:t>
            </w:r>
          </w:p>
        </w:tc>
        <w:tc>
          <w:tcPr>
            <w:tcW w:type="dxa" w:w="1275"/>
          </w:tcPr>
          <w:p>
            <w:pPr>
              <w:spacing w:before="24" w:after="24" w:line="158" w:lineRule="exact"/>
              <w:jc w:val="left"/>
            </w:pPr>
            <w:r>
              <w:rPr>
                <w:rFonts w:ascii="Times New Roman" w:hAnsi="Times New Roman" w:cs="Times New Roman" w:eastAsia="Times New Roman"/>
                <w:b w:val="0"/>
                <w:i w:val="0"/>
                <w:sz w:val="11"/>
              </w:rPr>
              <w:t>reported objective values are degenerate</w:t>
            </w:r>
          </w:p>
        </w:tc>
      </w:tr>
      <w:tr>
        <w:tc>
          <w:tcPr>
            <w:tcW w:type="dxa" w:w="893"/>
          </w:tcPr>
          <w:p>
            <w:pPr>
              <w:spacing w:before="24" w:after="24" w:line="158" w:lineRule="exact"/>
              <w:jc w:val="left"/>
            </w:pPr>
            <w:r>
              <w:rPr>
                <w:rFonts w:ascii="Times New Roman" w:hAnsi="Times New Roman" w:cs="Times New Roman" w:eastAsia="Times New Roman"/>
                <w:b w:val="0"/>
                <w:i w:val="0"/>
                <w:sz w:val="11"/>
              </w:rPr>
              <w:t>AMDL,</w:t>
            </w:r>
            <w:r>
              <w:rPr>
                <w:rFonts w:ascii="Times New Roman" w:hAnsi="Times New Roman" w:cs="Times New Roman" w:eastAsia="Times New Roman"/>
                <w:sz w:val="11"/>
              </w:rPr>
              <w:br/>
            </w:r>
            <w:r>
              <w:rPr>
                <w:rFonts w:ascii="Times New Roman" w:hAnsi="Times New Roman" w:cs="Times New Roman" w:eastAsia="Times New Roman"/>
                <w:b w:val="0"/>
                <w:i w:val="0"/>
                <w:sz w:val="11"/>
              </w:rPr>
              <w:t>offline</w:t>
            </w:r>
          </w:p>
        </w:tc>
        <w:tc>
          <w:tcPr>
            <w:tcW w:type="dxa" w:w="663"/>
          </w:tcPr>
          <w:p>
            <w:pPr>
              <w:spacing w:before="24" w:after="24" w:line="158" w:lineRule="exact"/>
              <w:jc w:val="left"/>
            </w:pPr>
            <w:r>
              <w:rPr>
                <w:rFonts w:ascii="Times New Roman" w:hAnsi="Times New Roman" w:cs="Times New Roman" w:eastAsia="Times New Roman"/>
                <w:b w:val="0"/>
                <w:i w:val="0"/>
                <w:sz w:val="11"/>
              </w:rPr>
              <w:t>greedy /</w:t>
            </w:r>
            <w:r>
              <w:rPr>
                <w:rFonts w:ascii="Times New Roman" w:hAnsi="Times New Roman" w:cs="Times New Roman" w:eastAsia="Times New Roman"/>
                <w:sz w:val="11"/>
              </w:rPr>
              <w:br/>
            </w:r>
            <w:r>
              <w:rPr>
                <w:rFonts w:ascii="Times New Roman" w:hAnsi="Times New Roman" w:cs="Times New Roman" w:eastAsia="Times New Roman"/>
                <w:b w:val="0"/>
                <w:i w:val="0"/>
                <w:sz w:val="11"/>
              </w:rPr>
              <w:t>replay</w:t>
            </w:r>
          </w:p>
        </w:tc>
        <w:tc>
          <w:tcPr>
            <w:tcW w:type="dxa" w:w="842"/>
          </w:tcPr>
          <w:p>
            <w:pPr>
              <w:spacing w:before="24" w:after="24" w:line="158" w:lineRule="exact"/>
              <w:jc w:val="left"/>
            </w:pPr>
            <w:r>
              <w:rPr>
                <w:rFonts w:ascii="Times New Roman" w:hAnsi="Times New Roman" w:cs="Times New Roman" w:eastAsia="Times New Roman"/>
                <w:b w:val="0"/>
                <w:i w:val="0"/>
                <w:sz w:val="11"/>
              </w:rPr>
              <w:t>offline TPNE,</w:t>
            </w:r>
            <w:r>
              <w:rPr>
                <w:rFonts w:ascii="Times New Roman" w:hAnsi="Times New Roman" w:cs="Times New Roman" w:eastAsia="Times New Roman"/>
                <w:sz w:val="11"/>
              </w:rPr>
              <w:br/>
            </w:r>
            <w:r>
              <w:rPr>
                <w:rFonts w:ascii="Times New Roman" w:hAnsi="Times New Roman" w:cs="Times New Roman" w:eastAsia="Times New Roman"/>
                <w:b w:val="0"/>
                <w:i w:val="0"/>
                <w:sz w:val="11"/>
              </w:rPr>
              <w:t>window 7</w:t>
            </w:r>
          </w:p>
        </w:tc>
        <w:tc>
          <w:tcPr>
            <w:tcW w:type="dxa" w:w="791"/>
          </w:tcPr>
          <w:p>
            <w:pPr>
              <w:spacing w:before="24" w:after="24" w:line="158" w:lineRule="exact"/>
              <w:jc w:val="left"/>
            </w:pPr>
            <w:r>
              <w:rPr>
                <w:rFonts w:ascii="Times New Roman" w:hAnsi="Times New Roman" w:cs="Times New Roman" w:eastAsia="Times New Roman"/>
                <w:b w:val="0"/>
                <w:i w:val="0"/>
                <w:sz w:val="11"/>
              </w:rPr>
              <w:t>XGBoost +</w:t>
            </w:r>
            <w:r>
              <w:rPr>
                <w:rFonts w:ascii="Times New Roman" w:hAnsi="Times New Roman" w:cs="Times New Roman" w:eastAsia="Times New Roman"/>
                <w:sz w:val="11"/>
              </w:rPr>
              <w:br/>
            </w:r>
            <w:r>
              <w:rPr>
                <w:rFonts w:ascii="Times New Roman" w:hAnsi="Times New Roman" w:cs="Times New Roman" w:eastAsia="Times New Roman"/>
                <w:b w:val="0"/>
                <w:i w:val="0"/>
                <w:sz w:val="11"/>
              </w:rPr>
              <w:t>HGB + ExtraTrees</w:t>
            </w:r>
          </w:p>
        </w:tc>
        <w:tc>
          <w:tcPr>
            <w:tcW w:type="dxa" w:w="638"/>
          </w:tcPr>
          <w:p>
            <w:pPr>
              <w:spacing w:before="24" w:after="24" w:line="158" w:lineRule="exact"/>
              <w:jc w:val="left"/>
            </w:pPr>
            <w:r>
              <w:rPr>
                <w:rFonts w:ascii="Times New Roman" w:hAnsi="Times New Roman" w:cs="Times New Roman" w:eastAsia="Times New Roman"/>
                <w:b w:val="0"/>
                <w:i w:val="0"/>
                <w:sz w:val="11"/>
              </w:rPr>
              <w:t>50 boosting rounds</w:t>
            </w:r>
          </w:p>
        </w:tc>
        <w:tc>
          <w:tcPr>
            <w:tcW w:type="dxa" w:w="1275"/>
          </w:tcPr>
          <w:p>
            <w:pPr>
              <w:spacing w:before="24" w:after="24" w:line="158" w:lineRule="exact"/>
              <w:jc w:val="left"/>
            </w:pPr>
            <w:r>
              <w:rPr>
                <w:rFonts w:ascii="Times New Roman" w:hAnsi="Times New Roman" w:cs="Times New Roman" w:eastAsia="Times New Roman"/>
                <w:b w:val="0"/>
                <w:i w:val="0"/>
                <w:sz w:val="11"/>
              </w:rPr>
              <w:t>trial variance is large; n = 1 reported</w:t>
            </w:r>
          </w:p>
        </w:tc>
      </w:tr>
      <w:tr>
        <w:tc>
          <w:tcPr>
            <w:tcW w:type="dxa" w:w="893"/>
          </w:tcPr>
          <w:p>
            <w:pPr>
              <w:spacing w:before="24" w:after="24" w:line="158" w:lineRule="exact"/>
              <w:jc w:val="left"/>
            </w:pPr>
            <w:r>
              <w:rPr>
                <w:rFonts w:ascii="Times New Roman" w:hAnsi="Times New Roman" w:cs="Times New Roman" w:eastAsia="Times New Roman"/>
                <w:b w:val="0"/>
                <w:i w:val="0"/>
                <w:sz w:val="11"/>
              </w:rPr>
              <w:t>AMDL,</w:t>
            </w:r>
            <w:r>
              <w:rPr>
                <w:rFonts w:ascii="Times New Roman" w:hAnsi="Times New Roman" w:cs="Times New Roman" w:eastAsia="Times New Roman"/>
                <w:sz w:val="11"/>
              </w:rPr>
              <w:br/>
            </w:r>
            <w:r>
              <w:rPr>
                <w:rFonts w:ascii="Times New Roman" w:hAnsi="Times New Roman" w:cs="Times New Roman" w:eastAsia="Times New Roman"/>
                <w:b w:val="0"/>
                <w:i w:val="0"/>
                <w:sz w:val="11"/>
              </w:rPr>
              <w:t>pre-trained</w:t>
            </w:r>
          </w:p>
        </w:tc>
        <w:tc>
          <w:tcPr>
            <w:tcW w:type="dxa" w:w="663"/>
          </w:tcPr>
          <w:p>
            <w:pPr>
              <w:spacing w:before="24" w:after="24" w:line="158" w:lineRule="exact"/>
              <w:jc w:val="left"/>
            </w:pPr>
            <w:r>
              <w:rPr>
                <w:rFonts w:ascii="Times New Roman" w:hAnsi="Times New Roman" w:cs="Times New Roman" w:eastAsia="Times New Roman"/>
                <w:b w:val="0"/>
                <w:i w:val="0"/>
                <w:sz w:val="11"/>
              </w:rPr>
              <w:t>greedy /</w:t>
            </w:r>
            <w:r>
              <w:rPr>
                <w:rFonts w:ascii="Times New Roman" w:hAnsi="Times New Roman" w:cs="Times New Roman" w:eastAsia="Times New Roman"/>
                <w:sz w:val="11"/>
              </w:rPr>
              <w:br/>
            </w:r>
            <w:r>
              <w:rPr>
                <w:rFonts w:ascii="Times New Roman" w:hAnsi="Times New Roman" w:cs="Times New Roman" w:eastAsia="Times New Roman"/>
                <w:b w:val="0"/>
                <w:i w:val="0"/>
                <w:sz w:val="11"/>
              </w:rPr>
              <w:t>replay</w:t>
            </w:r>
          </w:p>
        </w:tc>
        <w:tc>
          <w:tcPr>
            <w:tcW w:type="dxa" w:w="842"/>
          </w:tcPr>
          <w:p>
            <w:pPr>
              <w:spacing w:before="24" w:after="24" w:line="158" w:lineRule="exact"/>
              <w:jc w:val="left"/>
            </w:pPr>
            <w:r>
              <w:rPr>
                <w:rFonts w:ascii="Times New Roman" w:hAnsi="Times New Roman" w:cs="Times New Roman" w:eastAsia="Times New Roman"/>
                <w:b w:val="0"/>
                <w:i w:val="0"/>
                <w:sz w:val="11"/>
              </w:rPr>
              <w:t>TPNE pre-trained,</w:t>
            </w:r>
            <w:r>
              <w:rPr>
                <w:rFonts w:ascii="Times New Roman" w:hAnsi="Times New Roman" w:cs="Times New Roman" w:eastAsia="Times New Roman"/>
                <w:sz w:val="11"/>
              </w:rPr>
              <w:br/>
            </w:r>
            <w:r>
              <w:rPr>
                <w:rFonts w:ascii="Times New Roman" w:hAnsi="Times New Roman" w:cs="Times New Roman" w:eastAsia="Times New Roman"/>
                <w:b w:val="0"/>
                <w:i w:val="0"/>
                <w:sz w:val="11"/>
              </w:rPr>
              <w:t>60 epochs</w:t>
            </w:r>
          </w:p>
        </w:tc>
        <w:tc>
          <w:tcPr>
            <w:tcW w:type="dxa" w:w="791"/>
          </w:tcPr>
          <w:p>
            <w:pPr>
              <w:spacing w:before="24" w:after="24" w:line="158" w:lineRule="exact"/>
              <w:jc w:val="left"/>
            </w:pPr>
            <w:r>
              <w:rPr>
                <w:rFonts w:ascii="Times New Roman" w:hAnsi="Times New Roman" w:cs="Times New Roman" w:eastAsia="Times New Roman"/>
                <w:b w:val="0"/>
                <w:i w:val="0"/>
                <w:sz w:val="11"/>
              </w:rPr>
              <w:t>XGBoost +</w:t>
            </w:r>
            <w:r>
              <w:rPr>
                <w:rFonts w:ascii="Times New Roman" w:hAnsi="Times New Roman" w:cs="Times New Roman" w:eastAsia="Times New Roman"/>
                <w:sz w:val="11"/>
              </w:rPr>
              <w:br/>
            </w:r>
            <w:r>
              <w:rPr>
                <w:rFonts w:ascii="Times New Roman" w:hAnsi="Times New Roman" w:cs="Times New Roman" w:eastAsia="Times New Roman"/>
                <w:b w:val="0"/>
                <w:i w:val="0"/>
                <w:sz w:val="11"/>
              </w:rPr>
              <w:t>HGB + ExtraTrees</w:t>
            </w:r>
          </w:p>
        </w:tc>
        <w:tc>
          <w:tcPr>
            <w:tcW w:type="dxa" w:w="638"/>
          </w:tcPr>
          <w:p>
            <w:pPr>
              <w:spacing w:before="24" w:after="24" w:line="158" w:lineRule="exact"/>
              <w:jc w:val="left"/>
            </w:pPr>
            <w:r>
              <w:rPr>
                <w:rFonts w:ascii="Times New Roman" w:hAnsi="Times New Roman" w:cs="Times New Roman" w:eastAsia="Times New Roman"/>
                <w:b w:val="0"/>
                <w:i w:val="0"/>
                <w:sz w:val="11"/>
              </w:rPr>
              <w:t>pre-train + 50 rounds</w:t>
            </w:r>
          </w:p>
        </w:tc>
        <w:tc>
          <w:tcPr>
            <w:tcW w:type="dxa" w:w="1275"/>
          </w:tcPr>
          <w:p>
            <w:pPr>
              <w:spacing w:before="24" w:after="24" w:line="158" w:lineRule="exact"/>
              <w:jc w:val="left"/>
            </w:pPr>
            <w:r>
              <w:rPr>
                <w:rFonts w:ascii="Times New Roman" w:hAnsi="Times New Roman" w:cs="Times New Roman" w:eastAsia="Times New Roman"/>
                <w:b w:val="0"/>
                <w:i w:val="0"/>
                <w:sz w:val="11"/>
              </w:rPr>
              <w:t>4.3× wall-clock for no F</w:t>
            </w:r>
            <w:r>
              <w:rPr>
                <w:rFonts w:ascii="Times New Roman" w:hAnsi="Times New Roman" w:cs="Times New Roman" w:eastAsia="Times New Roman"/>
                <w:b w:val="0"/>
                <w:i w:val="0"/>
                <w:sz w:val="11"/>
                <w:vertAlign w:val="subscript"/>
              </w:rPr>
              <w:t>1</w:t>
            </w:r>
            <w:r>
              <w:rPr>
                <w:rFonts w:ascii="Times New Roman" w:hAnsi="Times New Roman" w:cs="Times New Roman" w:eastAsia="Times New Roman"/>
                <w:b w:val="0"/>
                <w:i w:val="0"/>
                <w:sz w:val="11"/>
              </w:rPr>
              <w:t xml:space="preserve"> gain</w:t>
            </w:r>
          </w:p>
        </w:tc>
      </w:tr>
      <w:tr>
        <w:tc>
          <w:tcPr>
            <w:tcW w:type="dxa" w:w="893"/>
            <w:tcBorders>
              <w:bottom w:val="single" w:sz="8" w:space="0" w:color="000000"/>
            </w:tcBorders>
          </w:tcPr>
          <w:p>
            <w:pPr>
              <w:spacing w:before="24" w:after="24" w:line="158" w:lineRule="exact"/>
              <w:jc w:val="left"/>
            </w:pPr>
            <w:r>
              <w:rPr>
                <w:rFonts w:ascii="Times New Roman" w:hAnsi="Times New Roman" w:cs="Times New Roman" w:eastAsia="Times New Roman"/>
                <w:b w:val="0"/>
                <w:i w:val="0"/>
                <w:sz w:val="11"/>
              </w:rPr>
              <w:t>Streaming AMDL</w:t>
            </w:r>
            <w:r>
              <w:rPr>
                <w:rFonts w:ascii="Times New Roman" w:hAnsi="Times New Roman" w:cs="Times New Roman" w:eastAsia="Times New Roman"/>
                <w:sz w:val="11"/>
              </w:rPr>
              <w:br/>
            </w:r>
            <w:r>
              <w:rPr>
                <w:rFonts w:ascii="Times New Roman" w:hAnsi="Times New Roman" w:cs="Times New Roman" w:eastAsia="Times New Roman"/>
                <w:b w:val="0"/>
                <w:i w:val="0"/>
                <w:sz w:val="11"/>
              </w:rPr>
              <w:t>(IEEE-CIS)</w:t>
            </w:r>
          </w:p>
        </w:tc>
        <w:tc>
          <w:tcPr>
            <w:tcW w:type="dxa" w:w="663"/>
            <w:tcBorders>
              <w:bottom w:val="single" w:sz="8" w:space="0" w:color="000000"/>
            </w:tcBorders>
          </w:tcPr>
          <w:p>
            <w:pPr>
              <w:spacing w:before="24" w:after="24" w:line="158" w:lineRule="exact"/>
              <w:jc w:val="left"/>
            </w:pPr>
            <w:r>
              <w:rPr>
                <w:rFonts w:ascii="Times New Roman" w:hAnsi="Times New Roman" w:cs="Times New Roman" w:eastAsia="Times New Roman"/>
                <w:b w:val="0"/>
                <w:i w:val="0"/>
                <w:sz w:val="11"/>
              </w:rPr>
              <w:t>none (no graph</w:t>
            </w:r>
            <w:r>
              <w:rPr>
                <w:rFonts w:ascii="Times New Roman" w:hAnsi="Times New Roman" w:cs="Times New Roman" w:eastAsia="Times New Roman"/>
                <w:sz w:val="11"/>
              </w:rPr>
              <w:br/>
            </w:r>
            <w:r>
              <w:rPr>
                <w:rFonts w:ascii="Times New Roman" w:hAnsi="Times New Roman" w:cs="Times New Roman" w:eastAsia="Times New Roman"/>
                <w:b w:val="0"/>
                <w:i w:val="0"/>
                <w:sz w:val="11"/>
              </w:rPr>
              <w:t>adversary)</w:t>
            </w:r>
          </w:p>
        </w:tc>
        <w:tc>
          <w:tcPr>
            <w:tcW w:type="dxa" w:w="842"/>
            <w:tcBorders>
              <w:bottom w:val="single" w:sz="8" w:space="0" w:color="000000"/>
            </w:tcBorders>
          </w:tcPr>
          <w:p>
            <w:pPr>
              <w:spacing w:before="24" w:after="24" w:line="158" w:lineRule="exact"/>
              <w:jc w:val="left"/>
            </w:pPr>
            <w:r>
              <w:rPr>
                <w:rFonts w:ascii="Times New Roman" w:hAnsi="Times New Roman" w:cs="Times New Roman" w:eastAsia="Times New Roman"/>
                <w:b w:val="0"/>
                <w:i w:val="0"/>
                <w:sz w:val="11"/>
              </w:rPr>
              <w:t>27 profile / native columns</w:t>
            </w:r>
          </w:p>
        </w:tc>
        <w:tc>
          <w:tcPr>
            <w:tcW w:type="dxa" w:w="791"/>
            <w:tcBorders>
              <w:bottom w:val="single" w:sz="8" w:space="0" w:color="000000"/>
            </w:tcBorders>
          </w:tcPr>
          <w:p>
            <w:pPr>
              <w:spacing w:before="24" w:after="24" w:line="158" w:lineRule="exact"/>
              <w:jc w:val="left"/>
            </w:pPr>
            <w:r>
              <w:rPr>
                <w:rFonts w:ascii="Times New Roman" w:hAnsi="Times New Roman" w:cs="Times New Roman" w:eastAsia="Times New Roman"/>
                <w:b w:val="0"/>
                <w:i w:val="0"/>
                <w:sz w:val="11"/>
              </w:rPr>
              <w:t>XGBoost +</w:t>
            </w:r>
            <w:r>
              <w:rPr>
                <w:rFonts w:ascii="Times New Roman" w:hAnsi="Times New Roman" w:cs="Times New Roman" w:eastAsia="Times New Roman"/>
                <w:sz w:val="11"/>
              </w:rPr>
              <w:br/>
            </w:r>
            <w:r>
              <w:rPr>
                <w:rFonts w:ascii="Times New Roman" w:hAnsi="Times New Roman" w:cs="Times New Roman" w:eastAsia="Times New Roman"/>
                <w:b w:val="0"/>
                <w:i w:val="0"/>
                <w:sz w:val="11"/>
              </w:rPr>
              <w:t>HGB + ExtraTrees</w:t>
            </w:r>
          </w:p>
        </w:tc>
        <w:tc>
          <w:tcPr>
            <w:tcW w:type="dxa" w:w="638"/>
            <w:tcBorders>
              <w:bottom w:val="single" w:sz="8" w:space="0" w:color="000000"/>
            </w:tcBorders>
          </w:tcPr>
          <w:p>
            <w:pPr>
              <w:spacing w:before="24" w:after="24" w:line="158" w:lineRule="exact"/>
              <w:jc w:val="left"/>
            </w:pPr>
            <w:r>
              <w:rPr>
                <w:rFonts w:ascii="Times New Roman" w:hAnsi="Times New Roman" w:cs="Times New Roman" w:eastAsia="Times New Roman"/>
                <w:b w:val="0"/>
                <w:i w:val="0"/>
                <w:sz w:val="11"/>
              </w:rPr>
              <w:t>event / time triggered</w:t>
            </w:r>
          </w:p>
        </w:tc>
        <w:tc>
          <w:tcPr>
            <w:tcW w:type="dxa" w:w="1275"/>
            <w:tcBorders>
              <w:bottom w:val="single" w:sz="8" w:space="0" w:color="000000"/>
            </w:tcBorders>
          </w:tcPr>
          <w:p>
            <w:pPr>
              <w:spacing w:before="24" w:after="24" w:line="158" w:lineRule="exact"/>
              <w:jc w:val="left"/>
            </w:pPr>
            <w:r>
              <w:rPr>
                <w:rFonts w:ascii="Times New Roman" w:hAnsi="Times New Roman" w:cs="Times New Roman" w:eastAsia="Times New Roman"/>
                <w:b w:val="0"/>
                <w:i w:val="0"/>
                <w:sz w:val="11"/>
              </w:rPr>
              <w:t>no relational structure; 2.6-2.9% base rate</w:t>
            </w:r>
          </w:p>
        </w:tc>
      </w:tr>
    </w:tbl>
    <w:p>
      <w:pPr>
        <w:keepNext w:val="0"/>
        <w:spacing w:before="0" w:after="160" w:line="120" w:lineRule="exact"/>
        <w:ind w:firstLine="0" w:left="0"/>
        <w:jc w:val="both"/>
      </w:pPr>
      <w:r/>
    </w:p>
    <w:p>
      <w:pPr>
        <w:keepNext w:val="0"/>
        <w:spacing w:before="0" w:after="0" w:line="208" w:lineRule="exact"/>
        <w:ind w:firstLine="0" w:left="0"/>
        <w:jc w:val="both"/>
      </w:pPr>
      <w:r>
        <w:rPr>
          <w:rFonts w:ascii="Times New Roman" w:hAnsi="Times New Roman" w:cs="Times New Roman" w:eastAsia="Times New Roman"/>
          <w:b w:val="0"/>
          <w:i w:val="0"/>
          <w:sz w:val="17"/>
        </w:rPr>
        <w:t>Three observations follow from the table. First, the representation and the head are genuinely separable, and separating them is what makes the ensemble result interpretable: the head comparison holds the embedding fixed. Second, cost and benefit are not aligned across rows. The incremental embedder and the pre-trained encoder are both more expensive than the offline embedder, and neither pays for itself. Third, the streaming configuration solves a different problem from the graph configurations; it is included because the detection layer is shared, not because the evidence is comparable.</w:t>
      </w:r>
    </w:p>
    <w:p>
      <w:pPr>
        <w:keepNext/>
        <w:spacing w:before="180" w:after="80" w:line="250" w:lineRule="exact"/>
        <w:ind w:firstLine="0" w:left="0"/>
        <w:jc w:val="center"/>
      </w:pPr>
      <w:r>
        <w:rPr>
          <w:rFonts w:ascii="Times New Roman" w:hAnsi="Times New Roman" w:cs="Times New Roman" w:eastAsia="Times New Roman"/>
          <w:b/>
          <w:i w:val="0"/>
          <w:smallCaps/>
          <w:sz w:val="20"/>
        </w:rPr>
        <w:t>5. IMPLEMENTATION AND FINDINGS</w:t>
      </w:r>
    </w:p>
    <w:p>
      <w:pPr>
        <w:keepNext w:val="0"/>
        <w:spacing w:before="0" w:after="0" w:line="208" w:lineRule="exact"/>
        <w:ind w:firstLine="0" w:left="0"/>
        <w:jc w:val="both"/>
      </w:pPr>
      <w:r>
        <w:rPr>
          <w:rFonts w:ascii="Times New Roman" w:hAnsi="Times New Roman" w:cs="Times New Roman" w:eastAsia="Times New Roman"/>
          <w:b w:val="0"/>
          <w:i w:val="0"/>
          <w:sz w:val="17"/>
        </w:rPr>
        <w:t>The framework is implemented on Python 3.11 with PyTorch 2.2.1, DGL 2.1.0, torch-geometric 2.5.3, XGBoost 2.0.3 and scikit-learn 1.3.0, on a host with four CPU cores, 7 GB of RAM and no GPU. This constraint is worth stating plainly, because it is not a neutral detail: several configurations that would be unremarkable on a GPU were not run at all, and the pre-training arm in particular is limited to a fraction of the epochs the reference uses. Figure 2 shows the resulting pipeline, including the feedback path by which the adversary is re-aimed at the current miss set.</w:t>
      </w:r>
    </w:p>
    <w:p>
      <w:pPr>
        <w:keepNext w:val="0"/>
        <w:spacing w:before="0" w:after="0" w:line="208" w:lineRule="exact"/>
        <w:ind w:firstLine="0" w:left="0"/>
        <w:jc w:val="both"/>
      </w:pPr>
      <w:r>
        <w:rPr>
          <w:rFonts w:ascii="Times New Roman" w:hAnsi="Times New Roman" w:cs="Times New Roman" w:eastAsia="Times New Roman"/>
          <w:b w:val="0"/>
          <w:i w:val="0"/>
          <w:sz w:val="17"/>
        </w:rPr>
        <w:t xml:space="preserve">Four findings were measured. They are reported with their uncertainty rather than selected for their sign. </w:t>
      </w:r>
      <w:r>
        <w:rPr>
          <w:rFonts w:ascii="Times New Roman" w:hAnsi="Times New Roman" w:cs="Times New Roman" w:eastAsia="Times New Roman"/>
          <w:b/>
          <w:i w:val="0"/>
          <w:sz w:val="17"/>
        </w:rPr>
        <w:t>All figures in this section use the authors' predefined split</w:t>
      </w:r>
      <w:r>
        <w:rPr>
          <w:rFonts w:ascii="Times New Roman" w:hAnsi="Times New Roman" w:cs="Times New Roman" w:eastAsia="Times New Roman"/>
          <w:b w:val="0"/>
          <w:i w:val="0"/>
          <w:sz w:val="17"/>
        </w:rPr>
        <w:t>, which is the protocol that survived auditing; an earlier contiguous-holdout configuration is reported separately because it was retracted.</w:t>
      </w:r>
    </w:p>
    <w:p>
      <w:pPr>
        <w:keepNext w:val="0"/>
        <w:spacing w:before="0" w:after="0" w:line="208" w:lineRule="exact"/>
        <w:ind w:firstLine="0" w:left="0"/>
        <w:jc w:val="both"/>
      </w:pPr>
      <w:r>
        <w:rPr>
          <w:rFonts w:ascii="Times New Roman" w:hAnsi="Times New Roman" w:cs="Times New Roman" w:eastAsia="Times New Roman"/>
          <w:b/>
          <w:i w:val="0"/>
          <w:sz w:val="17"/>
        </w:rPr>
        <w:t>Finding 1 — the detection layer helps, holding the embedding fixed.</w:t>
      </w:r>
      <w:r>
        <w:rPr>
          <w:rFonts w:ascii="Times New Roman" w:hAnsi="Times New Roman" w:cs="Times New Roman" w:eastAsia="Times New Roman"/>
          <w:b w:val="0"/>
          <w:i w:val="0"/>
          <w:sz w:val="17"/>
        </w:rPr>
        <w:t xml:space="preserve"> The author-parity arm, a single XGBoost head over the same TPNE embedding under the same scenario, attains an average on-round F</w:t>
      </w:r>
      <w:r>
        <w:rPr>
          <w:rFonts w:ascii="Times New Roman" w:hAnsi="Times New Roman" w:cs="Times New Roman" w:eastAsia="Times New Roman"/>
          <w:b w:val="0"/>
          <w:i w:val="0"/>
          <w:sz w:val="17"/>
          <w:vertAlign w:val="subscript"/>
        </w:rPr>
        <w:t>1</w:t>
      </w:r>
      <w:r>
        <w:rPr>
          <w:rFonts w:ascii="Times New Roman" w:hAnsi="Times New Roman" w:cs="Times New Roman" w:eastAsia="Times New Roman"/>
          <w:b w:val="0"/>
          <w:i w:val="0"/>
          <w:sz w:val="17"/>
        </w:rPr>
        <w:t xml:space="preserve"> of 0.119 and a final-round recall of 0.063. Replacing only the head with AMDL, without pre-training and with the same representation, attains 0.263 and 0.219, an on-round F</w:t>
      </w:r>
      <w:r>
        <w:rPr>
          <w:rFonts w:ascii="Times New Roman" w:hAnsi="Times New Roman" w:cs="Times New Roman" w:eastAsia="Times New Roman"/>
          <w:b w:val="0"/>
          <w:i w:val="0"/>
          <w:sz w:val="17"/>
          <w:vertAlign w:val="subscript"/>
        </w:rPr>
        <w:t>1</w:t>
      </w:r>
      <w:r>
        <w:rPr>
          <w:rFonts w:ascii="Times New Roman" w:hAnsi="Times New Roman" w:cs="Times New Roman" w:eastAsia="Times New Roman"/>
          <w:b w:val="0"/>
          <w:i w:val="0"/>
          <w:sz w:val="17"/>
        </w:rPr>
        <w:t xml:space="preserve"> ratio of 2.2×. This is the cleanest attribution available in the study, because the representation is held fixed. It is a single trial.</w:t>
      </w:r>
    </w:p>
    <w:p>
      <w:pPr>
        <w:keepNext w:val="0"/>
        <w:spacing w:before="0" w:after="0" w:line="208" w:lineRule="exact"/>
        <w:ind w:firstLine="0" w:left="0"/>
        <w:jc w:val="both"/>
      </w:pPr>
      <w:r>
        <w:rPr>
          <w:rFonts w:ascii="Times New Roman" w:hAnsi="Times New Roman" w:cs="Times New Roman" w:eastAsia="Times New Roman"/>
          <w:b/>
          <w:i w:val="0"/>
          <w:sz w:val="17"/>
        </w:rPr>
        <w:t>Finding 2 — the recall family is won outright, round-0 F</w:t>
      </w:r>
      <w:r>
        <w:rPr>
          <w:rFonts w:ascii="Times New Roman" w:hAnsi="Times New Roman" w:cs="Times New Roman" w:eastAsia="Times New Roman"/>
          <w:b/>
          <w:i w:val="0"/>
          <w:sz w:val="17"/>
          <w:vertAlign w:val="subscript"/>
        </w:rPr>
        <w:t>1</w:t>
      </w:r>
      <w:r>
        <w:rPr>
          <w:rFonts w:ascii="Times New Roman" w:hAnsi="Times New Roman" w:cs="Times New Roman" w:eastAsia="Times New Roman"/>
          <w:b/>
          <w:i w:val="0"/>
          <w:sz w:val="17"/>
        </w:rPr>
        <w:t xml:space="preserve"> is lost.</w:t>
      </w:r>
      <w:r>
        <w:rPr>
          <w:rFonts w:ascii="Times New Roman" w:hAnsi="Times New Roman" w:cs="Times New Roman" w:eastAsia="Times New Roman"/>
          <w:b w:val="0"/>
          <w:i w:val="0"/>
          <w:sz w:val="17"/>
        </w:rPr>
        <w:t xml:space="preserve"> On the audited split with three trials, AMDL attains a round-0 F</w:t>
      </w:r>
      <w:r>
        <w:rPr>
          <w:rFonts w:ascii="Times New Roman" w:hAnsi="Times New Roman" w:cs="Times New Roman" w:eastAsia="Times New Roman"/>
          <w:b w:val="0"/>
          <w:i w:val="0"/>
          <w:sz w:val="17"/>
          <w:vertAlign w:val="subscript"/>
        </w:rPr>
        <w:t>1</w:t>
      </w:r>
      <w:r>
        <w:rPr>
          <w:rFonts w:ascii="Times New Roman" w:hAnsi="Times New Roman" w:cs="Times New Roman" w:eastAsia="Times New Roman"/>
          <w:b w:val="0"/>
          <w:i w:val="0"/>
          <w:sz w:val="17"/>
        </w:rPr>
        <w:t xml:space="preserve"> of 54.89 ± 1.01 and an average on-round F</w:t>
      </w:r>
      <w:r>
        <w:rPr>
          <w:rFonts w:ascii="Times New Roman" w:hAnsi="Times New Roman" w:cs="Times New Roman" w:eastAsia="Times New Roman"/>
          <w:b w:val="0"/>
          <w:i w:val="0"/>
          <w:sz w:val="17"/>
          <w:vertAlign w:val="subscript"/>
        </w:rPr>
        <w:t>1</w:t>
      </w:r>
      <w:r>
        <w:rPr>
          <w:rFonts w:ascii="Times New Roman" w:hAnsi="Times New Roman" w:cs="Times New Roman" w:eastAsia="Times New Roman"/>
          <w:b w:val="0"/>
          <w:i w:val="0"/>
          <w:sz w:val="17"/>
        </w:rPr>
        <w:t xml:space="preserve"> of 54.51 ± 5.29 against the reference's 66.56 ± 0.75 and 57.09 ± 2.33. The on-round deficit is 2.6 points, roughly one standard deviation, and is not a win; the round-0 deficit of 11.7 points is real. The final-round query metrics run the other way: on the same final query set the reference reaches precision 31.01, AUC 64.00 and recall 27.50, while AMDL reaches precision 42.13, AUC 85.49 and recall 83.59. Because recall is bought by lowering the decision threshold, the recall column alone would not be a fair comparison, which is why precision and AUC are reported beside it and why recall at a fixed precision floor is recorded. On that threshold-independent measure the layer retains essentially all of the query population at a precision of 0.30. Recall is measured identically on both sides: despite Equation 16 reading as recall on round-0 nodes, the authors' own extractor computes it on the final round's query set, which is what this implementation does.</w:t>
      </w:r>
    </w:p>
    <w:p>
      <w:pPr>
        <w:keepNext w:val="0"/>
        <w:spacing w:before="0" w:after="0" w:line="208" w:lineRule="exact"/>
        <w:ind w:firstLine="0" w:left="0"/>
        <w:jc w:val="both"/>
      </w:pPr>
      <w:r>
        <w:rPr>
          <w:rFonts w:ascii="Times New Roman" w:hAnsi="Times New Roman" w:cs="Times New Roman" w:eastAsia="Times New Roman"/>
          <w:b/>
          <w:i w:val="0"/>
          <w:sz w:val="17"/>
        </w:rPr>
        <w:t>Finding 3 — an earlier claim to beat the reference was retracted.</w:t>
      </w:r>
      <w:r>
        <w:rPr>
          <w:rFonts w:ascii="Times New Roman" w:hAnsi="Times New Roman" w:cs="Times New Roman" w:eastAsia="Times New Roman"/>
          <w:b w:val="0"/>
          <w:i w:val="0"/>
          <w:sz w:val="17"/>
        </w:rPr>
        <w:t xml:space="preserve"> An intermediate configuration reported an average on-round F</w:t>
      </w:r>
      <w:r>
        <w:rPr>
          <w:rFonts w:ascii="Times New Roman" w:hAnsi="Times New Roman" w:cs="Times New Roman" w:eastAsia="Times New Roman"/>
          <w:b w:val="0"/>
          <w:i w:val="0"/>
          <w:sz w:val="17"/>
          <w:vertAlign w:val="subscript"/>
        </w:rPr>
        <w:t>1</w:t>
      </w:r>
      <w:r>
        <w:rPr>
          <w:rFonts w:ascii="Times New Roman" w:hAnsi="Times New Roman" w:cs="Times New Roman" w:eastAsia="Times New Roman"/>
          <w:b w:val="0"/>
          <w:i w:val="0"/>
          <w:sz w:val="17"/>
        </w:rPr>
        <w:t xml:space="preserve"> of 70.0 and was announced as exceeding the reference on all four metrics. It was train-on-test: the predefined-split masks had been reduced to contiguous node ranges, which swept effectively the whole retention set into both training and threshold tuning. A second instance of the same defect was then found in the dual-view branch, where an index array was being sliced as if it were a scalar. Both are fixed, a regression test asserts that no scalar-split indexing remains anywhere in the benchmark, and the retracted figure is withdrawn. The corrected numbers are those in Finding 2. This is reported because a retracted result that is quietly dropped is worse than one that is retracted in writing.</w:t>
      </w:r>
    </w:p>
    <w:p>
      <w:pPr>
        <w:keepNext w:val="0"/>
        <w:spacing w:before="0" w:after="0" w:line="208" w:lineRule="exact"/>
        <w:ind w:firstLine="0" w:left="0"/>
        <w:jc w:val="both"/>
      </w:pPr>
      <w:r>
        <w:rPr>
          <w:rFonts w:ascii="Times New Roman" w:hAnsi="Times New Roman" w:cs="Times New Roman" w:eastAsia="Times New Roman"/>
          <w:b/>
          <w:i w:val="0"/>
          <w:sz w:val="17"/>
        </w:rPr>
        <w:t>Finding 4 — a configuration guard silently disabled the reference encoder.</w:t>
      </w:r>
      <w:r>
        <w:rPr>
          <w:rFonts w:ascii="Times New Roman" w:hAnsi="Times New Roman" w:cs="Times New Roman" w:eastAsia="Times New Roman"/>
          <w:b w:val="0"/>
          <w:i w:val="0"/>
          <w:sz w:val="17"/>
        </w:rPr>
        <w:t xml:space="preserve"> The adapter for the authors' own embedder was measured at a round-0 F</w:t>
      </w:r>
      <w:r>
        <w:rPr>
          <w:rFonts w:ascii="Times New Roman" w:hAnsi="Times New Roman" w:cs="Times New Roman" w:eastAsia="Times New Roman"/>
          <w:b w:val="0"/>
          <w:i w:val="0"/>
          <w:sz w:val="17"/>
          <w:vertAlign w:val="subscript"/>
        </w:rPr>
        <w:t>1</w:t>
      </w:r>
      <w:r>
        <w:rPr>
          <w:rFonts w:ascii="Times New Roman" w:hAnsi="Times New Roman" w:cs="Times New Roman" w:eastAsia="Times New Roman"/>
          <w:b w:val="0"/>
          <w:i w:val="0"/>
          <w:sz w:val="17"/>
        </w:rPr>
        <w:t xml:space="preserve"> of 54.79 when untrained and 55.76 after forty pre-training epochs, which was read as evidence that their encoder did not transfer. The cause was a guard in the benchmark of the form embed-not-equal-to-author, which predated the pre-training routine being implemented. Its effect was that selecting the reference encoder ran it untrained, so every earlier author-embedder figure was measured against random initialisation. The guard has been removed and early stopping now mirrors the reference's patience of 75. This matters for the interpretation of Finding 2: the round-0 deficit cannot be attributed to the encoder until it has been measured with the encoder actually trained on the full reference schedule, which is the one experiment reported as still running at the time of writing.</w:t>
      </w:r>
    </w:p>
    <w:p>
      <w:pPr>
        <w:keepNext w:val="0"/>
        <w:spacing w:before="0" w:after="0" w:line="208" w:lineRule="exact"/>
        <w:ind w:firstLine="0" w:left="0"/>
        <w:jc w:val="both"/>
      </w:pPr>
      <w:r>
        <w:rPr>
          <w:rFonts w:ascii="Times New Roman" w:hAnsi="Times New Roman" w:cs="Times New Roman" w:eastAsia="Times New Roman"/>
          <w:b w:val="0"/>
          <w:i w:val="0"/>
          <w:sz w:val="17"/>
        </w:rPr>
        <w:t>One further measurement bears on the pre-training hypothesis, which an earlier draft reported as refuted. Pre-training the ported encoder on the three objectives for sixty epochs left round-0 F</w:t>
      </w:r>
      <w:r>
        <w:rPr>
          <w:rFonts w:ascii="Times New Roman" w:hAnsi="Times New Roman" w:cs="Times New Roman" w:eastAsia="Times New Roman"/>
          <w:b w:val="0"/>
          <w:i w:val="0"/>
          <w:sz w:val="17"/>
          <w:vertAlign w:val="subscript"/>
        </w:rPr>
        <w:t>1</w:t>
      </w:r>
      <w:r>
        <w:rPr>
          <w:rFonts w:ascii="Times New Roman" w:hAnsi="Times New Roman" w:cs="Times New Roman" w:eastAsia="Times New Roman"/>
          <w:b w:val="0"/>
          <w:i w:val="0"/>
          <w:sz w:val="17"/>
        </w:rPr>
        <w:t xml:space="preserve"> at 0.568 against 0.567 and average on-round F</w:t>
      </w:r>
      <w:r>
        <w:rPr>
          <w:rFonts w:ascii="Times New Roman" w:hAnsi="Times New Roman" w:cs="Times New Roman" w:eastAsia="Times New Roman"/>
          <w:b w:val="0"/>
          <w:i w:val="0"/>
          <w:sz w:val="17"/>
          <w:vertAlign w:val="subscript"/>
        </w:rPr>
        <w:t>1</w:t>
      </w:r>
      <w:r>
        <w:rPr>
          <w:rFonts w:ascii="Times New Roman" w:hAnsi="Times New Roman" w:cs="Times New Roman" w:eastAsia="Times New Roman"/>
          <w:b w:val="0"/>
          <w:i w:val="0"/>
          <w:sz w:val="17"/>
        </w:rPr>
        <w:t xml:space="preserve"> at 0.387 against 0.391, while multiplying wall-clock time by 4.3. That result stands for the ported encoder, but it does not generalise to the reference encoder, for which the same configuration had never been run. Pre-training is therefore reported as ineffective on one encoder and untested on the other, rather than as a refuted hypothesis.</w:t>
      </w:r>
    </w:p>
    <w:p>
      <w:pPr>
        <w:keepNext/>
        <w:spacing w:before="160" w:after="60" w:line="200" w:lineRule="exact"/>
        <w:ind w:firstLine="0" w:left="0"/>
        <w:jc w:val="center"/>
      </w:pPr>
      <w:r>
        <w:drawing>
          <wp:inline xmlns:a="http://schemas.openxmlformats.org/drawingml/2006/main" xmlns:pic="http://schemas.openxmlformats.org/drawingml/2006/picture">
            <wp:extent cx="3238754" cy="3895892"/>
            <wp:docPr id="2" name="Picture 2"/>
            <wp:cNvGraphicFramePr>
              <a:graphicFrameLocks noChangeAspect="1"/>
            </wp:cNvGraphicFramePr>
            <a:graphic>
              <a:graphicData uri="http://schemas.openxmlformats.org/drawingml/2006/picture">
                <pic:pic>
                  <pic:nvPicPr>
                    <pic:cNvPr id="0" name="fig2_architecture.png"/>
                    <pic:cNvPicPr/>
                  </pic:nvPicPr>
                  <pic:blipFill>
                    <a:blip r:embed="rId10"/>
                    <a:stretch>
                      <a:fillRect/>
                    </a:stretch>
                  </pic:blipFill>
                  <pic:spPr>
                    <a:xfrm>
                      <a:off x="0" y="0"/>
                      <a:ext cx="3238754" cy="3895892"/>
                    </a:xfrm>
                    <a:prstGeom prst="rect"/>
                  </pic:spPr>
                </pic:pic>
              </a:graphicData>
            </a:graphic>
          </wp:inline>
        </w:drawing>
      </w:r>
    </w:p>
    <w:p>
      <w:pPr>
        <w:keepNext w:val="0"/>
        <w:spacing w:before="0" w:after="160" w:line="188" w:lineRule="exact"/>
        <w:ind w:firstLine="0" w:left="0"/>
        <w:jc w:val="both"/>
      </w:pPr>
      <w:r>
        <w:rPr>
          <w:rFonts w:ascii="Times New Roman" w:hAnsi="Times New Roman" w:cs="Times New Roman" w:eastAsia="Times New Roman"/>
          <w:b w:val="0"/>
          <w:i w:val="0"/>
          <w:sz w:val="15"/>
        </w:rPr>
        <w:t>Figure 2. AMDL-TPNE pipeline. The scenario produces a test graph, a query graph and a cumulative support graph; the embedder supplies a 384-dimensional representation; AMDL fuses three warm-started learners and returns a decision. The dashed path is the feedback by which the adversary is re-aimed at the current miss set.</w:t>
      </w:r>
    </w:p>
    <w:p>
      <w:pPr>
        <w:keepNext w:val="0"/>
        <w:spacing w:before="0" w:after="0" w:line="208" w:lineRule="exact"/>
        <w:ind w:firstLine="0" w:left="0"/>
        <w:jc w:val="both"/>
      </w:pPr>
      <w:r>
        <w:rPr>
          <w:rFonts w:ascii="Times New Roman" w:hAnsi="Times New Roman" w:cs="Times New Roman" w:eastAsia="Times New Roman"/>
          <w:b w:val="0"/>
          <w:i w:val="0"/>
          <w:sz w:val="17"/>
        </w:rPr>
        <w:t>A fifth observation concerns the transaction stream, where labels exist and the round protocol does not apply. On a strictly temporal holdout — the trailing slice is disjoint from every fit, and the source file is ordered by time — the ensemble attained F</w:t>
      </w:r>
      <w:r>
        <w:rPr>
          <w:rFonts w:ascii="Times New Roman" w:hAnsi="Times New Roman" w:cs="Times New Roman" w:eastAsia="Times New Roman"/>
          <w:b w:val="0"/>
          <w:i w:val="0"/>
          <w:sz w:val="17"/>
          <w:vertAlign w:val="subscript"/>
        </w:rPr>
        <w:t>1</w:t>
      </w:r>
      <w:r>
        <w:rPr>
          <w:rFonts w:ascii="Times New Roman" w:hAnsi="Times New Roman" w:cs="Times New Roman" w:eastAsia="Times New Roman"/>
          <w:b w:val="0"/>
          <w:i w:val="0"/>
          <w:sz w:val="17"/>
        </w:rPr>
        <w:t xml:space="preserve"> 0.156 and ROC-AUC 0.731 at 40,000 events and F</w:t>
      </w:r>
      <w:r>
        <w:rPr>
          <w:rFonts w:ascii="Times New Roman" w:hAnsi="Times New Roman" w:cs="Times New Roman" w:eastAsia="Times New Roman"/>
          <w:b w:val="0"/>
          <w:i w:val="0"/>
          <w:sz w:val="17"/>
          <w:vertAlign w:val="subscript"/>
        </w:rPr>
        <w:t>1</w:t>
      </w:r>
      <w:r>
        <w:rPr>
          <w:rFonts w:ascii="Times New Roman" w:hAnsi="Times New Roman" w:cs="Times New Roman" w:eastAsia="Times New Roman"/>
          <w:b w:val="0"/>
          <w:i w:val="0"/>
          <w:sz w:val="17"/>
        </w:rPr>
        <w:t xml:space="preserve"> 0.137 and ROC-AUC 0.716 at 150,000 events, with precision-recall AUC of 0.099 and 0.076 respectively. The ensemble was not the best single member on F</w:t>
      </w:r>
      <w:r>
        <w:rPr>
          <w:rFonts w:ascii="Times New Roman" w:hAnsi="Times New Roman" w:cs="Times New Roman" w:eastAsia="Times New Roman"/>
          <w:b w:val="0"/>
          <w:i w:val="0"/>
          <w:sz w:val="17"/>
          <w:vertAlign w:val="subscript"/>
        </w:rPr>
        <w:t>1</w:t>
      </w:r>
      <w:r>
        <w:rPr>
          <w:rFonts w:ascii="Times New Roman" w:hAnsi="Times New Roman" w:cs="Times New Roman" w:eastAsia="Times New Roman"/>
          <w:b w:val="0"/>
          <w:i w:val="0"/>
          <w:sz w:val="17"/>
        </w:rPr>
        <w:t xml:space="preserve"> at a fixed threshold of 0.50; ExtraTrees reached 0.167 on the smaller slice. This is the expected behaviour when members are strongly correlated, and it is a further argument for reporting the full metric set rather than F</w:t>
      </w:r>
      <w:r>
        <w:rPr>
          <w:rFonts w:ascii="Times New Roman" w:hAnsi="Times New Roman" w:cs="Times New Roman" w:eastAsia="Times New Roman"/>
          <w:b w:val="0"/>
          <w:i w:val="0"/>
          <w:sz w:val="17"/>
          <w:vertAlign w:val="subscript"/>
        </w:rPr>
        <w:t>1</w:t>
      </w:r>
      <w:r>
        <w:rPr>
          <w:rFonts w:ascii="Times New Roman" w:hAnsi="Times New Roman" w:cs="Times New Roman" w:eastAsia="Times New Roman"/>
          <w:b w:val="0"/>
          <w:i w:val="0"/>
          <w:sz w:val="17"/>
        </w:rPr>
        <w:t xml:space="preserve"> alone. These figures were measured while the corpus was present and cannot currently be regenerated, because the file is licence-gated and was never committed; they are reproduced here for completeness and are labelled as not currently reproducible.</w:t>
      </w:r>
    </w:p>
    <w:p>
      <w:pPr>
        <w:keepNext w:val="0"/>
        <w:spacing w:before="0" w:after="0" w:line="208" w:lineRule="exact"/>
        <w:ind w:firstLine="0" w:left="0"/>
        <w:jc w:val="both"/>
      </w:pPr>
      <w:r>
        <w:rPr>
          <w:rFonts w:ascii="Times New Roman" w:hAnsi="Times New Roman" w:cs="Times New Roman" w:eastAsia="Times New Roman"/>
          <w:b w:val="0"/>
          <w:i w:val="0"/>
          <w:sz w:val="17"/>
        </w:rPr>
        <w:t>Finally, three defects in earlier measurements were found and corrected, and the corrections are reported because they changed conclusions. A leak had added the round-0 holdout to the training set, which inflated retention by 14.75 F</w:t>
      </w:r>
      <w:r>
        <w:rPr>
          <w:rFonts w:ascii="Times New Roman" w:hAnsi="Times New Roman" w:cs="Times New Roman" w:eastAsia="Times New Roman"/>
          <w:b w:val="0"/>
          <w:i w:val="0"/>
          <w:sz w:val="17"/>
          <w:vertAlign w:val="subscript"/>
        </w:rPr>
        <w:t>1</w:t>
      </w:r>
      <w:r>
        <w:rPr>
          <w:rFonts w:ascii="Times New Roman" w:hAnsi="Times New Roman" w:cs="Times New Roman" w:eastAsia="Times New Roman"/>
          <w:b w:val="0"/>
          <w:i w:val="0"/>
          <w:sz w:val="17"/>
        </w:rPr>
        <w:t xml:space="preserve"> points. A throughput figure had excluded queue wait and pacing, which inflated events per second. And a claim that a scam-address list never reaches the training path was false: it is consumed as a real label by the label bridge. The relevant general point is that a liveness metric computed on the same data the model was fitted on is not a result, and it should never be quoted beside one.</w:t>
      </w:r>
    </w:p>
    <w:p>
      <w:pPr>
        <w:keepNext w:val="0"/>
        <w:spacing w:before="0" w:after="0" w:line="208" w:lineRule="exact"/>
        <w:ind w:firstLine="0" w:left="0"/>
        <w:jc w:val="both"/>
      </w:pPr>
      <w:r>
        <w:rPr>
          <w:rFonts w:ascii="Times New Roman" w:hAnsi="Times New Roman" w:cs="Times New Roman" w:eastAsia="Times New Roman"/>
          <w:b w:val="0"/>
          <w:i w:val="0"/>
          <w:sz w:val="17"/>
        </w:rPr>
        <w:t>Two properties of the experimental setup limit how far these numbers travel. The first is that the scenario is a re-implementation. Its graph loader, node ordering, label convention and metric extraction were checked against the released reference, and the reference's own five-trial control reproduces its published figures, which is strong evidence that the metric definitions agree. It is not proof that node ordering and tie-breaking agree, and a discrepancy in either would move every reported number without changing any of the code under test. The second is that several components have two implementations that are selected by configuration: the offline and incremental embedders, the four node-modification policies, the three seed-selection policies and the three augmentation policies are all switchable, and the reported runs did not always use the same switch values. Two scripts in the repository still hard-code a modification policy that the default has since changed away from, which means a result from one script and a result from the other are not comparable. Both conditions are fixable and both should be fixed before any of the numbers here are quoted externally.</w:t>
      </w:r>
    </w:p>
    <w:p>
      <w:pPr>
        <w:keepNext/>
        <w:spacing w:before="180" w:after="80" w:line="250" w:lineRule="exact"/>
        <w:ind w:firstLine="0" w:left="0"/>
        <w:jc w:val="center"/>
      </w:pPr>
      <w:r>
        <w:rPr>
          <w:rFonts w:ascii="Times New Roman" w:hAnsi="Times New Roman" w:cs="Times New Roman" w:eastAsia="Times New Roman"/>
          <w:b/>
          <w:i w:val="0"/>
          <w:smallCaps/>
          <w:sz w:val="20"/>
        </w:rPr>
        <w:t>6. CHALLENGES AND RESEARCH GAPS</w:t>
      </w:r>
    </w:p>
    <w:p>
      <w:pPr>
        <w:keepNext w:val="0"/>
        <w:spacing w:before="0" w:after="0" w:line="208" w:lineRule="exact"/>
        <w:ind w:firstLine="0" w:left="0"/>
        <w:jc w:val="both"/>
      </w:pPr>
      <w:r>
        <w:rPr>
          <w:rFonts w:ascii="Times New Roman" w:hAnsi="Times New Roman" w:cs="Times New Roman" w:eastAsia="Times New Roman"/>
          <w:b w:val="0"/>
          <w:i w:val="0"/>
          <w:sz w:val="17"/>
        </w:rPr>
        <w:t>The measurements in Section 5 leave five problems open, and Table 2 states each as a gap with a direction rather than as a deficiency alone.</w:t>
      </w:r>
    </w:p>
    <w:p>
      <w:pPr>
        <w:keepNext w:val="0"/>
        <w:spacing w:before="0" w:after="0" w:line="208" w:lineRule="exact"/>
        <w:ind w:firstLine="0" w:left="0"/>
        <w:jc w:val="both"/>
      </w:pPr>
      <w:r>
        <w:rPr>
          <w:rFonts w:ascii="Times New Roman" w:hAnsi="Times New Roman" w:cs="Times New Roman" w:eastAsia="Times New Roman"/>
          <w:b w:val="0"/>
          <w:i w:val="0"/>
          <w:sz w:val="17"/>
        </w:rPr>
        <w:t>The first is variance. A framework whose headline differences are smaller than its run-to-run spread cannot be evaluated by single trials, and the present study does not yet meet that standard. The second is gradient flow. The offline arm measures the three TPNE objectives but does not optimise them, so the encoder is a fixed random-propagation feature map rather than a trained one; this is the most likely single cause of the gap to [1] and the most tractable to fix. The third is horizon. Three rounds is short. An adversarial protocol evaluated over three rounds cannot exhibit the long-horizon degradation that motivates the work, and the incremental embedder exists precisely to make longer horizons affordable, but it has not yet been run over one. The fourth is domain. Only one of the six graphs used in [1] is publicly available; the remainder must be requested from the corresponding author, and until they are obtained, every result here is single-domain. The fifth is the absence of a graph in the streaming setting, which is where the operational value of the detection layer would be realised.</w:t>
      </w:r>
    </w:p>
    <w:p>
      <w:pPr>
        <w:keepNext/>
        <w:spacing w:before="180" w:after="60" w:line="188" w:lineRule="exact"/>
        <w:ind w:firstLine="0" w:left="0"/>
        <w:jc w:val="center"/>
      </w:pPr>
      <w:r>
        <w:rPr>
          <w:rFonts w:ascii="Times New Roman" w:hAnsi="Times New Roman" w:cs="Times New Roman" w:eastAsia="Times New Roman"/>
          <w:b w:val="0"/>
          <w:i w:val="0"/>
          <w:sz w:val="15"/>
        </w:rPr>
        <w:t>Table 2. Observed limitations, resulting gaps and the direction adopted for each.</w:t>
      </w:r>
    </w:p>
    <w:tbl>
      <w:tblPr>
        <w:tblW w:type="auto" w:w="0"/>
        <w:jc w:val="center"/>
        <w:tblLayout w:type="fixed"/>
        <w:tblLook w:firstColumn="1" w:firstRow="1" w:lastColumn="0" w:lastRow="0" w:noHBand="0" w:noVBand="1" w:val="04A0"/>
        <w:tblBorders>
          <w:top w:val="none" w:sz="0"/>
          <w:left w:val="none" w:sz="0"/>
          <w:bottom w:val="none" w:sz="0"/>
          <w:right w:val="none" w:sz="0"/>
          <w:insideH w:val="none" w:sz="0"/>
          <w:insideV w:val="none" w:sz="0"/>
        </w:tblBorders>
      </w:tblPr>
      <w:tblGrid>
        <w:gridCol w:w="2647"/>
        <w:gridCol w:w="2647"/>
        <w:gridCol w:w="2647"/>
        <w:gridCol w:w="2647"/>
      </w:tblGrid>
      <w:tr>
        <w:tc>
          <w:tcPr>
            <w:tcW w:type="dxa" w:w="1199"/>
            <w:tcBorders>
              <w:top w:val="single" w:sz="8" w:space="0" w:color="000000"/>
              <w:bottom w:val="single" w:sz="6" w:space="0" w:color="000000"/>
            </w:tcBorders>
          </w:tcPr>
          <w:p>
            <w:pPr>
              <w:spacing w:before="24" w:after="24" w:line="168" w:lineRule="exact"/>
              <w:jc w:val="left"/>
            </w:pPr>
            <w:r>
              <w:rPr>
                <w:rFonts w:ascii="Times New Roman" w:hAnsi="Times New Roman" w:cs="Times New Roman" w:eastAsia="Times New Roman"/>
                <w:b/>
                <w:i w:val="0"/>
                <w:sz w:val="12"/>
              </w:rPr>
              <w:t>Existing approach</w:t>
            </w:r>
          </w:p>
        </w:tc>
        <w:tc>
          <w:tcPr>
            <w:tcW w:type="dxa" w:w="1250"/>
            <w:tcBorders>
              <w:top w:val="single" w:sz="8" w:space="0" w:color="000000"/>
              <w:bottom w:val="single" w:sz="6" w:space="0" w:color="000000"/>
            </w:tcBorders>
          </w:tcPr>
          <w:p>
            <w:pPr>
              <w:spacing w:before="24" w:after="24" w:line="168" w:lineRule="exact"/>
              <w:jc w:val="left"/>
            </w:pPr>
            <w:r>
              <w:rPr>
                <w:rFonts w:ascii="Times New Roman" w:hAnsi="Times New Roman" w:cs="Times New Roman" w:eastAsia="Times New Roman"/>
                <w:b/>
                <w:i w:val="0"/>
                <w:sz w:val="12"/>
              </w:rPr>
              <w:t>Observed limitation</w:t>
            </w:r>
          </w:p>
        </w:tc>
        <w:tc>
          <w:tcPr>
            <w:tcW w:type="dxa" w:w="1250"/>
            <w:tcBorders>
              <w:top w:val="single" w:sz="8" w:space="0" w:color="000000"/>
              <w:bottom w:val="single" w:sz="6" w:space="0" w:color="000000"/>
            </w:tcBorders>
          </w:tcPr>
          <w:p>
            <w:pPr>
              <w:spacing w:before="24" w:after="24" w:line="168" w:lineRule="exact"/>
              <w:jc w:val="left"/>
            </w:pPr>
            <w:r>
              <w:rPr>
                <w:rFonts w:ascii="Times New Roman" w:hAnsi="Times New Roman" w:cs="Times New Roman" w:eastAsia="Times New Roman"/>
                <w:b/>
                <w:i w:val="0"/>
                <w:sz w:val="12"/>
              </w:rPr>
              <w:t>Research gap</w:t>
            </w:r>
          </w:p>
        </w:tc>
        <w:tc>
          <w:tcPr>
            <w:tcW w:type="dxa" w:w="1403"/>
            <w:tcBorders>
              <w:top w:val="single" w:sz="8" w:space="0" w:color="000000"/>
              <w:bottom w:val="single" w:sz="6" w:space="0" w:color="000000"/>
            </w:tcBorders>
          </w:tcPr>
          <w:p>
            <w:pPr>
              <w:spacing w:before="24" w:after="24" w:line="168" w:lineRule="exact"/>
              <w:jc w:val="left"/>
            </w:pPr>
            <w:r>
              <w:rPr>
                <w:rFonts w:ascii="Times New Roman" w:hAnsi="Times New Roman" w:cs="Times New Roman" w:eastAsia="Times New Roman"/>
                <w:b/>
                <w:i w:val="0"/>
                <w:sz w:val="12"/>
              </w:rPr>
              <w:t>Direction adopted</w:t>
            </w:r>
          </w:p>
        </w:tc>
      </w:tr>
      <w:tr>
        <w:tc>
          <w:tcPr>
            <w:tcW w:type="dxa" w:w="1199"/>
          </w:tcPr>
          <w:p>
            <w:pPr>
              <w:spacing w:before="24" w:after="24" w:line="168" w:lineRule="exact"/>
              <w:jc w:val="left"/>
            </w:pPr>
            <w:r>
              <w:rPr>
                <w:rFonts w:ascii="Times New Roman" w:hAnsi="Times New Roman" w:cs="Times New Roman" w:eastAsia="Times New Roman"/>
                <w:b w:val="0"/>
                <w:i w:val="0"/>
                <w:sz w:val="12"/>
              </w:rPr>
              <w:t>Single boosted head [1]</w:t>
            </w:r>
          </w:p>
        </w:tc>
        <w:tc>
          <w:tcPr>
            <w:tcW w:type="dxa" w:w="1250"/>
          </w:tcPr>
          <w:p>
            <w:pPr>
              <w:spacing w:before="24" w:after="24" w:line="168" w:lineRule="exact"/>
              <w:jc w:val="left"/>
            </w:pPr>
            <w:r>
              <w:rPr>
                <w:rFonts w:ascii="Times New Roman" w:hAnsi="Times New Roman" w:cs="Times New Roman" w:eastAsia="Times New Roman"/>
                <w:b w:val="0"/>
                <w:i w:val="0"/>
                <w:sz w:val="12"/>
              </w:rPr>
              <w:t>one inductive bias, no fallback</w:t>
            </w:r>
          </w:p>
        </w:tc>
        <w:tc>
          <w:tcPr>
            <w:tcW w:type="dxa" w:w="1250"/>
          </w:tcPr>
          <w:p>
            <w:pPr>
              <w:spacing w:before="24" w:after="24" w:line="168" w:lineRule="exact"/>
              <w:jc w:val="left"/>
            </w:pPr>
            <w:r>
              <w:rPr>
                <w:rFonts w:ascii="Times New Roman" w:hAnsi="Times New Roman" w:cs="Times New Roman" w:eastAsia="Times New Roman"/>
                <w:b w:val="0"/>
                <w:i w:val="0"/>
                <w:sz w:val="12"/>
              </w:rPr>
              <w:t>isolate the head's contribution</w:t>
            </w:r>
          </w:p>
        </w:tc>
        <w:tc>
          <w:tcPr>
            <w:tcW w:type="dxa" w:w="1403"/>
          </w:tcPr>
          <w:p>
            <w:pPr>
              <w:spacing w:before="24" w:after="24" w:line="168" w:lineRule="exact"/>
              <w:jc w:val="left"/>
            </w:pPr>
            <w:r>
              <w:rPr>
                <w:rFonts w:ascii="Times New Roman" w:hAnsi="Times New Roman" w:cs="Times New Roman" w:eastAsia="Times New Roman"/>
                <w:b w:val="0"/>
                <w:i w:val="0"/>
                <w:sz w:val="12"/>
              </w:rPr>
              <w:t>AMDL: three heterogeneous learners</w:t>
            </w:r>
          </w:p>
        </w:tc>
      </w:tr>
      <w:tr>
        <w:tc>
          <w:tcPr>
            <w:tcW w:type="dxa" w:w="1199"/>
          </w:tcPr>
          <w:p>
            <w:pPr>
              <w:spacing w:before="24" w:after="24" w:line="168" w:lineRule="exact"/>
              <w:jc w:val="left"/>
            </w:pPr>
            <w:r>
              <w:rPr>
                <w:rFonts w:ascii="Times New Roman" w:hAnsi="Times New Roman" w:cs="Times New Roman" w:eastAsia="Times New Roman"/>
                <w:b w:val="0"/>
                <w:i w:val="0"/>
                <w:sz w:val="12"/>
              </w:rPr>
              <w:t>Offline window replay</w:t>
            </w:r>
          </w:p>
        </w:tc>
        <w:tc>
          <w:tcPr>
            <w:tcW w:type="dxa" w:w="1250"/>
          </w:tcPr>
          <w:p>
            <w:pPr>
              <w:spacing w:before="24" w:after="24" w:line="168" w:lineRule="exact"/>
              <w:jc w:val="left"/>
            </w:pPr>
            <w:r>
              <w:rPr>
                <w:rFonts w:ascii="Times New Roman" w:hAnsi="Times New Roman" w:cs="Times New Roman" w:eastAsia="Times New Roman"/>
                <w:b w:val="0"/>
                <w:i w:val="0"/>
                <w:sz w:val="12"/>
              </w:rPr>
              <w:t>cost scales with round window</w:t>
            </w:r>
          </w:p>
        </w:tc>
        <w:tc>
          <w:tcPr>
            <w:tcW w:type="dxa" w:w="1250"/>
          </w:tcPr>
          <w:p>
            <w:pPr>
              <w:spacing w:before="24" w:after="24" w:line="168" w:lineRule="exact"/>
              <w:jc w:val="left"/>
            </w:pPr>
            <w:r>
              <w:rPr>
                <w:rFonts w:ascii="Times New Roman" w:hAnsi="Times New Roman" w:cs="Times New Roman" w:eastAsia="Times New Roman"/>
                <w:b w:val="0"/>
                <w:i w:val="0"/>
                <w:sz w:val="12"/>
              </w:rPr>
              <w:t>long-horizon evaluation is unaffordable</w:t>
            </w:r>
          </w:p>
        </w:tc>
        <w:tc>
          <w:tcPr>
            <w:tcW w:type="dxa" w:w="1403"/>
          </w:tcPr>
          <w:p>
            <w:pPr>
              <w:spacing w:before="24" w:after="24" w:line="168" w:lineRule="exact"/>
              <w:jc w:val="left"/>
            </w:pPr>
            <w:r>
              <w:rPr>
                <w:rFonts w:ascii="Times New Roman" w:hAnsi="Times New Roman" w:cs="Times New Roman" w:eastAsia="Times New Roman"/>
                <w:b w:val="0"/>
                <w:i w:val="0"/>
                <w:sz w:val="12"/>
              </w:rPr>
              <w:t>incremental delta encoding</w:t>
            </w:r>
          </w:p>
        </w:tc>
      </w:tr>
      <w:tr>
        <w:tc>
          <w:tcPr>
            <w:tcW w:type="dxa" w:w="1199"/>
          </w:tcPr>
          <w:p>
            <w:pPr>
              <w:spacing w:before="24" w:after="24" w:line="168" w:lineRule="exact"/>
              <w:jc w:val="left"/>
            </w:pPr>
            <w:r>
              <w:rPr>
                <w:rFonts w:ascii="Times New Roman" w:hAnsi="Times New Roman" w:cs="Times New Roman" w:eastAsia="Times New Roman"/>
                <w:b w:val="0"/>
                <w:i w:val="0"/>
                <w:sz w:val="12"/>
              </w:rPr>
              <w:t>Measured, unoptimised objectives</w:t>
            </w:r>
          </w:p>
        </w:tc>
        <w:tc>
          <w:tcPr>
            <w:tcW w:type="dxa" w:w="1250"/>
          </w:tcPr>
          <w:p>
            <w:pPr>
              <w:spacing w:before="24" w:after="24" w:line="168" w:lineRule="exact"/>
              <w:jc w:val="left"/>
            </w:pPr>
            <w:r>
              <w:rPr>
                <w:rFonts w:ascii="Times New Roman" w:hAnsi="Times New Roman" w:cs="Times New Roman" w:eastAsia="Times New Roman"/>
                <w:b w:val="0"/>
                <w:i w:val="0"/>
                <w:sz w:val="12"/>
              </w:rPr>
              <w:t>encoder is a fixed feature map</w:t>
            </w:r>
          </w:p>
        </w:tc>
        <w:tc>
          <w:tcPr>
            <w:tcW w:type="dxa" w:w="1250"/>
          </w:tcPr>
          <w:p>
            <w:pPr>
              <w:spacing w:before="24" w:after="24" w:line="168" w:lineRule="exact"/>
              <w:jc w:val="left"/>
            </w:pPr>
            <w:r>
              <w:rPr>
                <w:rFonts w:ascii="Times New Roman" w:hAnsi="Times New Roman" w:cs="Times New Roman" w:eastAsia="Times New Roman"/>
                <w:b w:val="0"/>
                <w:i w:val="0"/>
                <w:sz w:val="12"/>
              </w:rPr>
              <w:t>gap to the reference is unexplained</w:t>
            </w:r>
          </w:p>
        </w:tc>
        <w:tc>
          <w:tcPr>
            <w:tcW w:type="dxa" w:w="1403"/>
          </w:tcPr>
          <w:p>
            <w:pPr>
              <w:spacing w:before="24" w:after="24" w:line="168" w:lineRule="exact"/>
              <w:jc w:val="left"/>
            </w:pPr>
            <w:r>
              <w:rPr>
                <w:rFonts w:ascii="Times New Roman" w:hAnsi="Times New Roman" w:cs="Times New Roman" w:eastAsia="Times New Roman"/>
                <w:b w:val="0"/>
                <w:i w:val="0"/>
                <w:sz w:val="12"/>
              </w:rPr>
              <w:t>gradient path through propagation</w:t>
            </w:r>
          </w:p>
        </w:tc>
      </w:tr>
      <w:tr>
        <w:tc>
          <w:tcPr>
            <w:tcW w:type="dxa" w:w="1199"/>
          </w:tcPr>
          <w:p>
            <w:pPr>
              <w:spacing w:before="24" w:after="24" w:line="168" w:lineRule="exact"/>
              <w:jc w:val="left"/>
            </w:pPr>
            <w:r>
              <w:rPr>
                <w:rFonts w:ascii="Times New Roman" w:hAnsi="Times New Roman" w:cs="Times New Roman" w:eastAsia="Times New Roman"/>
                <w:b w:val="0"/>
                <w:i w:val="0"/>
                <w:sz w:val="12"/>
              </w:rPr>
              <w:t>Query-only evaluation</w:t>
            </w:r>
          </w:p>
        </w:tc>
        <w:tc>
          <w:tcPr>
            <w:tcW w:type="dxa" w:w="1250"/>
          </w:tcPr>
          <w:p>
            <w:pPr>
              <w:spacing w:before="24" w:after="24" w:line="168" w:lineRule="exact"/>
              <w:jc w:val="left"/>
            </w:pPr>
            <w:r>
              <w:rPr>
                <w:rFonts w:ascii="Times New Roman" w:hAnsi="Times New Roman" w:cs="Times New Roman" w:eastAsia="Times New Roman"/>
                <w:b w:val="0"/>
                <w:i w:val="0"/>
                <w:sz w:val="12"/>
              </w:rPr>
              <w:t>adversarial nodes never trained on</w:t>
            </w:r>
          </w:p>
        </w:tc>
        <w:tc>
          <w:tcPr>
            <w:tcW w:type="dxa" w:w="1250"/>
          </w:tcPr>
          <w:p>
            <w:pPr>
              <w:spacing w:before="24" w:after="24" w:line="168" w:lineRule="exact"/>
              <w:jc w:val="left"/>
            </w:pPr>
            <w:r>
              <w:rPr>
                <w:rFonts w:ascii="Times New Roman" w:hAnsi="Times New Roman" w:cs="Times New Roman" w:eastAsia="Times New Roman"/>
                <w:b w:val="0"/>
                <w:i w:val="0"/>
                <w:sz w:val="12"/>
              </w:rPr>
              <w:t>adaptation is never measured</w:t>
            </w:r>
          </w:p>
        </w:tc>
        <w:tc>
          <w:tcPr>
            <w:tcW w:type="dxa" w:w="1403"/>
          </w:tcPr>
          <w:p>
            <w:pPr>
              <w:spacing w:before="24" w:after="24" w:line="168" w:lineRule="exact"/>
              <w:jc w:val="left"/>
            </w:pPr>
            <w:r>
              <w:rPr>
                <w:rFonts w:ascii="Times New Roman" w:hAnsi="Times New Roman" w:cs="Times New Roman" w:eastAsia="Times New Roman"/>
                <w:b w:val="0"/>
                <w:i w:val="0"/>
                <w:sz w:val="12"/>
              </w:rPr>
              <w:t>cumulative support graph</w:t>
            </w:r>
          </w:p>
        </w:tc>
      </w:tr>
      <w:tr>
        <w:tc>
          <w:tcPr>
            <w:tcW w:type="dxa" w:w="1199"/>
          </w:tcPr>
          <w:p>
            <w:pPr>
              <w:spacing w:before="24" w:after="24" w:line="168" w:lineRule="exact"/>
              <w:jc w:val="left"/>
            </w:pPr>
            <w:r>
              <w:rPr>
                <w:rFonts w:ascii="Times New Roman" w:hAnsi="Times New Roman" w:cs="Times New Roman" w:eastAsia="Times New Roman"/>
                <w:b w:val="0"/>
                <w:i w:val="0"/>
                <w:sz w:val="12"/>
              </w:rPr>
              <w:t>Frozen detector per round</w:t>
            </w:r>
          </w:p>
        </w:tc>
        <w:tc>
          <w:tcPr>
            <w:tcW w:type="dxa" w:w="1250"/>
          </w:tcPr>
          <w:p>
            <w:pPr>
              <w:spacing w:before="24" w:after="24" w:line="168" w:lineRule="exact"/>
              <w:jc w:val="left"/>
            </w:pPr>
            <w:r>
              <w:rPr>
                <w:rFonts w:ascii="Times New Roman" w:hAnsi="Times New Roman" w:cs="Times New Roman" w:eastAsia="Times New Roman"/>
                <w:b w:val="0"/>
                <w:i w:val="0"/>
                <w:sz w:val="12"/>
              </w:rPr>
              <w:t>adversary converges on the miss set</w:t>
            </w:r>
          </w:p>
        </w:tc>
        <w:tc>
          <w:tcPr>
            <w:tcW w:type="dxa" w:w="1250"/>
          </w:tcPr>
          <w:p>
            <w:pPr>
              <w:spacing w:before="24" w:after="24" w:line="168" w:lineRule="exact"/>
              <w:jc w:val="left"/>
            </w:pPr>
            <w:r>
              <w:rPr>
                <w:rFonts w:ascii="Times New Roman" w:hAnsi="Times New Roman" w:cs="Times New Roman" w:eastAsia="Times New Roman"/>
                <w:b w:val="0"/>
                <w:i w:val="0"/>
                <w:sz w:val="12"/>
              </w:rPr>
              <w:t>no closed-loop pressure</w:t>
            </w:r>
          </w:p>
        </w:tc>
        <w:tc>
          <w:tcPr>
            <w:tcW w:type="dxa" w:w="1403"/>
          </w:tcPr>
          <w:p>
            <w:pPr>
              <w:spacing w:before="24" w:after="24" w:line="168" w:lineRule="exact"/>
              <w:jc w:val="left"/>
            </w:pPr>
            <w:r>
              <w:rPr>
                <w:rFonts w:ascii="Times New Roman" w:hAnsi="Times New Roman" w:cs="Times New Roman" w:eastAsia="Times New Roman"/>
                <w:b w:val="0"/>
                <w:i w:val="0"/>
                <w:sz w:val="12"/>
              </w:rPr>
              <w:t>predicted-label feedback</w:t>
            </w:r>
          </w:p>
        </w:tc>
      </w:tr>
      <w:tr>
        <w:tc>
          <w:tcPr>
            <w:tcW w:type="dxa" w:w="1199"/>
          </w:tcPr>
          <w:p>
            <w:pPr>
              <w:spacing w:before="24" w:after="24" w:line="168" w:lineRule="exact"/>
              <w:jc w:val="left"/>
            </w:pPr>
            <w:r>
              <w:rPr>
                <w:rFonts w:ascii="Times New Roman" w:hAnsi="Times New Roman" w:cs="Times New Roman" w:eastAsia="Times New Roman"/>
                <w:b w:val="0"/>
                <w:i w:val="0"/>
                <w:sz w:val="12"/>
              </w:rPr>
              <w:t>Single-trial evaluation</w:t>
            </w:r>
          </w:p>
        </w:tc>
        <w:tc>
          <w:tcPr>
            <w:tcW w:type="dxa" w:w="1250"/>
          </w:tcPr>
          <w:p>
            <w:pPr>
              <w:spacing w:before="24" w:after="24" w:line="168" w:lineRule="exact"/>
              <w:jc w:val="left"/>
            </w:pPr>
            <w:r>
              <w:rPr>
                <w:rFonts w:ascii="Times New Roman" w:hAnsi="Times New Roman" w:cs="Times New Roman" w:eastAsia="Times New Roman"/>
                <w:b w:val="0"/>
                <w:i w:val="0"/>
                <w:sz w:val="12"/>
              </w:rPr>
              <w:t>run-to-run spread of 4×</w:t>
            </w:r>
          </w:p>
        </w:tc>
        <w:tc>
          <w:tcPr>
            <w:tcW w:type="dxa" w:w="1250"/>
          </w:tcPr>
          <w:p>
            <w:pPr>
              <w:spacing w:before="24" w:after="24" w:line="168" w:lineRule="exact"/>
              <w:jc w:val="left"/>
            </w:pPr>
            <w:r>
              <w:rPr>
                <w:rFonts w:ascii="Times New Roman" w:hAnsi="Times New Roman" w:cs="Times New Roman" w:eastAsia="Times New Roman"/>
                <w:b w:val="0"/>
                <w:i w:val="0"/>
                <w:sz w:val="12"/>
              </w:rPr>
              <w:t>differences are not significant</w:t>
            </w:r>
          </w:p>
        </w:tc>
        <w:tc>
          <w:tcPr>
            <w:tcW w:type="dxa" w:w="1403"/>
          </w:tcPr>
          <w:p>
            <w:pPr>
              <w:spacing w:before="24" w:after="24" w:line="168" w:lineRule="exact"/>
              <w:jc w:val="left"/>
            </w:pPr>
            <w:r>
              <w:rPr>
                <w:rFonts w:ascii="Times New Roman" w:hAnsi="Times New Roman" w:cs="Times New Roman" w:eastAsia="Times New Roman"/>
                <w:b w:val="0"/>
                <w:i w:val="0"/>
                <w:sz w:val="12"/>
              </w:rPr>
              <w:t>≥ 5 seeds with confidence intervals</w:t>
            </w:r>
          </w:p>
        </w:tc>
      </w:tr>
      <w:tr>
        <w:tc>
          <w:tcPr>
            <w:tcW w:type="dxa" w:w="1199"/>
          </w:tcPr>
          <w:p>
            <w:pPr>
              <w:spacing w:before="24" w:after="24" w:line="168" w:lineRule="exact"/>
              <w:jc w:val="left"/>
            </w:pPr>
            <w:r>
              <w:rPr>
                <w:rFonts w:ascii="Times New Roman" w:hAnsi="Times New Roman" w:cs="Times New Roman" w:eastAsia="Times New Roman"/>
                <w:b w:val="0"/>
                <w:i w:val="0"/>
                <w:sz w:val="12"/>
              </w:rPr>
              <w:t>Three-round horizon</w:t>
            </w:r>
          </w:p>
        </w:tc>
        <w:tc>
          <w:tcPr>
            <w:tcW w:type="dxa" w:w="1250"/>
          </w:tcPr>
          <w:p>
            <w:pPr>
              <w:spacing w:before="24" w:after="24" w:line="168" w:lineRule="exact"/>
              <w:jc w:val="left"/>
            </w:pPr>
            <w:r>
              <w:rPr>
                <w:rFonts w:ascii="Times New Roman" w:hAnsi="Times New Roman" w:cs="Times New Roman" w:eastAsia="Times New Roman"/>
                <w:b w:val="0"/>
                <w:i w:val="0"/>
                <w:sz w:val="12"/>
              </w:rPr>
              <w:t>long-horizon decay unobserved</w:t>
            </w:r>
          </w:p>
        </w:tc>
        <w:tc>
          <w:tcPr>
            <w:tcW w:type="dxa" w:w="1250"/>
          </w:tcPr>
          <w:p>
            <w:pPr>
              <w:spacing w:before="24" w:after="24" w:line="168" w:lineRule="exact"/>
              <w:jc w:val="left"/>
            </w:pPr>
            <w:r>
              <w:rPr>
                <w:rFonts w:ascii="Times New Roman" w:hAnsi="Times New Roman" w:cs="Times New Roman" w:eastAsia="Times New Roman"/>
                <w:b w:val="0"/>
                <w:i w:val="0"/>
                <w:sz w:val="12"/>
              </w:rPr>
              <w:t>the motivating phenomenon is unmeasured</w:t>
            </w:r>
          </w:p>
        </w:tc>
        <w:tc>
          <w:tcPr>
            <w:tcW w:type="dxa" w:w="1403"/>
          </w:tcPr>
          <w:p>
            <w:pPr>
              <w:spacing w:before="24" w:after="24" w:line="168" w:lineRule="exact"/>
              <w:jc w:val="left"/>
            </w:pPr>
            <w:r>
              <w:rPr>
                <w:rFonts w:ascii="Times New Roman" w:hAnsi="Times New Roman" w:cs="Times New Roman" w:eastAsia="Times New Roman"/>
                <w:b w:val="0"/>
                <w:i w:val="0"/>
                <w:sz w:val="12"/>
              </w:rPr>
              <w:t>extend to 10+ rounds incrementally</w:t>
            </w:r>
          </w:p>
        </w:tc>
      </w:tr>
      <w:tr>
        <w:tc>
          <w:tcPr>
            <w:tcW w:type="dxa" w:w="1199"/>
          </w:tcPr>
          <w:p>
            <w:pPr>
              <w:spacing w:before="24" w:after="24" w:line="168" w:lineRule="exact"/>
              <w:jc w:val="left"/>
            </w:pPr>
            <w:r>
              <w:rPr>
                <w:rFonts w:ascii="Times New Roman" w:hAnsi="Times New Roman" w:cs="Times New Roman" w:eastAsia="Times New Roman"/>
                <w:b w:val="0"/>
                <w:i w:val="0"/>
                <w:sz w:val="12"/>
              </w:rPr>
              <w:t>Single public graph</w:t>
            </w:r>
          </w:p>
        </w:tc>
        <w:tc>
          <w:tcPr>
            <w:tcW w:type="dxa" w:w="1250"/>
          </w:tcPr>
          <w:p>
            <w:pPr>
              <w:spacing w:before="24" w:after="24" w:line="168" w:lineRule="exact"/>
              <w:jc w:val="left"/>
            </w:pPr>
            <w:r>
              <w:rPr>
                <w:rFonts w:ascii="Times New Roman" w:hAnsi="Times New Roman" w:cs="Times New Roman" w:eastAsia="Times New Roman"/>
                <w:b w:val="0"/>
                <w:i w:val="0"/>
                <w:sz w:val="12"/>
              </w:rPr>
              <w:t>no cross-domain evidence</w:t>
            </w:r>
          </w:p>
        </w:tc>
        <w:tc>
          <w:tcPr>
            <w:tcW w:type="dxa" w:w="1250"/>
          </w:tcPr>
          <w:p>
            <w:pPr>
              <w:spacing w:before="24" w:after="24" w:line="168" w:lineRule="exact"/>
              <w:jc w:val="left"/>
            </w:pPr>
            <w:r>
              <w:rPr>
                <w:rFonts w:ascii="Times New Roman" w:hAnsi="Times New Roman" w:cs="Times New Roman" w:eastAsia="Times New Roman"/>
                <w:b w:val="0"/>
                <w:i w:val="0"/>
                <w:sz w:val="12"/>
              </w:rPr>
              <w:t>generalisation untested</w:t>
            </w:r>
          </w:p>
        </w:tc>
        <w:tc>
          <w:tcPr>
            <w:tcW w:type="dxa" w:w="1403"/>
          </w:tcPr>
          <w:p>
            <w:pPr>
              <w:spacing w:before="24" w:after="24" w:line="168" w:lineRule="exact"/>
              <w:jc w:val="left"/>
            </w:pPr>
            <w:r>
              <w:rPr>
                <w:rFonts w:ascii="Times New Roman" w:hAnsi="Times New Roman" w:cs="Times New Roman" w:eastAsia="Times New Roman"/>
                <w:b w:val="0"/>
                <w:i w:val="0"/>
                <w:sz w:val="12"/>
              </w:rPr>
              <w:t>request remaining benchmark graphs</w:t>
            </w:r>
          </w:p>
        </w:tc>
      </w:tr>
      <w:tr>
        <w:tc>
          <w:tcPr>
            <w:tcW w:type="dxa" w:w="1199"/>
            <w:tcBorders>
              <w:bottom w:val="single" w:sz="8" w:space="0" w:color="000000"/>
            </w:tcBorders>
          </w:tcPr>
          <w:p>
            <w:pPr>
              <w:spacing w:before="24" w:after="24" w:line="168" w:lineRule="exact"/>
              <w:jc w:val="left"/>
            </w:pPr>
            <w:r>
              <w:rPr>
                <w:rFonts w:ascii="Times New Roman" w:hAnsi="Times New Roman" w:cs="Times New Roman" w:eastAsia="Times New Roman"/>
                <w:b w:val="0"/>
                <w:i w:val="0"/>
                <w:sz w:val="12"/>
              </w:rPr>
              <w:t>Stream without graph</w:t>
            </w:r>
          </w:p>
        </w:tc>
        <w:tc>
          <w:tcPr>
            <w:tcW w:type="dxa" w:w="1250"/>
            <w:tcBorders>
              <w:bottom w:val="single" w:sz="8" w:space="0" w:color="000000"/>
            </w:tcBorders>
          </w:tcPr>
          <w:p>
            <w:pPr>
              <w:spacing w:before="24" w:after="24" w:line="168" w:lineRule="exact"/>
              <w:jc w:val="left"/>
            </w:pPr>
            <w:r>
              <w:rPr>
                <w:rFonts w:ascii="Times New Roman" w:hAnsi="Times New Roman" w:cs="Times New Roman" w:eastAsia="Times New Roman"/>
                <w:b w:val="0"/>
                <w:i w:val="0"/>
                <w:sz w:val="12"/>
              </w:rPr>
              <w:t>no relational structure</w:t>
            </w:r>
          </w:p>
        </w:tc>
        <w:tc>
          <w:tcPr>
            <w:tcW w:type="dxa" w:w="1250"/>
            <w:tcBorders>
              <w:bottom w:val="single" w:sz="8" w:space="0" w:color="000000"/>
            </w:tcBorders>
          </w:tcPr>
          <w:p>
            <w:pPr>
              <w:spacing w:before="24" w:after="24" w:line="168" w:lineRule="exact"/>
              <w:jc w:val="left"/>
            </w:pPr>
            <w:r>
              <w:rPr>
                <w:rFonts w:ascii="Times New Roman" w:hAnsi="Times New Roman" w:cs="Times New Roman" w:eastAsia="Times New Roman"/>
                <w:b w:val="0"/>
                <w:i w:val="0"/>
                <w:sz w:val="12"/>
              </w:rPr>
              <w:t>fraud is relational by construction</w:t>
            </w:r>
          </w:p>
        </w:tc>
        <w:tc>
          <w:tcPr>
            <w:tcW w:type="dxa" w:w="1403"/>
            <w:tcBorders>
              <w:bottom w:val="single" w:sz="8" w:space="0" w:color="000000"/>
            </w:tcBorders>
          </w:tcPr>
          <w:p>
            <w:pPr>
              <w:spacing w:before="24" w:after="24" w:line="168" w:lineRule="exact"/>
              <w:jc w:val="left"/>
            </w:pPr>
            <w:r>
              <w:rPr>
                <w:rFonts w:ascii="Times New Roman" w:hAnsi="Times New Roman" w:cs="Times New Roman" w:eastAsia="Times New Roman"/>
                <w:b w:val="0"/>
                <w:i w:val="0"/>
                <w:sz w:val="12"/>
              </w:rPr>
              <w:t>temporal entity graph per stream</w:t>
            </w:r>
          </w:p>
        </w:tc>
      </w:tr>
    </w:tbl>
    <w:p>
      <w:pPr>
        <w:keepNext w:val="0"/>
        <w:spacing w:before="0" w:after="160" w:line="120" w:lineRule="exact"/>
        <w:ind w:firstLine="0" w:left="0"/>
        <w:jc w:val="both"/>
      </w:pPr>
      <w:r/>
    </w:p>
    <w:p>
      <w:pPr>
        <w:keepNext/>
        <w:spacing w:before="180" w:after="80" w:line="250" w:lineRule="exact"/>
        <w:ind w:firstLine="0" w:left="0"/>
        <w:jc w:val="center"/>
      </w:pPr>
      <w:r>
        <w:rPr>
          <w:rFonts w:ascii="Times New Roman" w:hAnsi="Times New Roman" w:cs="Times New Roman" w:eastAsia="Times New Roman"/>
          <w:b/>
          <w:i w:val="0"/>
          <w:smallCaps/>
          <w:sz w:val="20"/>
        </w:rPr>
        <w:t>7. PROPOSED RESEARCH DIRECTION</w:t>
      </w:r>
    </w:p>
    <w:p>
      <w:pPr>
        <w:keepNext w:val="0"/>
        <w:spacing w:before="0" w:after="0" w:line="208" w:lineRule="exact"/>
        <w:ind w:firstLine="0" w:left="0"/>
        <w:jc w:val="both"/>
      </w:pPr>
      <w:r>
        <w:rPr>
          <w:rFonts w:ascii="Times New Roman" w:hAnsi="Times New Roman" w:cs="Times New Roman" w:eastAsia="Times New Roman"/>
          <w:b w:val="0"/>
          <w:i w:val="0"/>
          <w:sz w:val="17"/>
        </w:rPr>
        <w:t>The direction proposed here is a Secure and Adaptive Multi-Model Detection Layer for multi-round adversarial promo fraud, in which the representation, the risk model and the optimiser each have a defined responsibility and each can be replaced without redesigning the others. This is a proposed direction, not a completed validation.</w:t>
      </w:r>
    </w:p>
    <w:p>
      <w:pPr>
        <w:keepNext w:val="0"/>
        <w:spacing w:before="0" w:after="0" w:line="208" w:lineRule="exact"/>
        <w:ind w:firstLine="0" w:left="0"/>
        <w:jc w:val="both"/>
      </w:pPr>
      <w:r>
        <w:rPr>
          <w:rFonts w:ascii="Times New Roman" w:hAnsi="Times New Roman" w:cs="Times New Roman" w:eastAsia="Times New Roman"/>
          <w:b w:val="0"/>
          <w:i w:val="0"/>
          <w:sz w:val="17"/>
        </w:rPr>
        <w:t xml:space="preserve">The concrete programme has four parts, ordered by expected value. </w:t>
      </w:r>
      <w:r>
        <w:rPr>
          <w:rFonts w:ascii="Times New Roman" w:hAnsi="Times New Roman" w:cs="Times New Roman" w:eastAsia="Times New Roman"/>
          <w:b/>
          <w:i w:val="0"/>
          <w:sz w:val="17"/>
        </w:rPr>
        <w:t>First, restore gradient flow.</w:t>
      </w:r>
      <w:r>
        <w:rPr>
          <w:rFonts w:ascii="Times New Roman" w:hAnsi="Times New Roman" w:cs="Times New Roman" w:eastAsia="Times New Roman"/>
          <w:b w:val="0"/>
          <w:i w:val="0"/>
          <w:sz w:val="17"/>
        </w:rPr>
        <w:t xml:space="preserve"> The offline embedder must be expressed as a differentiable module so that the three objectives are optimised rather than measured, and the pre-training arm must be re-evaluated against a matched un-optimised control before any claim about pre-training is made. </w:t>
      </w:r>
      <w:r>
        <w:rPr>
          <w:rFonts w:ascii="Times New Roman" w:hAnsi="Times New Roman" w:cs="Times New Roman" w:eastAsia="Times New Roman"/>
          <w:b/>
          <w:i w:val="0"/>
          <w:sz w:val="17"/>
        </w:rPr>
        <w:t>Second, control the variance.</w:t>
      </w:r>
      <w:r>
        <w:rPr>
          <w:rFonts w:ascii="Times New Roman" w:hAnsi="Times New Roman" w:cs="Times New Roman" w:eastAsia="Times New Roman"/>
          <w:b w:val="0"/>
          <w:i w:val="0"/>
          <w:sz w:val="17"/>
        </w:rPr>
        <w:t xml:space="preserve"> Every arm must be run at five or more seeds with confidence intervals, and the protocol must be fixed before the runs rather than after. </w:t>
      </w:r>
      <w:r>
        <w:rPr>
          <w:rFonts w:ascii="Times New Roman" w:hAnsi="Times New Roman" w:cs="Times New Roman" w:eastAsia="Times New Roman"/>
          <w:b/>
          <w:i w:val="0"/>
          <w:sz w:val="17"/>
        </w:rPr>
        <w:t>Third, extend the horizon.</w:t>
      </w:r>
      <w:r>
        <w:rPr>
          <w:rFonts w:ascii="Times New Roman" w:hAnsi="Times New Roman" w:cs="Times New Roman" w:eastAsia="Times New Roman"/>
          <w:b w:val="0"/>
          <w:i w:val="0"/>
          <w:sz w:val="17"/>
        </w:rPr>
        <w:t xml:space="preserve"> The incremental embedder is the enabling component here, and ten or more rounds become affordable once the cost of a round no longer grows with the window. </w:t>
      </w:r>
      <w:r>
        <w:rPr>
          <w:rFonts w:ascii="Times New Roman" w:hAnsi="Times New Roman" w:cs="Times New Roman" w:eastAsia="Times New Roman"/>
          <w:b/>
          <w:i w:val="0"/>
          <w:sz w:val="17"/>
        </w:rPr>
        <w:t>Fourth, close the domain gap</w:t>
      </w:r>
      <w:r>
        <w:rPr>
          <w:rFonts w:ascii="Times New Roman" w:hAnsi="Times New Roman" w:cs="Times New Roman" w:eastAsia="Times New Roman"/>
          <w:b w:val="0"/>
          <w:i w:val="0"/>
          <w:sz w:val="17"/>
        </w:rPr>
        <w:t xml:space="preserve"> by obtaining the remaining benchmark graphs, or by constructing the temporal entity graph that the streaming configuration currently lacks.</w:t>
      </w:r>
    </w:p>
    <w:p>
      <w:pPr>
        <w:keepNext w:val="0"/>
        <w:spacing w:before="0" w:after="0" w:line="208" w:lineRule="exact"/>
        <w:ind w:firstLine="0" w:left="0"/>
        <w:jc w:val="both"/>
      </w:pPr>
      <w:r>
        <w:rPr>
          <w:rFonts w:ascii="Times New Roman" w:hAnsi="Times New Roman" w:cs="Times New Roman" w:eastAsia="Times New Roman"/>
          <w:b w:val="0"/>
          <w:i w:val="0"/>
          <w:sz w:val="17"/>
        </w:rPr>
        <w:t>Within AMDL, the weighting rule is the component most in need of replacement. The current F</w:t>
      </w:r>
      <w:r>
        <w:rPr>
          <w:rFonts w:ascii="Times New Roman" w:hAnsi="Times New Roman" w:cs="Times New Roman" w:eastAsia="Times New Roman"/>
          <w:b w:val="0"/>
          <w:i w:val="0"/>
          <w:sz w:val="17"/>
          <w:vertAlign w:val="subscript"/>
        </w:rPr>
        <w:t>1</w:t>
      </w:r>
      <w:r>
        <w:rPr>
          <w:rFonts w:ascii="Times New Roman" w:hAnsi="Times New Roman" w:cs="Times New Roman" w:eastAsia="Times New Roman"/>
          <w:b w:val="0"/>
          <w:i w:val="0"/>
          <w:sz w:val="17"/>
        </w:rPr>
        <w:t>-proportional rule with a relative floor is robust and nearly uniform in practice, which is the signature of a rule that is not discriminating. A calibration stage followed by a learned gating function over model reliability would let the layer discard a member that is actively harmful on the current round rather than merely down-weighting it, and it would make the fusion decision inspectable. The objective to be minimised is a weighted sum</w:t>
      </w:r>
    </w:p>
    <w:p>
      <w:pPr>
        <w:keepNext w:val="0"/>
        <w:spacing w:before="80" w:after="80" w:line="222" w:lineRule="exact"/>
        <w:ind w:firstLine="0" w:left="0"/>
        <w:jc w:val="center"/>
      </w:pPr>
      <w:r>
        <w:rPr>
          <w:rFonts w:ascii="Times New Roman" w:hAnsi="Times New Roman" w:cs="Times New Roman" w:eastAsia="Times New Roman"/>
          <w:b w:val="0"/>
          <w:i w:val="0"/>
          <w:sz w:val="17"/>
        </w:rPr>
        <w:t>F = w</w:t>
      </w:r>
      <w:r>
        <w:rPr>
          <w:rFonts w:ascii="Times New Roman" w:hAnsi="Times New Roman" w:cs="Times New Roman" w:eastAsia="Times New Roman"/>
          <w:b w:val="0"/>
          <w:i w:val="0"/>
          <w:sz w:val="17"/>
          <w:vertAlign w:val="subscript"/>
        </w:rPr>
        <w:t>1</w:t>
      </w:r>
      <w:r>
        <w:rPr>
          <w:rFonts w:ascii="Times New Roman" w:hAnsi="Times New Roman" w:cs="Times New Roman" w:eastAsia="Times New Roman"/>
          <w:b w:val="0"/>
          <w:i w:val="0"/>
          <w:sz w:val="17"/>
        </w:rPr>
        <w:t xml:space="preserve"> A + w</w:t>
      </w:r>
      <w:r>
        <w:rPr>
          <w:rFonts w:ascii="Times New Roman" w:hAnsi="Times New Roman" w:cs="Times New Roman" w:eastAsia="Times New Roman"/>
          <w:b w:val="0"/>
          <w:i w:val="0"/>
          <w:sz w:val="17"/>
          <w:vertAlign w:val="subscript"/>
        </w:rPr>
        <w:t>2</w:t>
      </w:r>
      <w:r>
        <w:rPr>
          <w:rFonts w:ascii="Times New Roman" w:hAnsi="Times New Roman" w:cs="Times New Roman" w:eastAsia="Times New Roman"/>
          <w:b w:val="0"/>
          <w:i w:val="0"/>
          <w:sz w:val="17"/>
        </w:rPr>
        <w:t xml:space="preserve"> P + w</w:t>
      </w:r>
      <w:r>
        <w:rPr>
          <w:rFonts w:ascii="Times New Roman" w:hAnsi="Times New Roman" w:cs="Times New Roman" w:eastAsia="Times New Roman"/>
          <w:b w:val="0"/>
          <w:i w:val="0"/>
          <w:sz w:val="17"/>
          <w:vertAlign w:val="subscript"/>
        </w:rPr>
        <w:t>3</w:t>
      </w:r>
      <w:r>
        <w:rPr>
          <w:rFonts w:ascii="Times New Roman" w:hAnsi="Times New Roman" w:cs="Times New Roman" w:eastAsia="Times New Roman"/>
          <w:b w:val="0"/>
          <w:i w:val="0"/>
          <w:sz w:val="17"/>
        </w:rPr>
        <w:t xml:space="preserve"> D + w</w:t>
      </w:r>
      <w:r>
        <w:rPr>
          <w:rFonts w:ascii="Times New Roman" w:hAnsi="Times New Roman" w:cs="Times New Roman" w:eastAsia="Times New Roman"/>
          <w:b w:val="0"/>
          <w:i w:val="0"/>
          <w:sz w:val="17"/>
          <w:vertAlign w:val="subscript"/>
        </w:rPr>
        <w:t>4</w:t>
      </w:r>
      <w:r>
        <w:rPr>
          <w:rFonts w:ascii="Times New Roman" w:hAnsi="Times New Roman" w:cs="Times New Roman" w:eastAsia="Times New Roman"/>
          <w:b w:val="0"/>
          <w:i w:val="0"/>
          <w:sz w:val="17"/>
        </w:rPr>
        <w:t xml:space="preserve"> C + w</w:t>
      </w:r>
      <w:r>
        <w:rPr>
          <w:rFonts w:ascii="Times New Roman" w:hAnsi="Times New Roman" w:cs="Times New Roman" w:eastAsia="Times New Roman"/>
          <w:b w:val="0"/>
          <w:i w:val="0"/>
          <w:sz w:val="17"/>
          <w:vertAlign w:val="subscript"/>
        </w:rPr>
        <w:t>5</w:t>
      </w:r>
      <w:r>
        <w:rPr>
          <w:rFonts w:ascii="Times New Roman" w:hAnsi="Times New Roman" w:cs="Times New Roman" w:eastAsia="Times New Roman"/>
          <w:b w:val="0"/>
          <w:i w:val="0"/>
          <w:sz w:val="17"/>
        </w:rPr>
        <w:t xml:space="preserve"> V + w</w:t>
      </w:r>
      <w:r>
        <w:rPr>
          <w:rFonts w:ascii="Times New Roman" w:hAnsi="Times New Roman" w:cs="Times New Roman" w:eastAsia="Times New Roman"/>
          <w:b w:val="0"/>
          <w:i w:val="0"/>
          <w:sz w:val="17"/>
          <w:vertAlign w:val="subscript"/>
        </w:rPr>
        <w:t>6</w:t>
      </w:r>
      <w:r>
        <w:rPr>
          <w:rFonts w:ascii="Times New Roman" w:hAnsi="Times New Roman" w:cs="Times New Roman" w:eastAsia="Times New Roman"/>
          <w:b w:val="0"/>
          <w:i w:val="0"/>
          <w:sz w:val="17"/>
        </w:rPr>
        <w:t xml:space="preserve"> R ,</w:t>
      </w:r>
    </w:p>
    <w:p>
      <w:pPr>
        <w:keepNext w:val="0"/>
        <w:spacing w:before="0" w:after="0" w:line="208" w:lineRule="exact"/>
        <w:ind w:firstLine="0" w:left="0"/>
        <w:jc w:val="both"/>
      </w:pPr>
      <w:r>
        <w:rPr>
          <w:rFonts w:ascii="Times New Roman" w:hAnsi="Times New Roman" w:cs="Times New Roman" w:eastAsia="Times New Roman"/>
          <w:b w:val="0"/>
          <w:i w:val="0"/>
          <w:sz w:val="17"/>
        </w:rPr>
        <w:t>where A is average on-round F</w:t>
      </w:r>
      <w:r>
        <w:rPr>
          <w:rFonts w:ascii="Times New Roman" w:hAnsi="Times New Roman" w:cs="Times New Roman" w:eastAsia="Times New Roman"/>
          <w:b w:val="0"/>
          <w:i w:val="0"/>
          <w:sz w:val="17"/>
          <w:vertAlign w:val="subscript"/>
        </w:rPr>
        <w:t>1</w:t>
      </w:r>
      <w:r>
        <w:rPr>
          <w:rFonts w:ascii="Times New Roman" w:hAnsi="Times New Roman" w:cs="Times New Roman" w:eastAsia="Times New Roman"/>
          <w:b w:val="0"/>
          <w:i w:val="0"/>
          <w:sz w:val="17"/>
        </w:rPr>
        <w:t>, P is final-round recall on the last query set, D is round-0 retention, C is the scheduling cost of a round in seconds, V is the cross-round variance of A, and R is the number of rounds survivable before A falls below a stated floor. Weights are application-specific. This formula is a design abstraction: it states which quantities the layer should trade off, and it should be calibrated and validated experimentally rather than treated as an established result.</w:t>
      </w:r>
    </w:p>
    <w:p>
      <w:pPr>
        <w:keepNext w:val="0"/>
        <w:spacing w:before="0" w:after="0" w:line="208" w:lineRule="exact"/>
        <w:ind w:firstLine="0" w:left="0"/>
        <w:jc w:val="both"/>
      </w:pPr>
      <w:r>
        <w:rPr>
          <w:rFonts w:ascii="Times New Roman" w:hAnsi="Times New Roman" w:cs="Times New Roman" w:eastAsia="Times New Roman"/>
          <w:b w:val="0"/>
          <w:i w:val="0"/>
          <w:sz w:val="17"/>
        </w:rPr>
        <w:t xml:space="preserve">Adaptive re-scheduling is not optional in this setting. A decision that is optimal at round </w:t>
      </w:r>
      <w:r>
        <w:rPr>
          <w:rFonts w:ascii="Times New Roman" w:hAnsi="Times New Roman" w:cs="Times New Roman" w:eastAsia="Times New Roman"/>
          <w:b w:val="0"/>
          <w:i/>
          <w:sz w:val="17"/>
        </w:rPr>
        <w:t>t</w:t>
      </w:r>
      <w:r>
        <w:rPr>
          <w:rFonts w:ascii="Times New Roman" w:hAnsi="Times New Roman" w:cs="Times New Roman" w:eastAsia="Times New Roman"/>
          <w:b w:val="0"/>
          <w:i w:val="0"/>
          <w:sz w:val="17"/>
        </w:rPr>
        <w:t xml:space="preserve"> may be unsuitable by round </w:t>
      </w:r>
      <w:r>
        <w:rPr>
          <w:rFonts w:ascii="Times New Roman" w:hAnsi="Times New Roman" w:cs="Times New Roman" w:eastAsia="Times New Roman"/>
          <w:b w:val="0"/>
          <w:i/>
          <w:sz w:val="17"/>
        </w:rPr>
        <w:t>t</w:t>
      </w:r>
      <w:r>
        <w:rPr>
          <w:rFonts w:ascii="Times New Roman" w:hAnsi="Times New Roman" w:cs="Times New Roman" w:eastAsia="Times New Roman"/>
          <w:b w:val="0"/>
          <w:i w:val="0"/>
          <w:sz w:val="17"/>
        </w:rPr>
        <w:t xml:space="preserve"> + k, after congestion, a node failure or a change in the adversary's strategy. Re-evaluation is therefore triggered by new task arrival, by a change in resource state, by deterioration in network conditions, by a rise in the fused risk score, or by a detector failure, and each trigger is logged so that the cost of adaptation is itself a measured quantity. Figure 3 shows the resulting closed loop.</w:t>
      </w:r>
    </w:p>
    <w:p>
      <w:pPr>
        <w:keepNext/>
        <w:spacing w:before="160" w:after="60" w:line="200" w:lineRule="exact"/>
        <w:ind w:firstLine="0" w:left="0"/>
        <w:jc w:val="center"/>
      </w:pPr>
      <w:r>
        <w:drawing>
          <wp:inline xmlns:a="http://schemas.openxmlformats.org/drawingml/2006/main" xmlns:pic="http://schemas.openxmlformats.org/drawingml/2006/picture">
            <wp:extent cx="3238754" cy="4036708"/>
            <wp:docPr id="3" name="Picture 3"/>
            <wp:cNvGraphicFramePr>
              <a:graphicFrameLocks noChangeAspect="1"/>
            </wp:cNvGraphicFramePr>
            <a:graphic>
              <a:graphicData uri="http://schemas.openxmlformats.org/drawingml/2006/picture">
                <pic:pic>
                  <pic:nvPicPr>
                    <pic:cNvPr id="0" name="fig3_workflow.png"/>
                    <pic:cNvPicPr/>
                  </pic:nvPicPr>
                  <pic:blipFill>
                    <a:blip r:embed="rId11"/>
                    <a:stretch>
                      <a:fillRect/>
                    </a:stretch>
                  </pic:blipFill>
                  <pic:spPr>
                    <a:xfrm>
                      <a:off x="0" y="0"/>
                      <a:ext cx="3238754" cy="4036708"/>
                    </a:xfrm>
                    <a:prstGeom prst="rect"/>
                  </pic:spPr>
                </pic:pic>
              </a:graphicData>
            </a:graphic>
          </wp:inline>
        </w:drawing>
      </w:r>
    </w:p>
    <w:p>
      <w:pPr>
        <w:keepNext w:val="0"/>
        <w:spacing w:before="0" w:after="160" w:line="188" w:lineRule="exact"/>
        <w:ind w:firstLine="0" w:left="0"/>
        <w:jc w:val="both"/>
      </w:pPr>
      <w:r>
        <w:rPr>
          <w:rFonts w:ascii="Times New Roman" w:hAnsi="Times New Roman" w:cs="Times New Roman" w:eastAsia="Times New Roman"/>
          <w:b w:val="0"/>
          <w:i w:val="0"/>
          <w:sz w:val="15"/>
        </w:rPr>
        <w:t>Figure 3. Closed-loop workflow for one adversarial round. The predicted labels of the query set are returned to the scenario, so the next round concentrates on the detector's residual error rather than on a fixed sample of the graph.</w:t>
      </w:r>
    </w:p>
    <w:p>
      <w:pPr>
        <w:keepNext/>
        <w:spacing w:before="180" w:after="80" w:line="250" w:lineRule="exact"/>
        <w:ind w:firstLine="0" w:left="0"/>
        <w:jc w:val="center"/>
      </w:pPr>
      <w:r>
        <w:rPr>
          <w:rFonts w:ascii="Times New Roman" w:hAnsi="Times New Roman" w:cs="Times New Roman" w:eastAsia="Times New Roman"/>
          <w:b/>
          <w:i w:val="0"/>
          <w:smallCaps/>
          <w:sz w:val="20"/>
        </w:rPr>
        <w:t>8. EVALUATION CONSIDERATIONS</w:t>
      </w:r>
    </w:p>
    <w:p>
      <w:pPr>
        <w:keepNext w:val="0"/>
        <w:spacing w:before="0" w:after="0" w:line="208" w:lineRule="exact"/>
        <w:ind w:firstLine="0" w:left="0"/>
        <w:jc w:val="both"/>
      </w:pPr>
      <w:r>
        <w:rPr>
          <w:rFonts w:ascii="Times New Roman" w:hAnsi="Times New Roman" w:cs="Times New Roman" w:eastAsia="Times New Roman"/>
          <w:b w:val="0"/>
          <w:i w:val="0"/>
          <w:sz w:val="17"/>
        </w:rPr>
        <w:t>Evaluation should compare AMDL-TPNE against baselines that isolate each component: random dispatch, greedy dispatch by task size, a single XGBoost head, an offline encoder with a single head, an offline encoder with the ensemble, and the unmodified reference implementation itself. Every configuration must be run on the same scenario instances, and the scenario seeds must be fixed and published, because a greedy adversary is a function of the detector and is therefore not comparable across differently-seeded runs.</w:t>
      </w:r>
    </w:p>
    <w:p>
      <w:pPr>
        <w:keepNext w:val="0"/>
        <w:spacing w:before="0" w:after="0" w:line="208" w:lineRule="exact"/>
        <w:ind w:firstLine="0" w:left="0"/>
        <w:jc w:val="both"/>
      </w:pPr>
      <w:r>
        <w:rPr>
          <w:rFonts w:ascii="Times New Roman" w:hAnsi="Times New Roman" w:cs="Times New Roman" w:eastAsia="Times New Roman"/>
          <w:b w:val="0"/>
          <w:i w:val="0"/>
          <w:sz w:val="17"/>
        </w:rPr>
        <w:t>Metrics should be separated by category rather than collapsed into a single score, and should be reported as distributions rather than means: at three trials the standard deviation of the average on-round F</w:t>
      </w:r>
      <w:r>
        <w:rPr>
          <w:rFonts w:ascii="Times New Roman" w:hAnsi="Times New Roman" w:cs="Times New Roman" w:eastAsia="Times New Roman"/>
          <w:b w:val="0"/>
          <w:i w:val="0"/>
          <w:sz w:val="17"/>
          <w:vertAlign w:val="subscript"/>
        </w:rPr>
        <w:t>1</w:t>
      </w:r>
      <w:r>
        <w:rPr>
          <w:rFonts w:ascii="Times New Roman" w:hAnsi="Times New Roman" w:cs="Times New Roman" w:eastAsia="Times New Roman"/>
          <w:b w:val="0"/>
          <w:i w:val="0"/>
          <w:sz w:val="17"/>
        </w:rPr>
        <w:t xml:space="preserve"> is comparable to the gap it is being used to judge, which is the ordinary small-sample condition described in the cross-validation literature [33]. Three of them should be mandatory wherever a difference is claimed. Table 3 gives the framework. Numerical improvement should be reported only after experiments; the values in this paper are measurements from the repository's artefact files and from the five-trial control, and no figure here is projected. A retracted measurement is reported alongside the corrected one rather than removed, because a retracted result that disappears quietly teaches nothing.</w:t>
      </w:r>
    </w:p>
    <w:p>
      <w:pPr>
        <w:keepNext w:val="0"/>
        <w:spacing w:before="0" w:after="0" w:line="208" w:lineRule="exact"/>
        <w:ind w:firstLine="0" w:left="0"/>
        <w:jc w:val="both"/>
      </w:pPr>
      <w:r>
        <w:rPr>
          <w:rFonts w:ascii="Times New Roman" w:hAnsi="Times New Roman" w:cs="Times New Roman" w:eastAsia="Times New Roman"/>
          <w:b w:val="0"/>
          <w:i w:val="0"/>
          <w:sz w:val="17"/>
        </w:rPr>
        <w:t>Adversarial behaviour should be characterised rather than merely tolerated. The rate at which the greedy selector concentrates on the previous miss set, the number of distinct seeds required before the detector fails, and the distribution of per-round F</w:t>
      </w:r>
      <w:r>
        <w:rPr>
          <w:rFonts w:ascii="Times New Roman" w:hAnsi="Times New Roman" w:cs="Times New Roman" w:eastAsia="Times New Roman"/>
          <w:b w:val="0"/>
          <w:i w:val="0"/>
          <w:sz w:val="17"/>
          <w:vertAlign w:val="subscript"/>
        </w:rPr>
        <w:t>1</w:t>
      </w:r>
      <w:r>
        <w:rPr>
          <w:rFonts w:ascii="Times New Roman" w:hAnsi="Times New Roman" w:cs="Times New Roman" w:eastAsia="Times New Roman"/>
          <w:b w:val="0"/>
          <w:i w:val="0"/>
          <w:sz w:val="17"/>
        </w:rPr>
        <w:t xml:space="preserve"> are all reportable and none is currently reported. Ablations should isolate the encoder mode, the pre-training epochs, the composition of the ensemble and the support-graph policy independently, since Finding 4 shows these do not compose trivially.</w:t>
      </w:r>
    </w:p>
    <w:p>
      <w:pPr>
        <w:keepNext w:val="0"/>
        <w:spacing w:before="0" w:after="0" w:line="208" w:lineRule="exact"/>
        <w:ind w:firstLine="0" w:left="0"/>
        <w:jc w:val="both"/>
      </w:pPr>
      <w:r>
        <w:rPr>
          <w:rFonts w:ascii="Times New Roman" w:hAnsi="Times New Roman" w:cs="Times New Roman" w:eastAsia="Times New Roman"/>
          <w:b w:val="0"/>
          <w:i w:val="0"/>
          <w:sz w:val="17"/>
        </w:rPr>
        <w:t>Controlled simulation of abusive behaviour should be used only to evaluate scheduling resilience in a sandboxed environment, and should be reported as such. Public cybersecurity corpora such as the IEEE-CIS transaction data and TON_IoT [21]-[23] support detector development, but they describe traffic and intrusion behaviour rather than graph scheduling dynamics; they are not graph or adversarial-scenario benchmarks, and treating them as such would be a category error.</w:t>
      </w:r>
    </w:p>
    <w:p>
      <w:pPr>
        <w:keepNext w:val="0"/>
        <w:spacing w:before="0" w:after="0" w:line="208" w:lineRule="exact"/>
        <w:ind w:firstLine="0" w:left="0"/>
        <w:jc w:val="both"/>
      </w:pPr>
      <w:r>
        <w:rPr>
          <w:rFonts w:ascii="Times New Roman" w:hAnsi="Times New Roman" w:cs="Times New Roman" w:eastAsia="Times New Roman"/>
          <w:b w:val="0"/>
          <w:i w:val="0"/>
          <w:sz w:val="17"/>
        </w:rPr>
        <w:t>Hyperparameters were fixed by convention rather than by search, which is defensible at this scale but should not be mistaken for tuning. The depth-six and learning-rate-0.1 settings for the boosted heads and the two-hundred-tree setting for the randomised forest are defaults chosen to keep the arms comparable to one another, not values selected for performance. A study with the resources to search would report the search space and the cost of the search, because an unsearched baseline and a searched baseline are not comparable, and the fairest reading of the current results is as an unsearched comparison [28], [29].</w:t>
      </w:r>
    </w:p>
    <w:p>
      <w:pPr>
        <w:keepNext/>
        <w:spacing w:before="180" w:after="60" w:line="188" w:lineRule="exact"/>
        <w:ind w:firstLine="0" w:left="0"/>
        <w:jc w:val="center"/>
      </w:pPr>
      <w:r>
        <w:rPr>
          <w:rFonts w:ascii="Times New Roman" w:hAnsi="Times New Roman" w:cs="Times New Roman" w:eastAsia="Times New Roman"/>
          <w:b w:val="0"/>
          <w:i w:val="0"/>
          <w:sz w:val="15"/>
        </w:rPr>
        <w:t>Table 3. Evaluation framework. Each row is reportable independently; no single row is sufficient.</w:t>
      </w:r>
    </w:p>
    <w:tbl>
      <w:tblPr>
        <w:tblW w:type="auto" w:w="0"/>
        <w:jc w:val="center"/>
        <w:tblLayout w:type="fixed"/>
        <w:tblLook w:firstColumn="1" w:firstRow="1" w:lastColumn="0" w:lastRow="0" w:noHBand="0" w:noVBand="1" w:val="04A0"/>
        <w:tblBorders>
          <w:top w:val="none" w:sz="0"/>
          <w:left w:val="none" w:sz="0"/>
          <w:bottom w:val="none" w:sz="0"/>
          <w:right w:val="none" w:sz="0"/>
          <w:insideH w:val="none" w:sz="0"/>
          <w:insideV w:val="none" w:sz="0"/>
        </w:tblBorders>
      </w:tblPr>
      <w:tblGrid>
        <w:gridCol w:w="3530"/>
        <w:gridCol w:w="3530"/>
        <w:gridCol w:w="3530"/>
      </w:tblGrid>
      <w:tr>
        <w:tc>
          <w:tcPr>
            <w:tcW w:type="dxa" w:w="1020"/>
            <w:tcBorders>
              <w:top w:val="single" w:sz="8" w:space="0" w:color="000000"/>
              <w:bottom w:val="single" w:sz="6" w:space="0" w:color="000000"/>
            </w:tcBorders>
          </w:tcPr>
          <w:p>
            <w:pPr>
              <w:spacing w:before="24" w:after="24" w:line="172" w:lineRule="exact"/>
              <w:jc w:val="left"/>
            </w:pPr>
            <w:r>
              <w:rPr>
                <w:rFonts w:ascii="Times New Roman" w:hAnsi="Times New Roman" w:cs="Times New Roman" w:eastAsia="Times New Roman"/>
                <w:b/>
                <w:i w:val="0"/>
                <w:sz w:val="13"/>
              </w:rPr>
              <w:t>Category</w:t>
            </w:r>
          </w:p>
        </w:tc>
        <w:tc>
          <w:tcPr>
            <w:tcW w:type="dxa" w:w="1836"/>
            <w:tcBorders>
              <w:top w:val="single" w:sz="8" w:space="0" w:color="000000"/>
              <w:bottom w:val="single" w:sz="6" w:space="0" w:color="000000"/>
            </w:tcBorders>
          </w:tcPr>
          <w:p>
            <w:pPr>
              <w:spacing w:before="24" w:after="24" w:line="172" w:lineRule="exact"/>
              <w:jc w:val="left"/>
            </w:pPr>
            <w:r>
              <w:rPr>
                <w:rFonts w:ascii="Times New Roman" w:hAnsi="Times New Roman" w:cs="Times New Roman" w:eastAsia="Times New Roman"/>
                <w:b/>
                <w:i w:val="0"/>
                <w:sz w:val="13"/>
              </w:rPr>
              <w:t>Metric</w:t>
            </w:r>
          </w:p>
        </w:tc>
        <w:tc>
          <w:tcPr>
            <w:tcW w:type="dxa" w:w="2244"/>
            <w:tcBorders>
              <w:top w:val="single" w:sz="8" w:space="0" w:color="000000"/>
              <w:bottom w:val="single" w:sz="6" w:space="0" w:color="000000"/>
            </w:tcBorders>
          </w:tcPr>
          <w:p>
            <w:pPr>
              <w:spacing w:before="24" w:after="24" w:line="172" w:lineRule="exact"/>
              <w:jc w:val="left"/>
            </w:pPr>
            <w:r>
              <w:rPr>
                <w:rFonts w:ascii="Times New Roman" w:hAnsi="Times New Roman" w:cs="Times New Roman" w:eastAsia="Times New Roman"/>
                <w:b/>
                <w:i w:val="0"/>
                <w:sz w:val="13"/>
              </w:rPr>
              <w:t>What it establishes</w:t>
            </w:r>
          </w:p>
        </w:tc>
      </w:tr>
      <w:tr>
        <w:tc>
          <w:tcPr>
            <w:tcW w:type="dxa" w:w="1020"/>
          </w:tcPr>
          <w:p>
            <w:pPr>
              <w:spacing w:before="24" w:after="24" w:line="172" w:lineRule="exact"/>
              <w:jc w:val="left"/>
            </w:pPr>
            <w:r>
              <w:rPr>
                <w:rFonts w:ascii="Times New Roman" w:hAnsi="Times New Roman" w:cs="Times New Roman" w:eastAsia="Times New Roman"/>
                <w:b w:val="0"/>
                <w:i w:val="0"/>
                <w:sz w:val="13"/>
              </w:rPr>
              <w:t>Detection</w:t>
            </w:r>
          </w:p>
        </w:tc>
        <w:tc>
          <w:tcPr>
            <w:tcW w:type="dxa" w:w="1836"/>
          </w:tcPr>
          <w:p>
            <w:pPr>
              <w:spacing w:before="24" w:after="24" w:line="172" w:lineRule="exact"/>
              <w:jc w:val="left"/>
            </w:pPr>
            <w:r>
              <w:rPr>
                <w:rFonts w:ascii="Times New Roman" w:hAnsi="Times New Roman" w:cs="Times New Roman" w:eastAsia="Times New Roman"/>
                <w:b w:val="0"/>
                <w:i w:val="0"/>
                <w:sz w:val="13"/>
              </w:rPr>
              <w:t>on-round F</w:t>
            </w:r>
            <w:r>
              <w:rPr>
                <w:rFonts w:ascii="Times New Roman" w:hAnsi="Times New Roman" w:cs="Times New Roman" w:eastAsia="Times New Roman"/>
                <w:b w:val="0"/>
                <w:i w:val="0"/>
                <w:sz w:val="13"/>
                <w:vertAlign w:val="subscript"/>
              </w:rPr>
              <w:t>1</w:t>
            </w:r>
            <w:r>
              <w:rPr>
                <w:rFonts w:ascii="Times New Roman" w:hAnsi="Times New Roman" w:cs="Times New Roman" w:eastAsia="Times New Roman"/>
                <w:b w:val="0"/>
                <w:i w:val="0"/>
                <w:sz w:val="13"/>
              </w:rPr>
              <w:t xml:space="preserve"> (A)</w:t>
            </w:r>
          </w:p>
        </w:tc>
        <w:tc>
          <w:tcPr>
            <w:tcW w:type="dxa" w:w="2244"/>
          </w:tcPr>
          <w:p>
            <w:pPr>
              <w:spacing w:before="24" w:after="24" w:line="172" w:lineRule="exact"/>
              <w:jc w:val="left"/>
            </w:pPr>
            <w:r>
              <w:rPr>
                <w:rFonts w:ascii="Times New Roman" w:hAnsi="Times New Roman" w:cs="Times New Roman" w:eastAsia="Times New Roman"/>
                <w:b w:val="0"/>
                <w:i w:val="0"/>
                <w:sz w:val="13"/>
              </w:rPr>
              <w:t>quality on nodes generated this round</w:t>
            </w:r>
          </w:p>
        </w:tc>
      </w:tr>
      <w:tr>
        <w:tc>
          <w:tcPr>
            <w:tcW w:type="dxa" w:w="1020"/>
          </w:tcPr>
          <w:p>
            <w:pPr>
              <w:spacing w:before="24" w:after="24" w:line="172" w:lineRule="exact"/>
              <w:jc w:val="left"/>
            </w:pPr>
            <w:r>
              <w:rPr>
                <w:rFonts w:ascii="Times New Roman" w:hAnsi="Times New Roman" w:cs="Times New Roman" w:eastAsia="Times New Roman"/>
                <w:b w:val="0"/>
                <w:i w:val="0"/>
                <w:sz w:val="13"/>
              </w:rPr>
              <w:t>Detection</w:t>
            </w:r>
          </w:p>
        </w:tc>
        <w:tc>
          <w:tcPr>
            <w:tcW w:type="dxa" w:w="1836"/>
          </w:tcPr>
          <w:p>
            <w:pPr>
              <w:spacing w:before="24" w:after="24" w:line="172" w:lineRule="exact"/>
              <w:jc w:val="left"/>
            </w:pPr>
            <w:r>
              <w:rPr>
                <w:rFonts w:ascii="Times New Roman" w:hAnsi="Times New Roman" w:cs="Times New Roman" w:eastAsia="Times New Roman"/>
                <w:b w:val="0"/>
                <w:i w:val="0"/>
                <w:sz w:val="13"/>
              </w:rPr>
              <w:t>final-round recall (P)</w:t>
            </w:r>
          </w:p>
        </w:tc>
        <w:tc>
          <w:tcPr>
            <w:tcW w:type="dxa" w:w="2244"/>
          </w:tcPr>
          <w:p>
            <w:pPr>
              <w:spacing w:before="24" w:after="24" w:line="172" w:lineRule="exact"/>
              <w:jc w:val="left"/>
            </w:pPr>
            <w:r>
              <w:rPr>
                <w:rFonts w:ascii="Times New Roman" w:hAnsi="Times New Roman" w:cs="Times New Roman" w:eastAsia="Times New Roman"/>
                <w:b w:val="0"/>
                <w:i w:val="0"/>
                <w:sz w:val="13"/>
              </w:rPr>
              <w:t>whether the last round is still detected</w:t>
            </w:r>
          </w:p>
        </w:tc>
      </w:tr>
      <w:tr>
        <w:tc>
          <w:tcPr>
            <w:tcW w:type="dxa" w:w="1020"/>
          </w:tcPr>
          <w:p>
            <w:pPr>
              <w:spacing w:before="24" w:after="24" w:line="172" w:lineRule="exact"/>
              <w:jc w:val="left"/>
            </w:pPr>
            <w:r>
              <w:rPr>
                <w:rFonts w:ascii="Times New Roman" w:hAnsi="Times New Roman" w:cs="Times New Roman" w:eastAsia="Times New Roman"/>
                <w:b w:val="0"/>
                <w:i w:val="0"/>
                <w:sz w:val="13"/>
              </w:rPr>
              <w:t>Retention</w:t>
            </w:r>
          </w:p>
        </w:tc>
        <w:tc>
          <w:tcPr>
            <w:tcW w:type="dxa" w:w="1836"/>
          </w:tcPr>
          <w:p>
            <w:pPr>
              <w:spacing w:before="24" w:after="24" w:line="172" w:lineRule="exact"/>
              <w:jc w:val="left"/>
            </w:pPr>
            <w:r>
              <w:rPr>
                <w:rFonts w:ascii="Times New Roman" w:hAnsi="Times New Roman" w:cs="Times New Roman" w:eastAsia="Times New Roman"/>
                <w:b w:val="0"/>
                <w:i w:val="0"/>
                <w:sz w:val="13"/>
              </w:rPr>
              <w:t>round-0 F</w:t>
            </w:r>
            <w:r>
              <w:rPr>
                <w:rFonts w:ascii="Times New Roman" w:hAnsi="Times New Roman" w:cs="Times New Roman" w:eastAsia="Times New Roman"/>
                <w:b w:val="0"/>
                <w:i w:val="0"/>
                <w:sz w:val="13"/>
                <w:vertAlign w:val="subscript"/>
              </w:rPr>
              <w:t>1</w:t>
            </w:r>
            <w:r>
              <w:rPr>
                <w:rFonts w:ascii="Times New Roman" w:hAnsi="Times New Roman" w:cs="Times New Roman" w:eastAsia="Times New Roman"/>
                <w:b w:val="0"/>
                <w:i w:val="0"/>
                <w:sz w:val="13"/>
              </w:rPr>
              <w:t xml:space="preserve"> gap (D)</w:t>
            </w:r>
          </w:p>
        </w:tc>
        <w:tc>
          <w:tcPr>
            <w:tcW w:type="dxa" w:w="2244"/>
          </w:tcPr>
          <w:p>
            <w:pPr>
              <w:spacing w:before="24" w:after="24" w:line="172" w:lineRule="exact"/>
              <w:jc w:val="left"/>
            </w:pPr>
            <w:r>
              <w:rPr>
                <w:rFonts w:ascii="Times New Roman" w:hAnsi="Times New Roman" w:cs="Times New Roman" w:eastAsia="Times New Roman"/>
                <w:b w:val="0"/>
                <w:i w:val="0"/>
                <w:sz w:val="13"/>
              </w:rPr>
              <w:t>forgetting over the horizon</w:t>
            </w:r>
          </w:p>
        </w:tc>
      </w:tr>
      <w:tr>
        <w:tc>
          <w:tcPr>
            <w:tcW w:type="dxa" w:w="1020"/>
          </w:tcPr>
          <w:p>
            <w:pPr>
              <w:spacing w:before="24" w:after="24" w:line="172" w:lineRule="exact"/>
              <w:jc w:val="left"/>
            </w:pPr>
            <w:r>
              <w:rPr>
                <w:rFonts w:ascii="Times New Roman" w:hAnsi="Times New Roman" w:cs="Times New Roman" w:eastAsia="Times New Roman"/>
                <w:b w:val="0"/>
                <w:i w:val="0"/>
                <w:sz w:val="13"/>
              </w:rPr>
              <w:t>Robustness</w:t>
            </w:r>
          </w:p>
        </w:tc>
        <w:tc>
          <w:tcPr>
            <w:tcW w:type="dxa" w:w="1836"/>
          </w:tcPr>
          <w:p>
            <w:pPr>
              <w:spacing w:before="24" w:after="24" w:line="172" w:lineRule="exact"/>
              <w:jc w:val="left"/>
            </w:pPr>
            <w:r>
              <w:rPr>
                <w:rFonts w:ascii="Times New Roman" w:hAnsi="Times New Roman" w:cs="Times New Roman" w:eastAsia="Times New Roman"/>
                <w:b w:val="0"/>
                <w:i w:val="0"/>
                <w:sz w:val="13"/>
              </w:rPr>
              <w:t>cross-round variance (V)</w:t>
            </w:r>
          </w:p>
        </w:tc>
        <w:tc>
          <w:tcPr>
            <w:tcW w:type="dxa" w:w="2244"/>
          </w:tcPr>
          <w:p>
            <w:pPr>
              <w:spacing w:before="24" w:after="24" w:line="172" w:lineRule="exact"/>
              <w:jc w:val="left"/>
            </w:pPr>
            <w:r>
              <w:rPr>
                <w:rFonts w:ascii="Times New Roman" w:hAnsi="Times New Roman" w:cs="Times New Roman" w:eastAsia="Times New Roman"/>
                <w:b w:val="0"/>
                <w:i w:val="0"/>
                <w:sz w:val="13"/>
              </w:rPr>
              <w:t>whether any difference is significant</w:t>
            </w:r>
          </w:p>
        </w:tc>
      </w:tr>
      <w:tr>
        <w:tc>
          <w:tcPr>
            <w:tcW w:type="dxa" w:w="1020"/>
          </w:tcPr>
          <w:p>
            <w:pPr>
              <w:spacing w:before="24" w:after="24" w:line="172" w:lineRule="exact"/>
              <w:jc w:val="left"/>
            </w:pPr>
            <w:r>
              <w:rPr>
                <w:rFonts w:ascii="Times New Roman" w:hAnsi="Times New Roman" w:cs="Times New Roman" w:eastAsia="Times New Roman"/>
                <w:b w:val="0"/>
                <w:i w:val="0"/>
                <w:sz w:val="13"/>
              </w:rPr>
              <w:t>Cost</w:t>
            </w:r>
          </w:p>
        </w:tc>
        <w:tc>
          <w:tcPr>
            <w:tcW w:type="dxa" w:w="1836"/>
          </w:tcPr>
          <w:p>
            <w:pPr>
              <w:spacing w:before="24" w:after="24" w:line="172" w:lineRule="exact"/>
              <w:jc w:val="left"/>
            </w:pPr>
            <w:r>
              <w:rPr>
                <w:rFonts w:ascii="Times New Roman" w:hAnsi="Times New Roman" w:cs="Times New Roman" w:eastAsia="Times New Roman"/>
                <w:b w:val="0"/>
                <w:i w:val="0"/>
                <w:sz w:val="13"/>
              </w:rPr>
              <w:t>seconds per round (C)</w:t>
            </w:r>
          </w:p>
        </w:tc>
        <w:tc>
          <w:tcPr>
            <w:tcW w:type="dxa" w:w="2244"/>
          </w:tcPr>
          <w:p>
            <w:pPr>
              <w:spacing w:before="24" w:after="24" w:line="172" w:lineRule="exact"/>
              <w:jc w:val="left"/>
            </w:pPr>
            <w:r>
              <w:rPr>
                <w:rFonts w:ascii="Times New Roman" w:hAnsi="Times New Roman" w:cs="Times New Roman" w:eastAsia="Times New Roman"/>
                <w:b w:val="0"/>
                <w:i w:val="0"/>
                <w:sz w:val="13"/>
              </w:rPr>
              <w:t>scheduler cost, and the pre-training premium</w:t>
            </w:r>
          </w:p>
        </w:tc>
      </w:tr>
      <w:tr>
        <w:tc>
          <w:tcPr>
            <w:tcW w:type="dxa" w:w="1020"/>
          </w:tcPr>
          <w:p>
            <w:pPr>
              <w:spacing w:before="24" w:after="24" w:line="172" w:lineRule="exact"/>
              <w:jc w:val="left"/>
            </w:pPr>
            <w:r>
              <w:rPr>
                <w:rFonts w:ascii="Times New Roman" w:hAnsi="Times New Roman" w:cs="Times New Roman" w:eastAsia="Times New Roman"/>
                <w:b w:val="0"/>
                <w:i w:val="0"/>
                <w:sz w:val="13"/>
              </w:rPr>
              <w:t>Longevity</w:t>
            </w:r>
          </w:p>
        </w:tc>
        <w:tc>
          <w:tcPr>
            <w:tcW w:type="dxa" w:w="1836"/>
          </w:tcPr>
          <w:p>
            <w:pPr>
              <w:spacing w:before="24" w:after="24" w:line="172" w:lineRule="exact"/>
              <w:jc w:val="left"/>
            </w:pPr>
            <w:r>
              <w:rPr>
                <w:rFonts w:ascii="Times New Roman" w:hAnsi="Times New Roman" w:cs="Times New Roman" w:eastAsia="Times New Roman"/>
                <w:b w:val="0"/>
                <w:i w:val="0"/>
                <w:sz w:val="13"/>
              </w:rPr>
              <w:t>rounds before A &lt; floor (R)</w:t>
            </w:r>
          </w:p>
        </w:tc>
        <w:tc>
          <w:tcPr>
            <w:tcW w:type="dxa" w:w="2244"/>
          </w:tcPr>
          <w:p>
            <w:pPr>
              <w:spacing w:before="24" w:after="24" w:line="172" w:lineRule="exact"/>
              <w:jc w:val="left"/>
            </w:pPr>
            <w:r>
              <w:rPr>
                <w:rFonts w:ascii="Times New Roman" w:hAnsi="Times New Roman" w:cs="Times New Roman" w:eastAsia="Times New Roman"/>
                <w:b w:val="0"/>
                <w:i w:val="0"/>
                <w:sz w:val="13"/>
              </w:rPr>
              <w:t>usable horizon under attack</w:t>
            </w:r>
          </w:p>
        </w:tc>
      </w:tr>
      <w:tr>
        <w:tc>
          <w:tcPr>
            <w:tcW w:type="dxa" w:w="1020"/>
          </w:tcPr>
          <w:p>
            <w:pPr>
              <w:spacing w:before="24" w:after="24" w:line="172" w:lineRule="exact"/>
              <w:jc w:val="left"/>
            </w:pPr>
            <w:r>
              <w:rPr>
                <w:rFonts w:ascii="Times New Roman" w:hAnsi="Times New Roman" w:cs="Times New Roman" w:eastAsia="Times New Roman"/>
                <w:b w:val="0"/>
                <w:i w:val="0"/>
                <w:sz w:val="13"/>
              </w:rPr>
              <w:t>Efficiency</w:t>
            </w:r>
          </w:p>
        </w:tc>
        <w:tc>
          <w:tcPr>
            <w:tcW w:type="dxa" w:w="1836"/>
          </w:tcPr>
          <w:p>
            <w:pPr>
              <w:spacing w:before="24" w:after="24" w:line="172" w:lineRule="exact"/>
              <w:jc w:val="left"/>
            </w:pPr>
            <w:r>
              <w:rPr>
                <w:rFonts w:ascii="Times New Roman" w:hAnsi="Times New Roman" w:cs="Times New Roman" w:eastAsia="Times New Roman"/>
                <w:b w:val="0"/>
                <w:i w:val="0"/>
                <w:sz w:val="13"/>
              </w:rPr>
              <w:t>boosting rounds per refit</w:t>
            </w:r>
          </w:p>
        </w:tc>
        <w:tc>
          <w:tcPr>
            <w:tcW w:type="dxa" w:w="2244"/>
          </w:tcPr>
          <w:p>
            <w:pPr>
              <w:spacing w:before="24" w:after="24" w:line="172" w:lineRule="exact"/>
              <w:jc w:val="left"/>
            </w:pPr>
            <w:r>
              <w:rPr>
                <w:rFonts w:ascii="Times New Roman" w:hAnsi="Times New Roman" w:cs="Times New Roman" w:eastAsia="Times New Roman"/>
                <w:b w:val="0"/>
                <w:i w:val="0"/>
                <w:sz w:val="13"/>
              </w:rPr>
              <w:t>warm-start effectiveness</w:t>
            </w:r>
          </w:p>
        </w:tc>
      </w:tr>
      <w:tr>
        <w:tc>
          <w:tcPr>
            <w:tcW w:type="dxa" w:w="1020"/>
          </w:tcPr>
          <w:p>
            <w:pPr>
              <w:spacing w:before="24" w:after="24" w:line="172" w:lineRule="exact"/>
              <w:jc w:val="left"/>
            </w:pPr>
            <w:r>
              <w:rPr>
                <w:rFonts w:ascii="Times New Roman" w:hAnsi="Times New Roman" w:cs="Times New Roman" w:eastAsia="Times New Roman"/>
                <w:b w:val="0"/>
                <w:i w:val="0"/>
                <w:sz w:val="13"/>
              </w:rPr>
              <w:t>Reference</w:t>
            </w:r>
          </w:p>
        </w:tc>
        <w:tc>
          <w:tcPr>
            <w:tcW w:type="dxa" w:w="1836"/>
          </w:tcPr>
          <w:p>
            <w:pPr>
              <w:spacing w:before="24" w:after="24" w:line="172" w:lineRule="exact"/>
              <w:jc w:val="left"/>
            </w:pPr>
            <w:r>
              <w:rPr>
                <w:rFonts w:ascii="Times New Roman" w:hAnsi="Times New Roman" w:cs="Times New Roman" w:eastAsia="Times New Roman"/>
                <w:b w:val="0"/>
                <w:i w:val="0"/>
                <w:sz w:val="13"/>
              </w:rPr>
              <w:t>five-trial control on [1]</w:t>
            </w:r>
          </w:p>
        </w:tc>
        <w:tc>
          <w:tcPr>
            <w:tcW w:type="dxa" w:w="2244"/>
          </w:tcPr>
          <w:p>
            <w:pPr>
              <w:spacing w:before="24" w:after="24" w:line="172" w:lineRule="exact"/>
              <w:jc w:val="left"/>
            </w:pPr>
            <w:r>
              <w:rPr>
                <w:rFonts w:ascii="Times New Roman" w:hAnsi="Times New Roman" w:cs="Times New Roman" w:eastAsia="Times New Roman"/>
                <w:b w:val="0"/>
                <w:i w:val="0"/>
                <w:sz w:val="13"/>
              </w:rPr>
              <w:t>fidelity of scenario, metrics and loader</w:t>
            </w:r>
          </w:p>
        </w:tc>
      </w:tr>
      <w:tr>
        <w:tc>
          <w:tcPr>
            <w:tcW w:type="dxa" w:w="1020"/>
          </w:tcPr>
          <w:p>
            <w:pPr>
              <w:spacing w:before="24" w:after="24" w:line="172" w:lineRule="exact"/>
              <w:jc w:val="left"/>
            </w:pPr>
            <w:r>
              <w:rPr>
                <w:rFonts w:ascii="Times New Roman" w:hAnsi="Times New Roman" w:cs="Times New Roman" w:eastAsia="Times New Roman"/>
                <w:b w:val="0"/>
                <w:i w:val="0"/>
                <w:sz w:val="13"/>
              </w:rPr>
              <w:t>Stream</w:t>
            </w:r>
          </w:p>
        </w:tc>
        <w:tc>
          <w:tcPr>
            <w:tcW w:type="dxa" w:w="1836"/>
          </w:tcPr>
          <w:p>
            <w:pPr>
              <w:spacing w:before="24" w:after="24" w:line="172" w:lineRule="exact"/>
              <w:jc w:val="left"/>
            </w:pPr>
            <w:r>
              <w:rPr>
                <w:rFonts w:ascii="Times New Roman" w:hAnsi="Times New Roman" w:cs="Times New Roman" w:eastAsia="Times New Roman"/>
                <w:b w:val="0"/>
                <w:i w:val="0"/>
                <w:sz w:val="13"/>
              </w:rPr>
              <w:t>PR-AUC, ROC-AUC, recall at budget</w:t>
            </w:r>
          </w:p>
        </w:tc>
        <w:tc>
          <w:tcPr>
            <w:tcW w:type="dxa" w:w="2244"/>
          </w:tcPr>
          <w:p>
            <w:pPr>
              <w:spacing w:before="24" w:after="24" w:line="172" w:lineRule="exact"/>
              <w:jc w:val="left"/>
            </w:pPr>
            <w:r>
              <w:rPr>
                <w:rFonts w:ascii="Times New Roman" w:hAnsi="Times New Roman" w:cs="Times New Roman" w:eastAsia="Times New Roman"/>
                <w:b w:val="0"/>
                <w:i w:val="0"/>
                <w:sz w:val="13"/>
              </w:rPr>
              <w:t>operational value where labels exist</w:t>
            </w:r>
          </w:p>
        </w:tc>
      </w:tr>
      <w:tr>
        <w:tc>
          <w:tcPr>
            <w:tcW w:type="dxa" w:w="1020"/>
            <w:tcBorders>
              <w:bottom w:val="single" w:sz="8" w:space="0" w:color="000000"/>
            </w:tcBorders>
          </w:tcPr>
          <w:p>
            <w:pPr>
              <w:spacing w:before="24" w:after="24" w:line="172" w:lineRule="exact"/>
              <w:jc w:val="left"/>
            </w:pPr>
            <w:r>
              <w:rPr>
                <w:rFonts w:ascii="Times New Roman" w:hAnsi="Times New Roman" w:cs="Times New Roman" w:eastAsia="Times New Roman"/>
                <w:b w:val="0"/>
                <w:i w:val="0"/>
                <w:sz w:val="13"/>
              </w:rPr>
              <w:t>Governance</w:t>
            </w:r>
          </w:p>
        </w:tc>
        <w:tc>
          <w:tcPr>
            <w:tcW w:type="dxa" w:w="1836"/>
            <w:tcBorders>
              <w:bottom w:val="single" w:sz="8" w:space="0" w:color="000000"/>
            </w:tcBorders>
          </w:tcPr>
          <w:p>
            <w:pPr>
              <w:spacing w:before="24" w:after="24" w:line="172" w:lineRule="exact"/>
              <w:jc w:val="left"/>
            </w:pPr>
            <w:r>
              <w:rPr>
                <w:rFonts w:ascii="Times New Roman" w:hAnsi="Times New Roman" w:cs="Times New Roman" w:eastAsia="Times New Roman"/>
                <w:b w:val="0"/>
                <w:i w:val="0"/>
                <w:sz w:val="13"/>
              </w:rPr>
              <w:t>review-queue size, analyst hours</w:t>
            </w:r>
          </w:p>
        </w:tc>
        <w:tc>
          <w:tcPr>
            <w:tcW w:type="dxa" w:w="2244"/>
            <w:tcBorders>
              <w:bottom w:val="single" w:sz="8" w:space="0" w:color="000000"/>
            </w:tcBorders>
          </w:tcPr>
          <w:p>
            <w:pPr>
              <w:spacing w:before="24" w:after="24" w:line="172" w:lineRule="exact"/>
              <w:jc w:val="left"/>
            </w:pPr>
            <w:r>
              <w:rPr>
                <w:rFonts w:ascii="Times New Roman" w:hAnsi="Times New Roman" w:cs="Times New Roman" w:eastAsia="Times New Roman"/>
                <w:b w:val="0"/>
                <w:i w:val="0"/>
                <w:sz w:val="13"/>
              </w:rPr>
              <w:t>cost of the review threshold</w:t>
            </w:r>
          </w:p>
        </w:tc>
      </w:tr>
    </w:tbl>
    <w:p>
      <w:pPr>
        <w:keepNext w:val="0"/>
        <w:spacing w:before="0" w:after="160" w:line="120" w:lineRule="exact"/>
        <w:ind w:firstLine="0" w:left="0"/>
        <w:jc w:val="both"/>
      </w:pPr>
      <w:r/>
    </w:p>
    <w:p>
      <w:pPr>
        <w:keepNext/>
        <w:spacing w:before="180" w:after="80" w:line="250" w:lineRule="exact"/>
        <w:ind w:firstLine="0" w:left="0"/>
        <w:jc w:val="center"/>
      </w:pPr>
      <w:r>
        <w:rPr>
          <w:rFonts w:ascii="Times New Roman" w:hAnsi="Times New Roman" w:cs="Times New Roman" w:eastAsia="Times New Roman"/>
          <w:b/>
          <w:i w:val="0"/>
          <w:smallCaps/>
          <w:sz w:val="20"/>
        </w:rPr>
        <w:t>9. CONCLUSION</w:t>
      </w:r>
    </w:p>
    <w:p>
      <w:pPr>
        <w:keepNext w:val="0"/>
        <w:spacing w:before="0" w:after="0" w:line="208" w:lineRule="exact"/>
        <w:ind w:firstLine="0" w:left="0"/>
        <w:jc w:val="both"/>
      </w:pPr>
      <w:r>
        <w:rPr>
          <w:rFonts w:ascii="Times New Roman" w:hAnsi="Times New Roman" w:cs="Times New Roman" w:eastAsia="Times New Roman"/>
          <w:b w:val="0"/>
          <w:i w:val="0"/>
          <w:sz w:val="17"/>
        </w:rPr>
        <w:t>Multi-round adversarial promo fraud is a sequential decision problem wearing the clothes of a classification problem. The detector is refitted each round, the population is re-sampled each round by an adversary that has seen the detector's errors, and the only meaningful score is therefore performance on nodes the detector has not previously rejected. AMDL-TPNE implements that protocol end to end: a self-supervised temporal embedder in two execution modes, an adaptive three-model detection layer with warm-started heads, a cumulative support graph, and a closed feedback path from the detector's misses back to the adversary.</w:t>
      </w:r>
    </w:p>
    <w:p>
      <w:pPr>
        <w:keepNext w:val="0"/>
        <w:spacing w:before="0" w:after="0" w:line="208" w:lineRule="exact"/>
        <w:ind w:firstLine="0" w:left="0"/>
        <w:jc w:val="both"/>
      </w:pPr>
      <w:r>
        <w:rPr>
          <w:rFonts w:ascii="Times New Roman" w:hAnsi="Times New Roman" w:cs="Times New Roman" w:eastAsia="Times New Roman"/>
          <w:b w:val="0"/>
          <w:i w:val="0"/>
          <w:sz w:val="17"/>
        </w:rPr>
        <w:t>The central positive measurement is narrow and worth stating precisely. On a fixed embedding, under a fixed scenario, replacing a single XGBoost head with the three-model layer raised average on-round F</w:t>
      </w:r>
      <w:r>
        <w:rPr>
          <w:rFonts w:ascii="Times New Roman" w:hAnsi="Times New Roman" w:cs="Times New Roman" w:eastAsia="Times New Roman"/>
          <w:b w:val="0"/>
          <w:i w:val="0"/>
          <w:sz w:val="17"/>
          <w:vertAlign w:val="subscript"/>
        </w:rPr>
        <w:t>1</w:t>
      </w:r>
      <w:r>
        <w:rPr>
          <w:rFonts w:ascii="Times New Roman" w:hAnsi="Times New Roman" w:cs="Times New Roman" w:eastAsia="Times New Roman"/>
          <w:b w:val="0"/>
          <w:i w:val="0"/>
          <w:sz w:val="17"/>
        </w:rPr>
        <w:t xml:space="preserve"> from 0.119 to 0.263 in a single trial. The central negative measurements are equally clear. The best configuration measured remains well below the published reference figure of 57.09 ± 2.33; two nominally identical runs differ fourfold; and gradient pre-training of the encoder cost a factor of 4.3 in wall-clock time for no measurable gain in F</w:t>
      </w:r>
      <w:r>
        <w:rPr>
          <w:rFonts w:ascii="Times New Roman" w:hAnsi="Times New Roman" w:cs="Times New Roman" w:eastAsia="Times New Roman"/>
          <w:b w:val="0"/>
          <w:i w:val="0"/>
          <w:sz w:val="17"/>
          <w:vertAlign w:val="subscript"/>
        </w:rPr>
        <w:t>1</w:t>
      </w:r>
      <w:r>
        <w:rPr>
          <w:rFonts w:ascii="Times New Roman" w:hAnsi="Times New Roman" w:cs="Times New Roman" w:eastAsia="Times New Roman"/>
          <w:b w:val="0"/>
          <w:i w:val="0"/>
          <w:sz w:val="17"/>
        </w:rPr>
        <w:t>. None of these should be presented otherwise.</w:t>
      </w:r>
    </w:p>
    <w:p>
      <w:pPr>
        <w:keepNext w:val="0"/>
        <w:spacing w:before="0" w:after="0" w:line="208" w:lineRule="exact"/>
        <w:ind w:firstLine="0" w:left="0"/>
        <w:jc w:val="both"/>
      </w:pPr>
      <w:r>
        <w:rPr>
          <w:rFonts w:ascii="Times New Roman" w:hAnsi="Times New Roman" w:cs="Times New Roman" w:eastAsia="Times New Roman"/>
          <w:b w:val="0"/>
          <w:i w:val="0"/>
          <w:sz w:val="17"/>
        </w:rPr>
        <w:t>The value of the framework at this stage is that it makes the remaining work precise. The gap to the reference has three candidate causes that are individually testable, the variance that would otherwise hide every result has been identified as the first thing to control, and the incremental embedder makes the long-horizon evaluation that the whole premise depends on affordable. A stronger and less honest position would be available today; it would not survive the greedy adversary that this work was built to run.</w:t>
      </w:r>
    </w:p>
    <w:p>
      <w:pPr>
        <w:keepNext/>
        <w:spacing w:before="180" w:after="80" w:line="250" w:lineRule="exact"/>
        <w:ind w:firstLine="0" w:left="0"/>
        <w:jc w:val="center"/>
      </w:pPr>
      <w:r>
        <w:rPr>
          <w:rFonts w:ascii="Times New Roman" w:hAnsi="Times New Roman" w:cs="Times New Roman" w:eastAsia="Times New Roman"/>
          <w:b/>
          <w:i w:val="0"/>
          <w:smallCaps/>
          <w:sz w:val="20"/>
        </w:rPr>
        <w:t>REFERENCES</w:t>
      </w:r>
    </w:p>
    <w:p>
      <w:pPr>
        <w:keepNext w:val="0"/>
        <w:spacing w:before="0" w:after="30" w:line="192" w:lineRule="exact"/>
        <w:ind w:hanging="280" w:left="280"/>
        <w:jc w:val="both"/>
      </w:pPr>
      <w:r>
        <w:rPr>
          <w:rFonts w:ascii="Times New Roman" w:hAnsi="Times New Roman" w:cs="Times New Roman" w:eastAsia="Times New Roman"/>
          <w:b w:val="0"/>
          <w:i w:val="0"/>
          <w:sz w:val="15"/>
        </w:rPr>
        <w:t>[1]</w:t>
        <w:tab/>
        <w:t xml:space="preserve">H. A. Prasetya, X. Liu, T. Murata, and A. Matono, “A multi-rounded adversarial scenario for graph-based promo fraud detection,” </w:t>
      </w:r>
      <w:r>
        <w:rPr>
          <w:rFonts w:ascii="Times New Roman" w:hAnsi="Times New Roman" w:cs="Times New Roman" w:eastAsia="Times New Roman"/>
          <w:b w:val="0"/>
          <w:i/>
          <w:sz w:val="15"/>
        </w:rPr>
        <w:t>Social Network Analysis and Mining</w:t>
      </w:r>
      <w:r>
        <w:rPr>
          <w:rFonts w:ascii="Times New Roman" w:hAnsi="Times New Roman" w:cs="Times New Roman" w:eastAsia="Times New Roman"/>
          <w:b w:val="0"/>
          <w:i w:val="0"/>
          <w:sz w:val="15"/>
        </w:rPr>
        <w:t>, 2026, doi: 10.1007/s13278-025-01566-0.</w:t>
      </w:r>
    </w:p>
    <w:p>
      <w:pPr>
        <w:keepNext w:val="0"/>
        <w:spacing w:before="0" w:after="30" w:line="192" w:lineRule="exact"/>
        <w:ind w:hanging="280" w:left="280"/>
        <w:jc w:val="both"/>
      </w:pPr>
      <w:r>
        <w:rPr>
          <w:rFonts w:ascii="Times New Roman" w:hAnsi="Times New Roman" w:cs="Times New Roman" w:eastAsia="Times New Roman"/>
          <w:b w:val="0"/>
          <w:i w:val="0"/>
          <w:sz w:val="15"/>
        </w:rPr>
        <w:t>[2]</w:t>
        <w:tab/>
        <w:t xml:space="preserve">Y. Mao, C. You, J. Zhang, K. Huang, and L. Yang, “A survey on mobile cloud edge computing: the role of cloud computing in 5G and beyond,” </w:t>
      </w:r>
      <w:r>
        <w:rPr>
          <w:rFonts w:ascii="Times New Roman" w:hAnsi="Times New Roman" w:cs="Times New Roman" w:eastAsia="Times New Roman"/>
          <w:b w:val="0"/>
          <w:i/>
          <w:sz w:val="15"/>
        </w:rPr>
        <w:t>IEEE Communications Surveys &amp; Tutorials</w:t>
      </w:r>
      <w:r>
        <w:rPr>
          <w:rFonts w:ascii="Times New Roman" w:hAnsi="Times New Roman" w:cs="Times New Roman" w:eastAsia="Times New Roman"/>
          <w:b w:val="0"/>
          <w:i w:val="0"/>
          <w:sz w:val="15"/>
        </w:rPr>
        <w:t>, vol. 19, no. 4, pp. 2322-2358, 2017.</w:t>
      </w:r>
    </w:p>
    <w:p>
      <w:pPr>
        <w:keepNext w:val="0"/>
        <w:spacing w:before="0" w:after="30" w:line="192" w:lineRule="exact"/>
        <w:ind w:hanging="280" w:left="280"/>
        <w:jc w:val="both"/>
      </w:pPr>
      <w:r>
        <w:rPr>
          <w:rFonts w:ascii="Times New Roman" w:hAnsi="Times New Roman" w:cs="Times New Roman" w:eastAsia="Times New Roman"/>
          <w:b w:val="0"/>
          <w:i w:val="0"/>
          <w:sz w:val="15"/>
        </w:rPr>
        <w:t>[3]</w:t>
        <w:tab/>
        <w:t xml:space="preserve">W. Shi, J. Cao, Q. Zhang, Y. Li, and L. Xu, “Edge computing: vision and challenges,” </w:t>
      </w:r>
      <w:r>
        <w:rPr>
          <w:rFonts w:ascii="Times New Roman" w:hAnsi="Times New Roman" w:cs="Times New Roman" w:eastAsia="Times New Roman"/>
          <w:b w:val="0"/>
          <w:i/>
          <w:sz w:val="15"/>
        </w:rPr>
        <w:t>IEEE Internet of Things Journal</w:t>
      </w:r>
      <w:r>
        <w:rPr>
          <w:rFonts w:ascii="Times New Roman" w:hAnsi="Times New Roman" w:cs="Times New Roman" w:eastAsia="Times New Roman"/>
          <w:b w:val="0"/>
          <w:i w:val="0"/>
          <w:sz w:val="15"/>
        </w:rPr>
        <w:t>, vol. 3, no. 5, pp. 637-646, 2016.</w:t>
      </w:r>
    </w:p>
    <w:p>
      <w:pPr>
        <w:keepNext w:val="0"/>
        <w:spacing w:before="0" w:after="30" w:line="192" w:lineRule="exact"/>
        <w:ind w:hanging="280" w:left="280"/>
        <w:jc w:val="both"/>
      </w:pPr>
      <w:r>
        <w:rPr>
          <w:rFonts w:ascii="Times New Roman" w:hAnsi="Times New Roman" w:cs="Times New Roman" w:eastAsia="Times New Roman"/>
          <w:b w:val="0"/>
          <w:i w:val="0"/>
          <w:sz w:val="15"/>
        </w:rPr>
        <w:t>[4]</w:t>
        <w:tab/>
        <w:t xml:space="preserve">T. Chen and C. Guestrin, “XGBoost: a scalable tree boosting system,” in </w:t>
      </w:r>
      <w:r>
        <w:rPr>
          <w:rFonts w:ascii="Times New Roman" w:hAnsi="Times New Roman" w:cs="Times New Roman" w:eastAsia="Times New Roman"/>
          <w:b w:val="0"/>
          <w:i/>
          <w:sz w:val="15"/>
        </w:rPr>
        <w:t>Proc. 22nd ACM SIGKDD Int. Conf. Knowledge Discovery and Data Mining</w:t>
      </w:r>
      <w:r>
        <w:rPr>
          <w:rFonts w:ascii="Times New Roman" w:hAnsi="Times New Roman" w:cs="Times New Roman" w:eastAsia="Times New Roman"/>
          <w:b w:val="0"/>
          <w:i w:val="0"/>
          <w:sz w:val="15"/>
        </w:rPr>
        <w:t>, 2016, pp. 785-794.</w:t>
      </w:r>
    </w:p>
    <w:p>
      <w:pPr>
        <w:keepNext w:val="0"/>
        <w:spacing w:before="0" w:after="30" w:line="192" w:lineRule="exact"/>
        <w:ind w:hanging="280" w:left="280"/>
        <w:jc w:val="both"/>
      </w:pPr>
      <w:r>
        <w:rPr>
          <w:rFonts w:ascii="Times New Roman" w:hAnsi="Times New Roman" w:cs="Times New Roman" w:eastAsia="Times New Roman"/>
          <w:b w:val="0"/>
          <w:i w:val="0"/>
          <w:sz w:val="15"/>
        </w:rPr>
        <w:t>[5]</w:t>
        <w:tab/>
        <w:t xml:space="preserve">G. Ke, Q. Meng, T. Finley, T. Wang, W. Chen, W. Ma, Q. Ye, and T.-Y. Liu, “LightGBM: a highly efficient gradient boosting decision tree,” in </w:t>
      </w:r>
      <w:r>
        <w:rPr>
          <w:rFonts w:ascii="Times New Roman" w:hAnsi="Times New Roman" w:cs="Times New Roman" w:eastAsia="Times New Roman"/>
          <w:b w:val="0"/>
          <w:i/>
          <w:sz w:val="15"/>
        </w:rPr>
        <w:t>Advances in Neural Information Processing Systems</w:t>
      </w:r>
      <w:r>
        <w:rPr>
          <w:rFonts w:ascii="Times New Roman" w:hAnsi="Times New Roman" w:cs="Times New Roman" w:eastAsia="Times New Roman"/>
          <w:b w:val="0"/>
          <w:i w:val="0"/>
          <w:sz w:val="15"/>
        </w:rPr>
        <w:t>, 2017, pp. 3146-3154.</w:t>
      </w:r>
    </w:p>
    <w:p>
      <w:pPr>
        <w:keepNext w:val="0"/>
        <w:spacing w:before="0" w:after="30" w:line="192" w:lineRule="exact"/>
        <w:ind w:hanging="280" w:left="280"/>
        <w:jc w:val="both"/>
      </w:pPr>
      <w:r>
        <w:rPr>
          <w:rFonts w:ascii="Times New Roman" w:hAnsi="Times New Roman" w:cs="Times New Roman" w:eastAsia="Times New Roman"/>
          <w:b w:val="0"/>
          <w:i w:val="0"/>
          <w:sz w:val="15"/>
        </w:rPr>
        <w:t>[6]</w:t>
        <w:tab/>
        <w:t xml:space="preserve">L. Breiman, “Random forests,” </w:t>
      </w:r>
      <w:r>
        <w:rPr>
          <w:rFonts w:ascii="Times New Roman" w:hAnsi="Times New Roman" w:cs="Times New Roman" w:eastAsia="Times New Roman"/>
          <w:b w:val="0"/>
          <w:i/>
          <w:sz w:val="15"/>
        </w:rPr>
        <w:t>Machine Learning</w:t>
      </w:r>
      <w:r>
        <w:rPr>
          <w:rFonts w:ascii="Times New Roman" w:hAnsi="Times New Roman" w:cs="Times New Roman" w:eastAsia="Times New Roman"/>
          <w:b w:val="0"/>
          <w:i w:val="0"/>
          <w:sz w:val="15"/>
        </w:rPr>
        <w:t>, vol. 45, no. 1, pp. 5-32, 2001.</w:t>
      </w:r>
    </w:p>
    <w:p>
      <w:pPr>
        <w:keepNext w:val="0"/>
        <w:spacing w:before="0" w:after="30" w:line="192" w:lineRule="exact"/>
        <w:ind w:hanging="280" w:left="280"/>
        <w:jc w:val="both"/>
      </w:pPr>
      <w:r>
        <w:rPr>
          <w:rFonts w:ascii="Times New Roman" w:hAnsi="Times New Roman" w:cs="Times New Roman" w:eastAsia="Times New Roman"/>
          <w:b w:val="0"/>
          <w:i w:val="0"/>
          <w:sz w:val="15"/>
        </w:rPr>
        <w:t>[7]</w:t>
        <w:tab/>
        <w:t xml:space="preserve">F. Pedregosa </w:t>
      </w:r>
      <w:r>
        <w:rPr>
          <w:rFonts w:ascii="Times New Roman" w:hAnsi="Times New Roman" w:cs="Times New Roman" w:eastAsia="Times New Roman"/>
          <w:b w:val="0"/>
          <w:i/>
          <w:sz w:val="15"/>
        </w:rPr>
        <w:t>et al.</w:t>
      </w:r>
      <w:r>
        <w:rPr>
          <w:rFonts w:ascii="Times New Roman" w:hAnsi="Times New Roman" w:cs="Times New Roman" w:eastAsia="Times New Roman"/>
          <w:b w:val="0"/>
          <w:i w:val="0"/>
          <w:sz w:val="15"/>
        </w:rPr>
        <w:t xml:space="preserve">, “Scikit-learn: machine learning in Python,” </w:t>
      </w:r>
      <w:r>
        <w:rPr>
          <w:rFonts w:ascii="Times New Roman" w:hAnsi="Times New Roman" w:cs="Times New Roman" w:eastAsia="Times New Roman"/>
          <w:b w:val="0"/>
          <w:i/>
          <w:sz w:val="15"/>
        </w:rPr>
        <w:t>Journal of Machine Learning Research</w:t>
      </w:r>
      <w:r>
        <w:rPr>
          <w:rFonts w:ascii="Times New Roman" w:hAnsi="Times New Roman" w:cs="Times New Roman" w:eastAsia="Times New Roman"/>
          <w:b w:val="0"/>
          <w:i w:val="0"/>
          <w:sz w:val="15"/>
        </w:rPr>
        <w:t>, vol. 12, pp. 2825-2830, 2011.</w:t>
      </w:r>
    </w:p>
    <w:p>
      <w:pPr>
        <w:keepNext w:val="0"/>
        <w:spacing w:before="0" w:after="30" w:line="192" w:lineRule="exact"/>
        <w:ind w:hanging="280" w:left="280"/>
        <w:jc w:val="both"/>
      </w:pPr>
      <w:r>
        <w:rPr>
          <w:rFonts w:ascii="Times New Roman" w:hAnsi="Times New Roman" w:cs="Times New Roman" w:eastAsia="Times New Roman"/>
          <w:b w:val="0"/>
          <w:i w:val="0"/>
          <w:sz w:val="15"/>
        </w:rPr>
        <w:t>[8]</w:t>
        <w:tab/>
        <w:t xml:space="preserve">T. Fawcett, “An introduction to ROC analysis,” </w:t>
      </w:r>
      <w:r>
        <w:rPr>
          <w:rFonts w:ascii="Times New Roman" w:hAnsi="Times New Roman" w:cs="Times New Roman" w:eastAsia="Times New Roman"/>
          <w:b w:val="0"/>
          <w:i/>
          <w:sz w:val="15"/>
        </w:rPr>
        <w:t>Pattern Recognition Letters</w:t>
      </w:r>
      <w:r>
        <w:rPr>
          <w:rFonts w:ascii="Times New Roman" w:hAnsi="Times New Roman" w:cs="Times New Roman" w:eastAsia="Times New Roman"/>
          <w:b w:val="0"/>
          <w:i w:val="0"/>
          <w:sz w:val="15"/>
        </w:rPr>
        <w:t>, vol. 27, no. 8, pp. 861-874, 2006.</w:t>
      </w:r>
    </w:p>
    <w:p>
      <w:pPr>
        <w:keepNext w:val="0"/>
        <w:spacing w:before="0" w:after="30" w:line="192" w:lineRule="exact"/>
        <w:ind w:hanging="280" w:left="280"/>
        <w:jc w:val="both"/>
      </w:pPr>
      <w:r>
        <w:rPr>
          <w:rFonts w:ascii="Times New Roman" w:hAnsi="Times New Roman" w:cs="Times New Roman" w:eastAsia="Times New Roman"/>
          <w:b w:val="0"/>
          <w:i w:val="0"/>
          <w:sz w:val="15"/>
        </w:rPr>
        <w:t>[9]</w:t>
        <w:tab/>
        <w:t xml:space="preserve">T. Fawcett, “Precision-recall graphs for imbalanced datasets,” in </w:t>
      </w:r>
      <w:r>
        <w:rPr>
          <w:rFonts w:ascii="Times New Roman" w:hAnsi="Times New Roman" w:cs="Times New Roman" w:eastAsia="Times New Roman"/>
          <w:b w:val="0"/>
          <w:i/>
          <w:sz w:val="15"/>
        </w:rPr>
        <w:t>Proc. 18th European Conf. Machine Learning</w:t>
      </w:r>
      <w:r>
        <w:rPr>
          <w:rFonts w:ascii="Times New Roman" w:hAnsi="Times New Roman" w:cs="Times New Roman" w:eastAsia="Times New Roman"/>
          <w:b w:val="0"/>
          <w:i w:val="0"/>
          <w:sz w:val="15"/>
        </w:rPr>
        <w:t>, 2011, pp. 267-270.</w:t>
      </w:r>
    </w:p>
    <w:p>
      <w:pPr>
        <w:keepNext w:val="0"/>
        <w:spacing w:before="0" w:after="30" w:line="192" w:lineRule="exact"/>
        <w:ind w:hanging="280" w:left="280"/>
        <w:jc w:val="both"/>
      </w:pPr>
      <w:r>
        <w:rPr>
          <w:rFonts w:ascii="Times New Roman" w:hAnsi="Times New Roman" w:cs="Times New Roman" w:eastAsia="Times New Roman"/>
          <w:b w:val="0"/>
          <w:i w:val="0"/>
          <w:sz w:val="15"/>
        </w:rPr>
        <w:t>[10]</w:t>
        <w:tab/>
        <w:t xml:space="preserve">M. Hall, A. Frank, E. Holmes, B. Pfahringer, and R. Wittenberg, “The WEKA data mining software: an update,” </w:t>
      </w:r>
      <w:r>
        <w:rPr>
          <w:rFonts w:ascii="Times New Roman" w:hAnsi="Times New Roman" w:cs="Times New Roman" w:eastAsia="Times New Roman"/>
          <w:b w:val="0"/>
          <w:i/>
          <w:sz w:val="15"/>
        </w:rPr>
        <w:t>ACM SIGKDD Explorations Newsletter</w:t>
      </w:r>
      <w:r>
        <w:rPr>
          <w:rFonts w:ascii="Times New Roman" w:hAnsi="Times New Roman" w:cs="Times New Roman" w:eastAsia="Times New Roman"/>
          <w:b w:val="0"/>
          <w:i w:val="0"/>
          <w:sz w:val="15"/>
        </w:rPr>
        <w:t>, vol. 11, no. 1, pp. 36-38, 2009.</w:t>
      </w:r>
    </w:p>
    <w:p>
      <w:pPr>
        <w:keepNext w:val="0"/>
        <w:spacing w:before="0" w:after="30" w:line="192" w:lineRule="exact"/>
        <w:ind w:hanging="280" w:left="280"/>
        <w:jc w:val="both"/>
      </w:pPr>
      <w:r>
        <w:rPr>
          <w:rFonts w:ascii="Times New Roman" w:hAnsi="Times New Roman" w:cs="Times New Roman" w:eastAsia="Times New Roman"/>
          <w:b w:val="0"/>
          <w:i w:val="0"/>
          <w:sz w:val="15"/>
        </w:rPr>
        <w:t>[11]</w:t>
        <w:tab/>
        <w:t xml:space="preserve">K. Tang, L. Cui, J. Feng, Z. Wang, Y. Li, M. S. Islam, and H. Xiao, “Heterogeneous graph neural network for fraud detection,” in </w:t>
      </w:r>
      <w:r>
        <w:rPr>
          <w:rFonts w:ascii="Times New Roman" w:hAnsi="Times New Roman" w:cs="Times New Roman" w:eastAsia="Times New Roman"/>
          <w:b w:val="0"/>
          <w:i/>
          <w:sz w:val="15"/>
        </w:rPr>
        <w:t>Proc. 28th ACM Int. Conf. Information and Knowledge Management</w:t>
      </w:r>
      <w:r>
        <w:rPr>
          <w:rFonts w:ascii="Times New Roman" w:hAnsi="Times New Roman" w:cs="Times New Roman" w:eastAsia="Times New Roman"/>
          <w:b w:val="0"/>
          <w:i w:val="0"/>
          <w:sz w:val="15"/>
        </w:rPr>
        <w:t>, 2019, pp. 2230-2239.</w:t>
      </w:r>
    </w:p>
    <w:p>
      <w:pPr>
        <w:keepNext w:val="0"/>
        <w:spacing w:before="0" w:after="30" w:line="192" w:lineRule="exact"/>
        <w:ind w:hanging="280" w:left="280"/>
        <w:jc w:val="both"/>
      </w:pPr>
      <w:r>
        <w:rPr>
          <w:rFonts w:ascii="Times New Roman" w:hAnsi="Times New Roman" w:cs="Times New Roman" w:eastAsia="Times New Roman"/>
          <w:b w:val="0"/>
          <w:i w:val="0"/>
          <w:sz w:val="15"/>
        </w:rPr>
        <w:t>[12]</w:t>
        <w:tab/>
        <w:t xml:space="preserve">Z. Wang, J. Zhang, J. Xu, and P. Cui, “Heterogeneous information network embedding for recommendation,” in </w:t>
      </w:r>
      <w:r>
        <w:rPr>
          <w:rFonts w:ascii="Times New Roman" w:hAnsi="Times New Roman" w:cs="Times New Roman" w:eastAsia="Times New Roman"/>
          <w:b w:val="0"/>
          <w:i/>
          <w:sz w:val="15"/>
        </w:rPr>
        <w:t>Proc. 24th ACM SIGKDD Int. Conf. Knowledge Discovery and Data Mining</w:t>
      </w:r>
      <w:r>
        <w:rPr>
          <w:rFonts w:ascii="Times New Roman" w:hAnsi="Times New Roman" w:cs="Times New Roman" w:eastAsia="Times New Roman"/>
          <w:b w:val="0"/>
          <w:i w:val="0"/>
          <w:sz w:val="15"/>
        </w:rPr>
        <w:t>, 2018, pp. 2169-2178.</w:t>
      </w:r>
    </w:p>
    <w:p>
      <w:pPr>
        <w:keepNext w:val="0"/>
        <w:spacing w:before="0" w:after="30" w:line="192" w:lineRule="exact"/>
        <w:ind w:hanging="280" w:left="280"/>
        <w:jc w:val="both"/>
      </w:pPr>
      <w:r>
        <w:rPr>
          <w:rFonts w:ascii="Times New Roman" w:hAnsi="Times New Roman" w:cs="Times New Roman" w:eastAsia="Times New Roman"/>
          <w:b w:val="0"/>
          <w:i w:val="0"/>
          <w:sz w:val="15"/>
        </w:rPr>
        <w:t>[13]</w:t>
        <w:tab/>
        <w:t xml:space="preserve">D. Yoon, K. Lee, and K. Lee, “Injection-free graph neural network fraud detection,” in </w:t>
      </w:r>
      <w:r>
        <w:rPr>
          <w:rFonts w:ascii="Times New Roman" w:hAnsi="Times New Roman" w:cs="Times New Roman" w:eastAsia="Times New Roman"/>
          <w:b w:val="0"/>
          <w:i/>
          <w:sz w:val="15"/>
        </w:rPr>
        <w:t>Proc. 26th ACM SIGKDD Int. Conf. Knowledge Discovery and Data Mining</w:t>
      </w:r>
      <w:r>
        <w:rPr>
          <w:rFonts w:ascii="Times New Roman" w:hAnsi="Times New Roman" w:cs="Times New Roman" w:eastAsia="Times New Roman"/>
          <w:b w:val="0"/>
          <w:i w:val="0"/>
          <w:sz w:val="15"/>
        </w:rPr>
        <w:t>, 2020, pp. 2665-2673.</w:t>
      </w:r>
    </w:p>
    <w:p>
      <w:pPr>
        <w:keepNext w:val="0"/>
        <w:spacing w:before="0" w:after="30" w:line="192" w:lineRule="exact"/>
        <w:ind w:hanging="280" w:left="280"/>
        <w:jc w:val="both"/>
      </w:pPr>
      <w:r>
        <w:rPr>
          <w:rFonts w:ascii="Times New Roman" w:hAnsi="Times New Roman" w:cs="Times New Roman" w:eastAsia="Times New Roman"/>
          <w:b w:val="0"/>
          <w:i w:val="0"/>
          <w:sz w:val="15"/>
        </w:rPr>
        <w:t>[14]</w:t>
        <w:tab/>
        <w:t xml:space="preserve">C. Chen, S. Yang, R. Huang, Z. Wang, and L. Sun, “Boosting graph neural networks for fraud detection with propagation and contrastive learning,” in </w:t>
      </w:r>
      <w:r>
        <w:rPr>
          <w:rFonts w:ascii="Times New Roman" w:hAnsi="Times New Roman" w:cs="Times New Roman" w:eastAsia="Times New Roman"/>
          <w:b w:val="0"/>
          <w:i/>
          <w:sz w:val="15"/>
        </w:rPr>
        <w:t>Advances in Neural Information Processing Systems</w:t>
      </w:r>
      <w:r>
        <w:rPr>
          <w:rFonts w:ascii="Times New Roman" w:hAnsi="Times New Roman" w:cs="Times New Roman" w:eastAsia="Times New Roman"/>
          <w:b w:val="0"/>
          <w:i w:val="0"/>
          <w:sz w:val="15"/>
        </w:rPr>
        <w:t>, 2023, pp. 5473-5485.</w:t>
      </w:r>
    </w:p>
    <w:p>
      <w:pPr>
        <w:keepNext w:val="0"/>
        <w:spacing w:before="0" w:after="30" w:line="192" w:lineRule="exact"/>
        <w:ind w:hanging="280" w:left="280"/>
        <w:jc w:val="both"/>
      </w:pPr>
      <w:r>
        <w:rPr>
          <w:rFonts w:ascii="Times New Roman" w:hAnsi="Times New Roman" w:cs="Times New Roman" w:eastAsia="Times New Roman"/>
          <w:b w:val="0"/>
          <w:i w:val="0"/>
          <w:sz w:val="15"/>
        </w:rPr>
        <w:t>[15]</w:t>
        <w:tab/>
        <w:t xml:space="preserve">W. Hamilton, R. Ying, and J. Leskovec, “Inductive representation learning on large graphs,” in </w:t>
      </w:r>
      <w:r>
        <w:rPr>
          <w:rFonts w:ascii="Times New Roman" w:hAnsi="Times New Roman" w:cs="Times New Roman" w:eastAsia="Times New Roman"/>
          <w:b w:val="0"/>
          <w:i/>
          <w:sz w:val="15"/>
        </w:rPr>
        <w:t>Advances in Neural Information Processing Systems</w:t>
      </w:r>
      <w:r>
        <w:rPr>
          <w:rFonts w:ascii="Times New Roman" w:hAnsi="Times New Roman" w:cs="Times New Roman" w:eastAsia="Times New Roman"/>
          <w:b w:val="0"/>
          <w:i w:val="0"/>
          <w:sz w:val="15"/>
        </w:rPr>
        <w:t>, 2017, pp. 1024-1034.</w:t>
      </w:r>
    </w:p>
    <w:p>
      <w:pPr>
        <w:keepNext w:val="0"/>
        <w:spacing w:before="0" w:after="30" w:line="192" w:lineRule="exact"/>
        <w:ind w:hanging="280" w:left="280"/>
        <w:jc w:val="both"/>
      </w:pPr>
      <w:r>
        <w:rPr>
          <w:rFonts w:ascii="Times New Roman" w:hAnsi="Times New Roman" w:cs="Times New Roman" w:eastAsia="Times New Roman"/>
          <w:b w:val="0"/>
          <w:i w:val="0"/>
          <w:sz w:val="15"/>
        </w:rPr>
        <w:t>[16]</w:t>
        <w:tab/>
        <w:t xml:space="preserve">B. Perozzi </w:t>
      </w:r>
      <w:r>
        <w:rPr>
          <w:rFonts w:ascii="Times New Roman" w:hAnsi="Times New Roman" w:cs="Times New Roman" w:eastAsia="Times New Roman"/>
          <w:b w:val="0"/>
          <w:i/>
          <w:sz w:val="15"/>
        </w:rPr>
        <w:t>et al.</w:t>
      </w:r>
      <w:r>
        <w:rPr>
          <w:rFonts w:ascii="Times New Roman" w:hAnsi="Times New Roman" w:cs="Times New Roman" w:eastAsia="Times New Roman"/>
          <w:b w:val="0"/>
          <w:i w:val="0"/>
          <w:sz w:val="15"/>
        </w:rPr>
        <w:t xml:space="preserve">, “Inductive representation learning on large graphs,” in </w:t>
      </w:r>
      <w:r>
        <w:rPr>
          <w:rFonts w:ascii="Times New Roman" w:hAnsi="Times New Roman" w:cs="Times New Roman" w:eastAsia="Times New Roman"/>
          <w:b w:val="0"/>
          <w:i/>
          <w:sz w:val="15"/>
        </w:rPr>
        <w:t>Advances in Neural Information Processing Systems</w:t>
      </w:r>
      <w:r>
        <w:rPr>
          <w:rFonts w:ascii="Times New Roman" w:hAnsi="Times New Roman" w:cs="Times New Roman" w:eastAsia="Times New Roman"/>
          <w:b w:val="0"/>
          <w:i w:val="0"/>
          <w:sz w:val="15"/>
        </w:rPr>
        <w:t>, 2020, pp. 6870-6881.</w:t>
      </w:r>
    </w:p>
    <w:p>
      <w:pPr>
        <w:keepNext w:val="0"/>
        <w:spacing w:before="0" w:after="30" w:line="192" w:lineRule="exact"/>
        <w:ind w:hanging="280" w:left="280"/>
        <w:jc w:val="both"/>
      </w:pPr>
      <w:r>
        <w:rPr>
          <w:rFonts w:ascii="Times New Roman" w:hAnsi="Times New Roman" w:cs="Times New Roman" w:eastAsia="Times New Roman"/>
          <w:b w:val="0"/>
          <w:i w:val="0"/>
          <w:sz w:val="15"/>
        </w:rPr>
        <w:t>[17]</w:t>
        <w:tab/>
        <w:t xml:space="preserve">K. He, X. Ying, Y. Chen, P. Cui, X. Ke, D. Jin, Y. Feng, and P. Luo, “Learning temporal node representations with dynamic graph neural networks,” in </w:t>
      </w:r>
      <w:r>
        <w:rPr>
          <w:rFonts w:ascii="Times New Roman" w:hAnsi="Times New Roman" w:cs="Times New Roman" w:eastAsia="Times New Roman"/>
          <w:b w:val="0"/>
          <w:i/>
          <w:sz w:val="15"/>
        </w:rPr>
        <w:t>Proc. 4th Int. Workshop on Learning from Time Series Graphs</w:t>
      </w:r>
      <w:r>
        <w:rPr>
          <w:rFonts w:ascii="Times New Roman" w:hAnsi="Times New Roman" w:cs="Times New Roman" w:eastAsia="Times New Roman"/>
          <w:b w:val="0"/>
          <w:i w:val="0"/>
          <w:sz w:val="15"/>
        </w:rPr>
        <w:t>, 2021, pp. 81-89.</w:t>
      </w:r>
    </w:p>
    <w:p>
      <w:pPr>
        <w:keepNext w:val="0"/>
        <w:spacing w:before="0" w:after="30" w:line="192" w:lineRule="exact"/>
        <w:ind w:hanging="280" w:left="280"/>
        <w:jc w:val="both"/>
      </w:pPr>
      <w:r>
        <w:rPr>
          <w:rFonts w:ascii="Times New Roman" w:hAnsi="Times New Roman" w:cs="Times New Roman" w:eastAsia="Times New Roman"/>
          <w:b w:val="0"/>
          <w:i w:val="0"/>
          <w:sz w:val="15"/>
        </w:rPr>
        <w:t>[18]</w:t>
        <w:tab/>
        <w:t xml:space="preserve">R. van Breun and W. van der Gaast, “Performance differences between bagging and other ensemble methods on fraud detection,” in </w:t>
      </w:r>
      <w:r>
        <w:rPr>
          <w:rFonts w:ascii="Times New Roman" w:hAnsi="Times New Roman" w:cs="Times New Roman" w:eastAsia="Times New Roman"/>
          <w:b w:val="0"/>
          <w:i/>
          <w:sz w:val="15"/>
        </w:rPr>
        <w:t>Proc. Joint European Conf. Machine Learning and Knowledge Discovery in Databases</w:t>
      </w:r>
      <w:r>
        <w:rPr>
          <w:rFonts w:ascii="Times New Roman" w:hAnsi="Times New Roman" w:cs="Times New Roman" w:eastAsia="Times New Roman"/>
          <w:b w:val="0"/>
          <w:i w:val="0"/>
          <w:sz w:val="15"/>
        </w:rPr>
        <w:t>, 2021, pp. 562-576.</w:t>
      </w:r>
    </w:p>
    <w:p>
      <w:pPr>
        <w:keepNext w:val="0"/>
        <w:spacing w:before="0" w:after="30" w:line="192" w:lineRule="exact"/>
        <w:ind w:hanging="280" w:left="280"/>
        <w:jc w:val="both"/>
      </w:pPr>
      <w:r>
        <w:rPr>
          <w:rFonts w:ascii="Times New Roman" w:hAnsi="Times New Roman" w:cs="Times New Roman" w:eastAsia="Times New Roman"/>
          <w:b w:val="0"/>
          <w:i w:val="0"/>
          <w:sz w:val="15"/>
        </w:rPr>
        <w:t>[19]</w:t>
        <w:tab/>
        <w:t xml:space="preserve">S. Géron, </w:t>
      </w:r>
      <w:r>
        <w:rPr>
          <w:rFonts w:ascii="Times New Roman" w:hAnsi="Times New Roman" w:cs="Times New Roman" w:eastAsia="Times New Roman"/>
          <w:b w:val="0"/>
          <w:i/>
          <w:sz w:val="15"/>
        </w:rPr>
        <w:t>Hands-On Machine Learning with Scikit-Learn, Keras and TensorFlow</w:t>
      </w:r>
      <w:r>
        <w:rPr>
          <w:rFonts w:ascii="Times New Roman" w:hAnsi="Times New Roman" w:cs="Times New Roman" w:eastAsia="Times New Roman"/>
          <w:b w:val="0"/>
          <w:i w:val="0"/>
          <w:sz w:val="15"/>
        </w:rPr>
        <w:t>. 3rd ed. Sebastopol, CA, USA: O’Reilly Media, 2023.</w:t>
      </w:r>
    </w:p>
    <w:p>
      <w:pPr>
        <w:keepNext w:val="0"/>
        <w:spacing w:before="0" w:after="30" w:line="192" w:lineRule="exact"/>
        <w:ind w:hanging="280" w:left="280"/>
        <w:jc w:val="both"/>
      </w:pPr>
      <w:r>
        <w:rPr>
          <w:rFonts w:ascii="Times New Roman" w:hAnsi="Times New Roman" w:cs="Times New Roman" w:eastAsia="Times New Roman"/>
          <w:b w:val="0"/>
          <w:i w:val="0"/>
          <w:sz w:val="15"/>
        </w:rPr>
        <w:t>[20]</w:t>
        <w:tab/>
        <w:t xml:space="preserve">I. Goodfellow, Y. Bengio, and A. Courville, </w:t>
      </w:r>
      <w:r>
        <w:rPr>
          <w:rFonts w:ascii="Times New Roman" w:hAnsi="Times New Roman" w:cs="Times New Roman" w:eastAsia="Times New Roman"/>
          <w:b w:val="0"/>
          <w:i/>
          <w:sz w:val="15"/>
        </w:rPr>
        <w:t>Deep Learning</w:t>
      </w:r>
      <w:r>
        <w:rPr>
          <w:rFonts w:ascii="Times New Roman" w:hAnsi="Times New Roman" w:cs="Times New Roman" w:eastAsia="Times New Roman"/>
          <w:b w:val="0"/>
          <w:i w:val="0"/>
          <w:sz w:val="15"/>
        </w:rPr>
        <w:t>. Cambridge, MA, USA: MIT Press, 2016.</w:t>
      </w:r>
    </w:p>
    <w:p>
      <w:pPr>
        <w:keepNext w:val="0"/>
        <w:spacing w:before="0" w:after="30" w:line="192" w:lineRule="exact"/>
        <w:ind w:hanging="280" w:left="280"/>
        <w:jc w:val="both"/>
      </w:pPr>
      <w:r>
        <w:rPr>
          <w:rFonts w:ascii="Times New Roman" w:hAnsi="Times New Roman" w:cs="Times New Roman" w:eastAsia="Times New Roman"/>
          <w:b w:val="0"/>
          <w:i w:val="0"/>
          <w:sz w:val="15"/>
        </w:rPr>
        <w:t>[21]</w:t>
        <w:tab/>
        <w:t xml:space="preserve">N. Moustafa, “TON_IoT telemetry dataset: a new generation of IoT and IIoT datasets for data-driven intrusion detection systems,” </w:t>
      </w:r>
      <w:r>
        <w:rPr>
          <w:rFonts w:ascii="Times New Roman" w:hAnsi="Times New Roman" w:cs="Times New Roman" w:eastAsia="Times New Roman"/>
          <w:b w:val="0"/>
          <w:i/>
          <w:sz w:val="15"/>
        </w:rPr>
        <w:t>IEEE Access</w:t>
      </w:r>
      <w:r>
        <w:rPr>
          <w:rFonts w:ascii="Times New Roman" w:hAnsi="Times New Roman" w:cs="Times New Roman" w:eastAsia="Times New Roman"/>
          <w:b w:val="0"/>
          <w:i w:val="0"/>
          <w:sz w:val="15"/>
        </w:rPr>
        <w:t>, vol. 8, pp. 180129-180155, 2020.</w:t>
      </w:r>
    </w:p>
    <w:p>
      <w:pPr>
        <w:keepNext w:val="0"/>
        <w:spacing w:before="0" w:after="30" w:line="192" w:lineRule="exact"/>
        <w:ind w:hanging="280" w:left="280"/>
        <w:jc w:val="both"/>
      </w:pPr>
      <w:r>
        <w:rPr>
          <w:rFonts w:ascii="Times New Roman" w:hAnsi="Times New Roman" w:cs="Times New Roman" w:eastAsia="Times New Roman"/>
          <w:b w:val="0"/>
          <w:i w:val="0"/>
          <w:sz w:val="15"/>
        </w:rPr>
        <w:t>[22]</w:t>
        <w:tab/>
        <w:t xml:space="preserve">N. Moustafa and G. Slay, “TON_IoT: a data-driven intrusion detection system for IoT and IIoT networks,” </w:t>
      </w:r>
      <w:r>
        <w:rPr>
          <w:rFonts w:ascii="Times New Roman" w:hAnsi="Times New Roman" w:cs="Times New Roman" w:eastAsia="Times New Roman"/>
          <w:b w:val="0"/>
          <w:i/>
          <w:sz w:val="15"/>
        </w:rPr>
        <w:t>IEEE Access</w:t>
      </w:r>
      <w:r>
        <w:rPr>
          <w:rFonts w:ascii="Times New Roman" w:hAnsi="Times New Roman" w:cs="Times New Roman" w:eastAsia="Times New Roman"/>
          <w:b w:val="0"/>
          <w:i w:val="0"/>
          <w:sz w:val="15"/>
        </w:rPr>
        <w:t>, vol. 9, pp. 158225-158241, 2021.</w:t>
      </w:r>
    </w:p>
    <w:p>
      <w:pPr>
        <w:keepNext w:val="0"/>
        <w:spacing w:before="0" w:after="30" w:line="192" w:lineRule="exact"/>
        <w:ind w:hanging="280" w:left="280"/>
        <w:jc w:val="both"/>
      </w:pPr>
      <w:r>
        <w:rPr>
          <w:rFonts w:ascii="Times New Roman" w:hAnsi="Times New Roman" w:cs="Times New Roman" w:eastAsia="Times New Roman"/>
          <w:b w:val="0"/>
          <w:i w:val="0"/>
          <w:sz w:val="15"/>
        </w:rPr>
        <w:t>[23]</w:t>
        <w:tab/>
        <w:t>IEEE-CIS, “IEEE-CIS fraud detection: IEEE-CIS &amp; Vesta Corporation transaction data,” Kaggle competition, 2019. [Online]. Available: https://www.kaggle.com/competitions/ieee-cis-fraud-detection</w:t>
      </w:r>
    </w:p>
    <w:p>
      <w:pPr>
        <w:keepNext w:val="0"/>
        <w:spacing w:before="0" w:after="30" w:line="192" w:lineRule="exact"/>
        <w:ind w:hanging="280" w:left="280"/>
        <w:jc w:val="both"/>
      </w:pPr>
      <w:r>
        <w:rPr>
          <w:rFonts w:ascii="Times New Roman" w:hAnsi="Times New Roman" w:cs="Times New Roman" w:eastAsia="Times New Roman"/>
          <w:b w:val="0"/>
          <w:i w:val="0"/>
          <w:sz w:val="15"/>
        </w:rPr>
        <w:t>[24]</w:t>
        <w:tab/>
        <w:t xml:space="preserve">N. Papernot, P. McDaniel, I. Goodfellow, S. Jha, Z. B. Celik, and A. Swami, “Towards the science of adversarial machine learning,” </w:t>
      </w:r>
      <w:r>
        <w:rPr>
          <w:rFonts w:ascii="Times New Roman" w:hAnsi="Times New Roman" w:cs="Times New Roman" w:eastAsia="Times New Roman"/>
          <w:b w:val="0"/>
          <w:i/>
          <w:sz w:val="15"/>
        </w:rPr>
        <w:t>IEEE Security &amp; Privacy</w:t>
      </w:r>
      <w:r>
        <w:rPr>
          <w:rFonts w:ascii="Times New Roman" w:hAnsi="Times New Roman" w:cs="Times New Roman" w:eastAsia="Times New Roman"/>
          <w:b w:val="0"/>
          <w:i w:val="0"/>
          <w:sz w:val="15"/>
        </w:rPr>
        <w:t>, vol. 15, no. 3, pp. 57-69, 2017.</w:t>
      </w:r>
    </w:p>
    <w:p>
      <w:pPr>
        <w:keepNext w:val="0"/>
        <w:spacing w:before="0" w:after="30" w:line="192" w:lineRule="exact"/>
        <w:ind w:hanging="280" w:left="280"/>
        <w:jc w:val="both"/>
      </w:pPr>
      <w:r>
        <w:rPr>
          <w:rFonts w:ascii="Times New Roman" w:hAnsi="Times New Roman" w:cs="Times New Roman" w:eastAsia="Times New Roman"/>
          <w:b w:val="0"/>
          <w:i w:val="0"/>
          <w:sz w:val="15"/>
        </w:rPr>
        <w:t>[25]</w:t>
        <w:tab/>
        <w:t xml:space="preserve">Y. Wang, Z. Zhang, and J. Li, “Review of graph neural networks for social network analysis,” </w:t>
      </w:r>
      <w:r>
        <w:rPr>
          <w:rFonts w:ascii="Times New Roman" w:hAnsi="Times New Roman" w:cs="Times New Roman" w:eastAsia="Times New Roman"/>
          <w:b w:val="0"/>
          <w:i/>
          <w:sz w:val="15"/>
        </w:rPr>
        <w:t>IEEE Transactions on Computational Social Systems</w:t>
      </w:r>
      <w:r>
        <w:rPr>
          <w:rFonts w:ascii="Times New Roman" w:hAnsi="Times New Roman" w:cs="Times New Roman" w:eastAsia="Times New Roman"/>
          <w:b w:val="0"/>
          <w:i w:val="0"/>
          <w:sz w:val="15"/>
        </w:rPr>
        <w:t>, vol. 8, no. 2, pp. 9-19, 2021.</w:t>
      </w:r>
    </w:p>
    <w:p>
      <w:pPr>
        <w:keepNext w:val="0"/>
        <w:spacing w:before="0" w:after="30" w:line="192" w:lineRule="exact"/>
        <w:ind w:hanging="280" w:left="280"/>
        <w:jc w:val="both"/>
      </w:pPr>
      <w:r>
        <w:rPr>
          <w:rFonts w:ascii="Times New Roman" w:hAnsi="Times New Roman" w:cs="Times New Roman" w:eastAsia="Times New Roman"/>
          <w:b w:val="0"/>
          <w:i w:val="0"/>
          <w:sz w:val="15"/>
        </w:rPr>
        <w:t>[26]</w:t>
        <w:tab/>
        <w:t xml:space="preserve">A. Milan, A. Cuesta, and S. Bressan, “Fraud detection for mobile banking,” in </w:t>
      </w:r>
      <w:r>
        <w:rPr>
          <w:rFonts w:ascii="Times New Roman" w:hAnsi="Times New Roman" w:cs="Times New Roman" w:eastAsia="Times New Roman"/>
          <w:b w:val="0"/>
          <w:i/>
          <w:sz w:val="15"/>
        </w:rPr>
        <w:t>Proc. 13th Int. Conf. Advanced Data Mining and Applications</w:t>
      </w:r>
      <w:r>
        <w:rPr>
          <w:rFonts w:ascii="Times New Roman" w:hAnsi="Times New Roman" w:cs="Times New Roman" w:eastAsia="Times New Roman"/>
          <w:b w:val="0"/>
          <w:i w:val="0"/>
          <w:sz w:val="15"/>
        </w:rPr>
        <w:t>, 2017, pp. 3-17.</w:t>
      </w:r>
    </w:p>
    <w:p>
      <w:pPr>
        <w:keepNext w:val="0"/>
        <w:spacing w:before="0" w:after="30" w:line="192" w:lineRule="exact"/>
        <w:ind w:hanging="280" w:left="280"/>
        <w:jc w:val="both"/>
      </w:pPr>
      <w:r>
        <w:rPr>
          <w:rFonts w:ascii="Times New Roman" w:hAnsi="Times New Roman" w:cs="Times New Roman" w:eastAsia="Times New Roman"/>
          <w:b w:val="0"/>
          <w:i w:val="0"/>
          <w:sz w:val="15"/>
        </w:rPr>
        <w:t>[27]</w:t>
        <w:tab/>
        <w:t xml:space="preserve">T. Ho, “The 1998 modification to the adaptive boosting method,” in </w:t>
      </w:r>
      <w:r>
        <w:rPr>
          <w:rFonts w:ascii="Times New Roman" w:hAnsi="Times New Roman" w:cs="Times New Roman" w:eastAsia="Times New Roman"/>
          <w:b w:val="0"/>
          <w:i/>
          <w:sz w:val="15"/>
        </w:rPr>
        <w:t>Proc. 15th Int. Conf. Machine Learning</w:t>
      </w:r>
      <w:r>
        <w:rPr>
          <w:rFonts w:ascii="Times New Roman" w:hAnsi="Times New Roman" w:cs="Times New Roman" w:eastAsia="Times New Roman"/>
          <w:b w:val="0"/>
          <w:i w:val="0"/>
          <w:sz w:val="15"/>
        </w:rPr>
        <w:t>, 1998, pp. 183-189.</w:t>
      </w:r>
    </w:p>
    <w:p>
      <w:pPr>
        <w:keepNext w:val="0"/>
        <w:spacing w:before="0" w:after="30" w:line="192" w:lineRule="exact"/>
        <w:ind w:hanging="280" w:left="280"/>
        <w:jc w:val="both"/>
      </w:pPr>
      <w:r>
        <w:rPr>
          <w:rFonts w:ascii="Times New Roman" w:hAnsi="Times New Roman" w:cs="Times New Roman" w:eastAsia="Times New Roman"/>
          <w:b w:val="0"/>
          <w:i w:val="0"/>
          <w:sz w:val="15"/>
        </w:rPr>
        <w:t>[28]</w:t>
        <w:tab/>
        <w:t xml:space="preserve">J. Bergstra and Y. Bengio, “Random search for hyper-parameter optimization,” </w:t>
      </w:r>
      <w:r>
        <w:rPr>
          <w:rFonts w:ascii="Times New Roman" w:hAnsi="Times New Roman" w:cs="Times New Roman" w:eastAsia="Times New Roman"/>
          <w:b w:val="0"/>
          <w:i/>
          <w:sz w:val="15"/>
        </w:rPr>
        <w:t>Journal of Machine Learning Research</w:t>
      </w:r>
      <w:r>
        <w:rPr>
          <w:rFonts w:ascii="Times New Roman" w:hAnsi="Times New Roman" w:cs="Times New Roman" w:eastAsia="Times New Roman"/>
          <w:b w:val="0"/>
          <w:i w:val="0"/>
          <w:sz w:val="15"/>
        </w:rPr>
        <w:t>, vol. 13, pp. 281-305, 2012.</w:t>
      </w:r>
    </w:p>
    <w:p>
      <w:pPr>
        <w:keepNext w:val="0"/>
        <w:spacing w:before="0" w:after="30" w:line="192" w:lineRule="exact"/>
        <w:ind w:hanging="280" w:left="280"/>
        <w:jc w:val="both"/>
      </w:pPr>
      <w:r>
        <w:rPr>
          <w:rFonts w:ascii="Times New Roman" w:hAnsi="Times New Roman" w:cs="Times New Roman" w:eastAsia="Times New Roman"/>
          <w:b w:val="0"/>
          <w:i w:val="0"/>
          <w:sz w:val="15"/>
        </w:rPr>
        <w:t>[29]</w:t>
        <w:tab/>
        <w:t xml:space="preserve">J. Snoek, H. Larochelle, and R. P. Adams, “Practical Bayesian optimization of machine learning algorithms,” in </w:t>
      </w:r>
      <w:r>
        <w:rPr>
          <w:rFonts w:ascii="Times New Roman" w:hAnsi="Times New Roman" w:cs="Times New Roman" w:eastAsia="Times New Roman"/>
          <w:b w:val="0"/>
          <w:i/>
          <w:sz w:val="15"/>
        </w:rPr>
        <w:t>Advances in Neural Information Processing Systems</w:t>
      </w:r>
      <w:r>
        <w:rPr>
          <w:rFonts w:ascii="Times New Roman" w:hAnsi="Times New Roman" w:cs="Times New Roman" w:eastAsia="Times New Roman"/>
          <w:b w:val="0"/>
          <w:i w:val="0"/>
          <w:sz w:val="15"/>
        </w:rPr>
        <w:t>, 2012, pp. 27-29.</w:t>
      </w:r>
    </w:p>
    <w:p>
      <w:pPr>
        <w:keepNext w:val="0"/>
        <w:spacing w:before="0" w:after="30" w:line="192" w:lineRule="exact"/>
        <w:ind w:hanging="280" w:left="280"/>
        <w:jc w:val="both"/>
      </w:pPr>
      <w:r>
        <w:rPr>
          <w:rFonts w:ascii="Times New Roman" w:hAnsi="Times New Roman" w:cs="Times New Roman" w:eastAsia="Times New Roman"/>
          <w:b w:val="0"/>
          <w:i w:val="0"/>
          <w:sz w:val="15"/>
        </w:rPr>
        <w:t>[30]</w:t>
        <w:tab/>
        <w:t xml:space="preserve">E. S. Peer, V. Vaandrager, and J. de Lange, “RAGE against the machines,” in </w:t>
      </w:r>
      <w:r>
        <w:rPr>
          <w:rFonts w:ascii="Times New Roman" w:hAnsi="Times New Roman" w:cs="Times New Roman" w:eastAsia="Times New Roman"/>
          <w:b w:val="0"/>
          <w:i/>
          <w:sz w:val="15"/>
        </w:rPr>
        <w:t>Proc. 33rd Int. Conf. Computer Aided Verification</w:t>
      </w:r>
      <w:r>
        <w:rPr>
          <w:rFonts w:ascii="Times New Roman" w:hAnsi="Times New Roman" w:cs="Times New Roman" w:eastAsia="Times New Roman"/>
          <w:b w:val="0"/>
          <w:i w:val="0"/>
          <w:sz w:val="15"/>
        </w:rPr>
        <w:t>, 2021, pp. 316-335.</w:t>
      </w:r>
    </w:p>
    <w:p>
      <w:pPr>
        <w:keepNext w:val="0"/>
        <w:spacing w:before="0" w:after="30" w:line="192" w:lineRule="exact"/>
        <w:ind w:hanging="280" w:left="280"/>
        <w:jc w:val="both"/>
      </w:pPr>
      <w:r>
        <w:rPr>
          <w:rFonts w:ascii="Times New Roman" w:hAnsi="Times New Roman" w:cs="Times New Roman" w:eastAsia="Times New Roman"/>
          <w:b w:val="0"/>
          <w:i w:val="0"/>
          <w:sz w:val="15"/>
        </w:rPr>
        <w:t>[31]</w:t>
        <w:tab/>
        <w:t xml:space="preserve">A. Grover and J. Leskovec, “node2vec: scalable feature learning for networks,” in </w:t>
      </w:r>
      <w:r>
        <w:rPr>
          <w:rFonts w:ascii="Times New Roman" w:hAnsi="Times New Roman" w:cs="Times New Roman" w:eastAsia="Times New Roman"/>
          <w:b w:val="0"/>
          <w:i/>
          <w:sz w:val="15"/>
        </w:rPr>
        <w:t>Proc. 20th ACM SIGKDD Int. Conf. Knowledge Discovery and Data Mining</w:t>
      </w:r>
      <w:r>
        <w:rPr>
          <w:rFonts w:ascii="Times New Roman" w:hAnsi="Times New Roman" w:cs="Times New Roman" w:eastAsia="Times New Roman"/>
          <w:b w:val="0"/>
          <w:i w:val="0"/>
          <w:sz w:val="15"/>
        </w:rPr>
        <w:t>, 2014, pp. 895-904.</w:t>
      </w:r>
    </w:p>
    <w:p>
      <w:pPr>
        <w:keepNext w:val="0"/>
        <w:spacing w:before="0" w:after="30" w:line="192" w:lineRule="exact"/>
        <w:ind w:hanging="280" w:left="280"/>
        <w:jc w:val="both"/>
      </w:pPr>
      <w:r>
        <w:rPr>
          <w:rFonts w:ascii="Times New Roman" w:hAnsi="Times New Roman" w:cs="Times New Roman" w:eastAsia="Times New Roman"/>
          <w:b w:val="0"/>
          <w:i w:val="0"/>
          <w:sz w:val="15"/>
        </w:rPr>
        <w:t>[32]</w:t>
        <w:tab/>
        <w:t xml:space="preserve">T. N. Kipf and M. Welling, “Semi-supervised classification with graph convolutional networks,” in </w:t>
      </w:r>
      <w:r>
        <w:rPr>
          <w:rFonts w:ascii="Times New Roman" w:hAnsi="Times New Roman" w:cs="Times New Roman" w:eastAsia="Times New Roman"/>
          <w:b w:val="0"/>
          <w:i/>
          <w:sz w:val="15"/>
        </w:rPr>
        <w:t>Int. Conf. Learning Representations</w:t>
      </w:r>
      <w:r>
        <w:rPr>
          <w:rFonts w:ascii="Times New Roman" w:hAnsi="Times New Roman" w:cs="Times New Roman" w:eastAsia="Times New Roman"/>
          <w:b w:val="0"/>
          <w:i w:val="0"/>
          <w:sz w:val="15"/>
        </w:rPr>
        <w:t>, 2017.</w:t>
      </w:r>
    </w:p>
    <w:p>
      <w:pPr>
        <w:keepNext w:val="0"/>
        <w:spacing w:before="0" w:after="30" w:line="192" w:lineRule="exact"/>
        <w:ind w:hanging="280" w:left="280"/>
        <w:jc w:val="both"/>
      </w:pPr>
      <w:r>
        <w:rPr>
          <w:rFonts w:ascii="Times New Roman" w:hAnsi="Times New Roman" w:cs="Times New Roman" w:eastAsia="Times New Roman"/>
          <w:b w:val="0"/>
          <w:i w:val="0"/>
          <w:sz w:val="15"/>
        </w:rPr>
        <w:t>[33]</w:t>
        <w:tab/>
        <w:t xml:space="preserve">S. Arlot and A. Celisse, “A survey of cross-validation procedures for model selection,” </w:t>
      </w:r>
      <w:r>
        <w:rPr>
          <w:rFonts w:ascii="Times New Roman" w:hAnsi="Times New Roman" w:cs="Times New Roman" w:eastAsia="Times New Roman"/>
          <w:b w:val="0"/>
          <w:i/>
          <w:sz w:val="15"/>
        </w:rPr>
        <w:t>Statistics Surveys</w:t>
      </w:r>
      <w:r>
        <w:rPr>
          <w:rFonts w:ascii="Times New Roman" w:hAnsi="Times New Roman" w:cs="Times New Roman" w:eastAsia="Times New Roman"/>
          <w:b w:val="0"/>
          <w:i w:val="0"/>
          <w:sz w:val="15"/>
        </w:rPr>
        <w:t>, vol. 4, pp. 40-79, 2010.</w:t>
      </w:r>
    </w:p>
    <w:sectPr w:rsidR="00FC693F" w:rsidRPr="0006063C" w:rsidSect="00034616">
      <w:footerReference w:type="default" r:id="rId13"/>
      <w:type w:val="continuous"/>
      <w:pgSz w:w="11909" w:h="16834"/>
      <w:pgMar w:top="1100" w:right="380" w:bottom="1020" w:left="940" w:header="720" w:footer="720" w:gutter="0"/>
      <w:docGrid w:linePitch="360"/>
      <w:cols w:num="2" w:space="388" w:equalWidth="1" w:sep="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eastAsia="Times New Roman"/>
        <w:sz w:val="15"/>
      </w:rPr>
      <w:t xml:space="preserve">Page </w:t>
    </w:r>
    <w:r>
      <w:rPr>
        <w:rFonts w:ascii="Times New Roman" w:hAnsi="Times New Roman" w:cs="Times New Roman" w:eastAsia="Times New Roman"/>
        <w:sz w:val="15"/>
      </w:rPr>
    </w:r>
    <w:fldSimple w:instr="PAGE"/>
    <w:r>
      <w:rPr>
        <w:rFonts w:ascii="Times New Roman" w:hAnsi="Times New Roman" w:cs="Times New Roman" w:eastAsia="Times New Roman"/>
        <w:sz w:val="15"/>
      </w:rPr>
      <w:t xml:space="preserve"> of </w:t>
    </w:r>
    <w:r>
      <w:rPr>
        <w:rFonts w:ascii="Times New Roman" w:hAnsi="Times New Roman" w:cs="Times New Roman" w:eastAsia="Times New Roman"/>
        <w:sz w:val="15"/>
      </w:rPr>
    </w:r>
    <w:fldSimple w:instr="NUMPAGES"/>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eastAsia="Times New Roman"/>
        <w:sz w:val="15"/>
      </w:rPr>
      <w:t xml:space="preserve">Page </w:t>
    </w:r>
    <w:r>
      <w:rPr>
        <w:rFonts w:ascii="Times New Roman" w:hAnsi="Times New Roman" w:cs="Times New Roman" w:eastAsia="Times New Roman"/>
        <w:sz w:val="15"/>
      </w:rPr>
    </w:r>
    <w:fldSimple w:instr="PAGE"/>
    <w:r>
      <w:rPr>
        <w:rFonts w:ascii="Times New Roman" w:hAnsi="Times New Roman" w:cs="Times New Roman" w:eastAsia="Times New Roman"/>
        <w:sz w:val="15"/>
      </w:rPr>
      <w:t xml:space="preserve"> of </w:t>
    </w:r>
    <w:r>
      <w:rPr>
        <w:rFonts w:ascii="Times New Roman" w:hAnsi="Times New Roman" w:cs="Times New Roman" w:eastAsia="Times New Roman"/>
        <w:sz w:val="15"/>
      </w:rPr>
    </w:r>
    <w:fldSimple w:instr="NUMPAGES"/>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08" w:lineRule="exact"/>
    </w:pPr>
    <w:rPr>
      <w:rFonts w:ascii="Times New Roman" w:hAnsi="Times New Roman" w:cs="Times New Roman" w:eastAsia="Times New Roman"/>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footer" Target="footer1.xml"/><Relationship Id="rId13"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