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8"/>
          <w:szCs w:val="38"/>
        </w:rPr>
        <w:t xml:space="preserve">Content &amp; Psychometric Validation Guide</w:t>
      </w:r>
    </w:p>
    <w:p>
      <w:pPr>
        <w:spacing w:before="200"/>
        <w:jc w:val="center"/>
      </w:pPr>
      <w:r>
        <w:rPr>
          <w:color w:val="2E74B5"/>
          <w:sz w:val="24"/>
          <w:szCs w:val="24"/>
        </w:rPr>
        <w:t xml:space="preserve">Question Counts, Timing Standards &amp; Report Tone Rules — Per Branch</w:t>
      </w:r>
    </w:p>
    <w:p>
      <w:pPr>
        <w:spacing w:before="600"/>
        <w:jc w:val="center"/>
      </w:pPr>
      <w:r>
        <w:rPr>
          <w:color w:val="595959"/>
          <w:sz w:val="20"/>
          <w:szCs w:val="20"/>
        </w:rPr>
        <w:t xml:space="preserve">Version 1.0  |  Companion to the BRD and Technical Requirements Document</w:t>
      </w:r>
    </w:p>
    <w:p>
      <w:r>
        <w:br w:type="page"/>
      </w:r>
    </w:p>
    <w:p>
      <w:pPr>
        <w:pStyle w:val="Heading1"/>
        <w:spacing w:after="160" w:before="360"/>
      </w:pPr>
      <w:r>
        <w:rPr>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28"/>
          <w:szCs w:val="28"/>
        </w:rPr>
        <w:t xml:space="preserve">1. Purpose</w:t>
      </w:r>
    </w:p>
    <w:p>
      <w:pPr>
        <w:spacing w:after="160"/>
      </w:pPr>
      <w:r>
        <w:rPr>
          <w:sz w:val="21"/>
          <w:szCs w:val="21"/>
        </w:rPr>
        <w:t xml:space="preserve">This document gives the development team fixed, ready-to-implement numbers for every branch (program + discipline): how many questions, of what type, and how long the assessment should take. It also defines the methodology behind those numbers so new disciplines added after launch can be sized consistently, plus the rubric and tone rules that govern report content.</w:t>
      </w:r>
    </w:p>
    <w:p>
      <w:pPr>
        <w:pStyle w:val="Heading1"/>
        <w:spacing w:after="160" w:before="360"/>
      </w:pPr>
      <w:r>
        <w:rPr>
          <w:b/>
          <w:bCs/>
          <w:color w:val="1F3864"/>
          <w:sz w:val="28"/>
          <w:szCs w:val="28"/>
        </w:rPr>
        <w:t xml:space="preserve">2. Why 25–35 Minutes: Benchmarking the Standard</w:t>
      </w:r>
    </w:p>
    <w:p>
      <w:pPr>
        <w:spacing w:after="160"/>
      </w:pPr>
      <w:r>
        <w:rPr>
          <w:sz w:val="21"/>
          <w:szCs w:val="21"/>
        </w:rPr>
        <w:t xml:space="preserve">Existing tools this platform draws inspiration from cluster around a similar range, which is not a coincidence — it reflects the point past which candidate completion rates drop sharply and attention/reliability degrades: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c>
          <w:tcPr>
            <w:tcW w:type="dxa" w:w="2600"/>
            <w:shd w:fill="1F3864" w:val="clear"/>
            <w:tcMar>
              <w:top w:type="dxa" w:w="80"/>
              <w:left w:type="dxa" w:w="100"/>
              <w:bottom w:type="dxa" w:w="80"/>
              <w:right w:type="dxa" w:w="100"/>
            </w:tcMar>
          </w:tcPr>
          <w:p>
            <w:r>
              <w:rPr>
                <w:b/>
                <w:bCs/>
                <w:color w:val="FFFFFF"/>
                <w:sz w:val="18"/>
                <w:szCs w:val="18"/>
              </w:rPr>
              <w:t xml:space="preserve">Tool</w:t>
            </w:r>
          </w:p>
        </w:tc>
        <w:tc>
          <w:tcPr>
            <w:tcW w:type="dxa" w:w="2400"/>
            <w:shd w:fill="1F3864" w:val="clear"/>
            <w:tcMar>
              <w:top w:type="dxa" w:w="80"/>
              <w:left w:type="dxa" w:w="100"/>
              <w:bottom w:type="dxa" w:w="80"/>
              <w:right w:type="dxa" w:w="100"/>
            </w:tcMar>
          </w:tcPr>
          <w:p>
            <w:r>
              <w:rPr>
                <w:b/>
                <w:bCs/>
                <w:color w:val="FFFFFF"/>
                <w:sz w:val="18"/>
                <w:szCs w:val="18"/>
              </w:rPr>
              <w:t xml:space="preserve">Typical Duration</w:t>
            </w:r>
          </w:p>
        </w:tc>
        <w:tc>
          <w:tcPr>
            <w:tcW w:type="dxa" w:w="4400"/>
            <w:shd w:fill="1F3864" w:val="clear"/>
            <w:tcMar>
              <w:top w:type="dxa" w:w="80"/>
              <w:left w:type="dxa" w:w="100"/>
              <w:bottom w:type="dxa" w:w="80"/>
              <w:right w:type="dxa" w:w="100"/>
            </w:tcMar>
          </w:tcPr>
          <w:p>
            <w:r>
              <w:rPr>
                <w:b/>
                <w:bCs/>
                <w:color w:val="FFFFFF"/>
                <w:sz w:val="18"/>
                <w:szCs w:val="18"/>
              </w:rPr>
              <w:t xml:space="preserve">Note</w:t>
            </w:r>
          </w:p>
        </w:tc>
      </w:tr>
      <w:tr>
        <w:tc>
          <w:tcPr>
            <w:tcW w:type="dxa" w:w="2600"/>
            <w:tcMar>
              <w:top w:type="dxa" w:w="80"/>
              <w:left w:type="dxa" w:w="100"/>
              <w:bottom w:type="dxa" w:w="80"/>
              <w:right w:type="dxa" w:w="100"/>
            </w:tcMar>
          </w:tcPr>
          <w:p>
            <w:r>
              <w:rPr>
                <w:b w:val="false"/>
                <w:bCs w:val="false"/>
                <w:color w:val="000000"/>
                <w:sz w:val="18"/>
                <w:szCs w:val="18"/>
              </w:rPr>
              <w:t xml:space="preserve">Mercer | Mettl</w:t>
            </w:r>
          </w:p>
        </w:tc>
        <w:tc>
          <w:tcPr>
            <w:tcW w:type="dxa" w:w="2400"/>
            <w:tcMar>
              <w:top w:type="dxa" w:w="80"/>
              <w:left w:type="dxa" w:w="100"/>
              <w:bottom w:type="dxa" w:w="80"/>
              <w:right w:type="dxa" w:w="100"/>
            </w:tcMar>
          </w:tcPr>
          <w:p>
            <w:r>
              <w:rPr>
                <w:b w:val="false"/>
                <w:bCs w:val="false"/>
                <w:color w:val="000000"/>
                <w:sz w:val="18"/>
                <w:szCs w:val="18"/>
              </w:rPr>
              <w:t xml:space="preserve">20–40 minutes</w:t>
            </w:r>
          </w:p>
        </w:tc>
        <w:tc>
          <w:tcPr>
            <w:tcW w:type="dxa" w:w="4400"/>
            <w:tcMar>
              <w:top w:type="dxa" w:w="80"/>
              <w:left w:type="dxa" w:w="100"/>
              <w:bottom w:type="dxa" w:w="80"/>
              <w:right w:type="dxa" w:w="100"/>
            </w:tcMar>
          </w:tcPr>
          <w:p>
            <w:r>
              <w:rPr>
                <w:b w:val="false"/>
                <w:bCs w:val="false"/>
                <w:color w:val="000000"/>
                <w:sz w:val="18"/>
                <w:szCs w:val="18"/>
              </w:rPr>
              <w:t xml:space="preserve">Varies by module count; longer batteries split across sittings</w:t>
            </w:r>
          </w:p>
        </w:tc>
      </w:tr>
      <w:tr>
        <w:tc>
          <w:tcPr>
            <w:tcW w:type="dxa" w:w="2600"/>
            <w:tcMar>
              <w:top w:type="dxa" w:w="80"/>
              <w:left w:type="dxa" w:w="100"/>
              <w:bottom w:type="dxa" w:w="80"/>
              <w:right w:type="dxa" w:w="100"/>
            </w:tcMar>
          </w:tcPr>
          <w:p>
            <w:r>
              <w:rPr>
                <w:b w:val="false"/>
                <w:bCs w:val="false"/>
                <w:color w:val="000000"/>
                <w:sz w:val="18"/>
                <w:szCs w:val="18"/>
              </w:rPr>
              <w:t xml:space="preserve">Pymetrics</w:t>
            </w:r>
          </w:p>
        </w:tc>
        <w:tc>
          <w:tcPr>
            <w:tcW w:type="dxa" w:w="2400"/>
            <w:tcMar>
              <w:top w:type="dxa" w:w="80"/>
              <w:left w:type="dxa" w:w="100"/>
              <w:bottom w:type="dxa" w:w="80"/>
              <w:right w:type="dxa" w:w="100"/>
            </w:tcMar>
          </w:tcPr>
          <w:p>
            <w:r>
              <w:rPr>
                <w:b w:val="false"/>
                <w:bCs w:val="false"/>
                <w:color w:val="000000"/>
                <w:sz w:val="18"/>
                <w:szCs w:val="18"/>
              </w:rPr>
              <w:t xml:space="preserve">~25 minutes</w:t>
            </w:r>
          </w:p>
        </w:tc>
        <w:tc>
          <w:tcPr>
            <w:tcW w:type="dxa" w:w="4400"/>
            <w:tcMar>
              <w:top w:type="dxa" w:w="80"/>
              <w:left w:type="dxa" w:w="100"/>
              <w:bottom w:type="dxa" w:w="80"/>
              <w:right w:type="dxa" w:w="100"/>
            </w:tcMar>
          </w:tcPr>
          <w:p>
            <w:r>
              <w:rPr>
                <w:b w:val="false"/>
                <w:bCs w:val="false"/>
                <w:color w:val="000000"/>
                <w:sz w:val="18"/>
                <w:szCs w:val="18"/>
              </w:rPr>
              <w:t xml:space="preserve">Short game-based tasks, low fatigue per task</w:t>
            </w:r>
          </w:p>
        </w:tc>
      </w:tr>
      <w:tr>
        <w:tc>
          <w:tcPr>
            <w:tcW w:type="dxa" w:w="2600"/>
            <w:tcMar>
              <w:top w:type="dxa" w:w="80"/>
              <w:left w:type="dxa" w:w="100"/>
              <w:bottom w:type="dxa" w:w="80"/>
              <w:right w:type="dxa" w:w="100"/>
            </w:tcMar>
          </w:tcPr>
          <w:p>
            <w:r>
              <w:rPr>
                <w:b w:val="false"/>
                <w:bCs w:val="false"/>
                <w:color w:val="000000"/>
                <w:sz w:val="18"/>
                <w:szCs w:val="18"/>
              </w:rPr>
              <w:t xml:space="preserve">LinkedIn Skill Assessments</w:t>
            </w:r>
          </w:p>
        </w:tc>
        <w:tc>
          <w:tcPr>
            <w:tcW w:type="dxa" w:w="2400"/>
            <w:tcMar>
              <w:top w:type="dxa" w:w="80"/>
              <w:left w:type="dxa" w:w="100"/>
              <w:bottom w:type="dxa" w:w="80"/>
              <w:right w:type="dxa" w:w="100"/>
            </w:tcMar>
          </w:tcPr>
          <w:p>
            <w:r>
              <w:rPr>
                <w:b w:val="false"/>
                <w:bCs w:val="false"/>
                <w:color w:val="000000"/>
                <w:sz w:val="18"/>
                <w:szCs w:val="18"/>
              </w:rPr>
              <w:t xml:space="preserve">~15 minutes</w:t>
            </w:r>
          </w:p>
        </w:tc>
        <w:tc>
          <w:tcPr>
            <w:tcW w:type="dxa" w:w="4400"/>
            <w:tcMar>
              <w:top w:type="dxa" w:w="80"/>
              <w:left w:type="dxa" w:w="100"/>
              <w:bottom w:type="dxa" w:w="80"/>
              <w:right w:type="dxa" w:w="100"/>
            </w:tcMar>
          </w:tcPr>
          <w:p>
            <w:r>
              <w:rPr>
                <w:b w:val="false"/>
                <w:bCs w:val="false"/>
                <w:color w:val="000000"/>
                <w:sz w:val="18"/>
                <w:szCs w:val="18"/>
              </w:rPr>
              <w:t xml:space="preserve">Narrow, single-skill scope, not a full profile</w:t>
            </w:r>
          </w:p>
        </w:tc>
      </w:tr>
      <w:tr>
        <w:tc>
          <w:tcPr>
            <w:tcW w:type="dxa" w:w="2600"/>
            <w:tcMar>
              <w:top w:type="dxa" w:w="80"/>
              <w:left w:type="dxa" w:w="100"/>
              <w:bottom w:type="dxa" w:w="80"/>
              <w:right w:type="dxa" w:w="100"/>
            </w:tcMar>
          </w:tcPr>
          <w:p>
            <w:r>
              <w:rPr>
                <w:b w:val="false"/>
                <w:bCs w:val="false"/>
                <w:color w:val="000000"/>
                <w:sz w:val="18"/>
                <w:szCs w:val="18"/>
              </w:rPr>
              <w:t xml:space="preserve">HireVue Assessments</w:t>
            </w:r>
          </w:p>
        </w:tc>
        <w:tc>
          <w:tcPr>
            <w:tcW w:type="dxa" w:w="2400"/>
            <w:tcMar>
              <w:top w:type="dxa" w:w="80"/>
              <w:left w:type="dxa" w:w="100"/>
              <w:bottom w:type="dxa" w:w="80"/>
              <w:right w:type="dxa" w:w="100"/>
            </w:tcMar>
          </w:tcPr>
          <w:p>
            <w:r>
              <w:rPr>
                <w:b w:val="false"/>
                <w:bCs w:val="false"/>
                <w:color w:val="000000"/>
                <w:sz w:val="18"/>
                <w:szCs w:val="18"/>
              </w:rPr>
              <w:t xml:space="preserve">20–30 minutes</w:t>
            </w:r>
          </w:p>
        </w:tc>
        <w:tc>
          <w:tcPr>
            <w:tcW w:type="dxa" w:w="4400"/>
            <w:tcMar>
              <w:top w:type="dxa" w:w="80"/>
              <w:left w:type="dxa" w:w="100"/>
              <w:bottom w:type="dxa" w:w="80"/>
              <w:right w:type="dxa" w:w="100"/>
            </w:tcMar>
          </w:tcPr>
          <w:p>
            <w:r>
              <w:rPr>
                <w:b w:val="false"/>
                <w:bCs w:val="false"/>
                <w:color w:val="000000"/>
                <w:sz w:val="18"/>
                <w:szCs w:val="18"/>
              </w:rPr>
              <w:t xml:space="preserve">Behavioral + cognitive combined, excludes video interview time</w:t>
            </w:r>
          </w:p>
        </w:tc>
      </w:tr>
      <w:tr>
        <w:tc>
          <w:tcPr>
            <w:tcW w:type="dxa" w:w="2600"/>
            <w:tcMar>
              <w:top w:type="dxa" w:w="80"/>
              <w:left w:type="dxa" w:w="100"/>
              <w:bottom w:type="dxa" w:w="80"/>
              <w:right w:type="dxa" w:w="100"/>
            </w:tcMar>
          </w:tcPr>
          <w:p>
            <w:r>
              <w:rPr>
                <w:b w:val="false"/>
                <w:bCs w:val="false"/>
                <w:color w:val="000000"/>
                <w:sz w:val="18"/>
                <w:szCs w:val="18"/>
              </w:rPr>
              <w:t xml:space="preserve">Yoodli</w:t>
            </w:r>
          </w:p>
        </w:tc>
        <w:tc>
          <w:tcPr>
            <w:tcW w:type="dxa" w:w="2400"/>
            <w:tcMar>
              <w:top w:type="dxa" w:w="80"/>
              <w:left w:type="dxa" w:w="100"/>
              <w:bottom w:type="dxa" w:w="80"/>
              <w:right w:type="dxa" w:w="100"/>
            </w:tcMar>
          </w:tcPr>
          <w:p>
            <w:r>
              <w:rPr>
                <w:b w:val="false"/>
                <w:bCs w:val="false"/>
                <w:color w:val="000000"/>
                <w:sz w:val="18"/>
                <w:szCs w:val="18"/>
              </w:rPr>
              <w:t xml:space="preserve">Variable (self-paced)</w:t>
            </w:r>
          </w:p>
        </w:tc>
        <w:tc>
          <w:tcPr>
            <w:tcW w:type="dxa" w:w="4400"/>
            <w:tcMar>
              <w:top w:type="dxa" w:w="80"/>
              <w:left w:type="dxa" w:w="100"/>
              <w:bottom w:type="dxa" w:w="80"/>
              <w:right w:type="dxa" w:w="100"/>
            </w:tcMar>
          </w:tcPr>
          <w:p>
            <w:r>
              <w:rPr>
                <w:b w:val="false"/>
                <w:bCs w:val="false"/>
                <w:color w:val="000000"/>
                <w:sz w:val="18"/>
                <w:szCs w:val="18"/>
              </w:rPr>
              <w:t xml:space="preserve">Practice-oriented, not a timed single sitting</w:t>
            </w:r>
          </w:p>
        </w:tc>
      </w:tr>
    </w:tbl>
    <w:p>
      <w:pPr>
        <w:spacing w:after="160"/>
      </w:pPr>
      <w:r>
        <w:rPr>
          <w:sz w:val="21"/>
          <w:szCs w:val="21"/>
        </w:rPr>
        <w:t xml:space="preserve">Decision: this platform standardizes on 25–35 minutes for most branches, with a 30–35 minute standard and slightly higher hard caps for professional/technical branches (Engineering, Medicine, Pharmacy, Law) where situational-judgment scenarios are inherently more text-heavy. This keeps the tool competitive with Mettl/HireVue while remaining shorter than fatigue-risk territory.</w:t>
      </w:r>
    </w:p>
    <w:p>
      <w:pPr>
        <w:pStyle w:val="Heading1"/>
        <w:spacing w:after="160" w:before="360"/>
      </w:pPr>
      <w:r>
        <w:rPr>
          <w:b/>
          <w:bCs/>
          <w:color w:val="1F3864"/>
          <w:sz w:val="28"/>
          <w:szCs w:val="28"/>
        </w:rPr>
        <w:t xml:space="preserve">3. Universal Core Skill Domains (Tested in Every Branch)</w:t>
      </w:r>
    </w:p>
    <w:p>
      <w:pPr>
        <w:spacing w:after="160"/>
      </w:pPr>
      <w:r>
        <w:rPr>
          <w:sz w:val="21"/>
          <w:szCs w:val="21"/>
        </w:rPr>
        <w:t xml:space="preserve">Six domains are tested for every candidate regardless of discipline, because they are broadly predictive of workplace soft-skill success. Each branch then adds 2 discipline-specific domains on top of these six.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c>
          <w:tcPr>
            <w:tcW w:type="dxa" w:w="2600"/>
            <w:shd w:fill="1F3864" w:val="clear"/>
            <w:tcMar>
              <w:top w:type="dxa" w:w="80"/>
              <w:left w:type="dxa" w:w="100"/>
              <w:bottom w:type="dxa" w:w="80"/>
              <w:right w:type="dxa" w:w="100"/>
            </w:tcMar>
          </w:tcPr>
          <w:p>
            <w:r>
              <w:rPr>
                <w:b/>
                <w:bCs/>
                <w:color w:val="FFFFFF"/>
                <w:sz w:val="18"/>
                <w:szCs w:val="18"/>
              </w:rPr>
              <w:t xml:space="preserve">Domain</w:t>
            </w:r>
          </w:p>
        </w:tc>
        <w:tc>
          <w:tcPr>
            <w:tcW w:type="dxa" w:w="6500"/>
            <w:shd w:fill="1F3864" w:val="clear"/>
            <w:tcMar>
              <w:top w:type="dxa" w:w="80"/>
              <w:left w:type="dxa" w:w="100"/>
              <w:bottom w:type="dxa" w:w="80"/>
              <w:right w:type="dxa" w:w="100"/>
            </w:tcMar>
          </w:tcPr>
          <w:p>
            <w:r>
              <w:rPr>
                <w:b/>
                <w:bCs/>
                <w:color w:val="FFFFFF"/>
                <w:sz w:val="18"/>
                <w:szCs w:val="18"/>
              </w:rPr>
              <w:t xml:space="preserve">What It Measures</w:t>
            </w:r>
          </w:p>
        </w:tc>
      </w:tr>
      <w:tr>
        <w:tc>
          <w:tcPr>
            <w:tcW w:type="dxa" w:w="2600"/>
            <w:tcMar>
              <w:top w:type="dxa" w:w="80"/>
              <w:left w:type="dxa" w:w="100"/>
              <w:bottom w:type="dxa" w:w="80"/>
              <w:right w:type="dxa" w:w="100"/>
            </w:tcMar>
          </w:tcPr>
          <w:p>
            <w:r>
              <w:rPr>
                <w:b w:val="false"/>
                <w:bCs w:val="false"/>
                <w:color w:val="000000"/>
                <w:sz w:val="18"/>
                <w:szCs w:val="18"/>
              </w:rPr>
              <w:t xml:space="preserve">Communication</w:t>
            </w:r>
          </w:p>
        </w:tc>
        <w:tc>
          <w:tcPr>
            <w:tcW w:type="dxa" w:w="6500"/>
            <w:tcMar>
              <w:top w:type="dxa" w:w="80"/>
              <w:left w:type="dxa" w:w="100"/>
              <w:bottom w:type="dxa" w:w="80"/>
              <w:right w:type="dxa" w:w="100"/>
            </w:tcMar>
          </w:tcPr>
          <w:p>
            <w:r>
              <w:rPr>
                <w:b w:val="false"/>
                <w:bCs w:val="false"/>
                <w:color w:val="000000"/>
                <w:sz w:val="18"/>
                <w:szCs w:val="18"/>
              </w:rPr>
              <w:t xml:space="preserve">Clarity of expression, active listening, audience awareness</w:t>
            </w:r>
          </w:p>
        </w:tc>
      </w:tr>
      <w:tr>
        <w:tc>
          <w:tcPr>
            <w:tcW w:type="dxa" w:w="2600"/>
            <w:tcMar>
              <w:top w:type="dxa" w:w="80"/>
              <w:left w:type="dxa" w:w="100"/>
              <w:bottom w:type="dxa" w:w="80"/>
              <w:right w:type="dxa" w:w="100"/>
            </w:tcMar>
          </w:tcPr>
          <w:p>
            <w:r>
              <w:rPr>
                <w:b w:val="false"/>
                <w:bCs w:val="false"/>
                <w:color w:val="000000"/>
                <w:sz w:val="18"/>
                <w:szCs w:val="18"/>
              </w:rPr>
              <w:t xml:space="preserve">Critical Thinking &amp; Problem-Solving</w:t>
            </w:r>
          </w:p>
        </w:tc>
        <w:tc>
          <w:tcPr>
            <w:tcW w:type="dxa" w:w="6500"/>
            <w:tcMar>
              <w:top w:type="dxa" w:w="80"/>
              <w:left w:type="dxa" w:w="100"/>
              <w:bottom w:type="dxa" w:w="80"/>
              <w:right w:type="dxa" w:w="100"/>
            </w:tcMar>
          </w:tcPr>
          <w:p>
            <w:r>
              <w:rPr>
                <w:b w:val="false"/>
                <w:bCs w:val="false"/>
                <w:color w:val="000000"/>
                <w:sz w:val="18"/>
                <w:szCs w:val="18"/>
              </w:rPr>
              <w:t xml:space="preserve">Structured reasoning, evaluating options, drawing sound conclusions</w:t>
            </w:r>
          </w:p>
        </w:tc>
      </w:tr>
      <w:tr>
        <w:tc>
          <w:tcPr>
            <w:tcW w:type="dxa" w:w="2600"/>
            <w:tcMar>
              <w:top w:type="dxa" w:w="80"/>
              <w:left w:type="dxa" w:w="100"/>
              <w:bottom w:type="dxa" w:w="80"/>
              <w:right w:type="dxa" w:w="100"/>
            </w:tcMar>
          </w:tcPr>
          <w:p>
            <w:r>
              <w:rPr>
                <w:b w:val="false"/>
                <w:bCs w:val="false"/>
                <w:color w:val="000000"/>
                <w:sz w:val="18"/>
                <w:szCs w:val="18"/>
              </w:rPr>
              <w:t xml:space="preserve">Emotional Intelligence</w:t>
            </w:r>
          </w:p>
        </w:tc>
        <w:tc>
          <w:tcPr>
            <w:tcW w:type="dxa" w:w="6500"/>
            <w:tcMar>
              <w:top w:type="dxa" w:w="80"/>
              <w:left w:type="dxa" w:w="100"/>
              <w:bottom w:type="dxa" w:w="80"/>
              <w:right w:type="dxa" w:w="100"/>
            </w:tcMar>
          </w:tcPr>
          <w:p>
            <w:r>
              <w:rPr>
                <w:b w:val="false"/>
                <w:bCs w:val="false"/>
                <w:color w:val="000000"/>
                <w:sz w:val="18"/>
                <w:szCs w:val="18"/>
              </w:rPr>
              <w:t xml:space="preserve">Self-awareness, empathy, managing emotional reactions under pressure</w:t>
            </w:r>
          </w:p>
        </w:tc>
      </w:tr>
      <w:tr>
        <w:tc>
          <w:tcPr>
            <w:tcW w:type="dxa" w:w="2600"/>
            <w:tcMar>
              <w:top w:type="dxa" w:w="80"/>
              <w:left w:type="dxa" w:w="100"/>
              <w:bottom w:type="dxa" w:w="80"/>
              <w:right w:type="dxa" w:w="100"/>
            </w:tcMar>
          </w:tcPr>
          <w:p>
            <w:r>
              <w:rPr>
                <w:b w:val="false"/>
                <w:bCs w:val="false"/>
                <w:color w:val="000000"/>
                <w:sz w:val="18"/>
                <w:szCs w:val="18"/>
              </w:rPr>
              <w:t xml:space="preserve">Collaboration &amp; Teamwork</w:t>
            </w:r>
          </w:p>
        </w:tc>
        <w:tc>
          <w:tcPr>
            <w:tcW w:type="dxa" w:w="6500"/>
            <w:tcMar>
              <w:top w:type="dxa" w:w="80"/>
              <w:left w:type="dxa" w:w="100"/>
              <w:bottom w:type="dxa" w:w="80"/>
              <w:right w:type="dxa" w:w="100"/>
            </w:tcMar>
          </w:tcPr>
          <w:p>
            <w:r>
              <w:rPr>
                <w:b w:val="false"/>
                <w:bCs w:val="false"/>
                <w:color w:val="000000"/>
                <w:sz w:val="18"/>
                <w:szCs w:val="18"/>
              </w:rPr>
              <w:t xml:space="preserve">Working effectively with others, handling disagreement constructively</w:t>
            </w:r>
          </w:p>
        </w:tc>
      </w:tr>
      <w:tr>
        <w:tc>
          <w:tcPr>
            <w:tcW w:type="dxa" w:w="2600"/>
            <w:tcMar>
              <w:top w:type="dxa" w:w="80"/>
              <w:left w:type="dxa" w:w="100"/>
              <w:bottom w:type="dxa" w:w="80"/>
              <w:right w:type="dxa" w:w="100"/>
            </w:tcMar>
          </w:tcPr>
          <w:p>
            <w:r>
              <w:rPr>
                <w:b w:val="false"/>
                <w:bCs w:val="false"/>
                <w:color w:val="000000"/>
                <w:sz w:val="18"/>
                <w:szCs w:val="18"/>
              </w:rPr>
              <w:t xml:space="preserve">Adaptability &amp; Resilience</w:t>
            </w:r>
          </w:p>
        </w:tc>
        <w:tc>
          <w:tcPr>
            <w:tcW w:type="dxa" w:w="6500"/>
            <w:tcMar>
              <w:top w:type="dxa" w:w="80"/>
              <w:left w:type="dxa" w:w="100"/>
              <w:bottom w:type="dxa" w:w="80"/>
              <w:right w:type="dxa" w:w="100"/>
            </w:tcMar>
          </w:tcPr>
          <w:p>
            <w:r>
              <w:rPr>
                <w:b w:val="false"/>
                <w:bCs w:val="false"/>
                <w:color w:val="000000"/>
                <w:sz w:val="18"/>
                <w:szCs w:val="18"/>
              </w:rPr>
              <w:t xml:space="preserve">Responding to change, recovering from setbacks</w:t>
            </w:r>
          </w:p>
        </w:tc>
      </w:tr>
      <w:tr>
        <w:tc>
          <w:tcPr>
            <w:tcW w:type="dxa" w:w="2600"/>
            <w:tcMar>
              <w:top w:type="dxa" w:w="80"/>
              <w:left w:type="dxa" w:w="100"/>
              <w:bottom w:type="dxa" w:w="80"/>
              <w:right w:type="dxa" w:w="100"/>
            </w:tcMar>
          </w:tcPr>
          <w:p>
            <w:r>
              <w:rPr>
                <w:b w:val="false"/>
                <w:bCs w:val="false"/>
                <w:color w:val="000000"/>
                <w:sz w:val="18"/>
                <w:szCs w:val="18"/>
              </w:rPr>
              <w:t xml:space="preserve">Time Management &amp; Prioritization</w:t>
            </w:r>
          </w:p>
        </w:tc>
        <w:tc>
          <w:tcPr>
            <w:tcW w:type="dxa" w:w="6500"/>
            <w:tcMar>
              <w:top w:type="dxa" w:w="80"/>
              <w:left w:type="dxa" w:w="100"/>
              <w:bottom w:type="dxa" w:w="80"/>
              <w:right w:type="dxa" w:w="100"/>
            </w:tcMar>
          </w:tcPr>
          <w:p>
            <w:r>
              <w:rPr>
                <w:b w:val="false"/>
                <w:bCs w:val="false"/>
                <w:color w:val="000000"/>
                <w:sz w:val="18"/>
                <w:szCs w:val="18"/>
              </w:rPr>
              <w:t xml:space="preserve">Organizing tasks, meeting deadlines, judging urgency vs. importance</w:t>
            </w:r>
          </w:p>
        </w:tc>
      </w:tr>
    </w:tbl>
    <w:p>
      <w:pPr>
        <w:pStyle w:val="Heading1"/>
        <w:spacing w:after="160" w:before="360"/>
      </w:pPr>
      <w:r>
        <w:rPr>
          <w:b/>
          <w:bCs/>
          <w:color w:val="1F3864"/>
          <w:sz w:val="28"/>
          <w:szCs w:val="28"/>
        </w:rPr>
        <w:t xml:space="preserve">4. Question Types &amp; Time Cost</w:t>
      </w:r>
    </w:p>
    <w:p>
      <w:pPr>
        <w:spacing w:after="160"/>
      </w:pPr>
      <w:r>
        <w:rPr>
          <w:sz w:val="21"/>
          <w:szCs w:val="21"/>
        </w:rPr>
        <w:t xml:space="preserve">Timing standards are derived bottom-up from per-item time cost, not chosen arbitrarily. Use these per-item estimates when sizing any new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w:tc>
          <w:tcPr>
            <w:tcW w:type="dxa" w:w="2600"/>
            <w:shd w:fill="1F3864" w:val="clear"/>
            <w:tcMar>
              <w:top w:type="dxa" w:w="80"/>
              <w:left w:type="dxa" w:w="100"/>
              <w:bottom w:type="dxa" w:w="80"/>
              <w:right w:type="dxa" w:w="100"/>
            </w:tcMar>
          </w:tcPr>
          <w:p>
            <w:r>
              <w:rPr>
                <w:b/>
                <w:bCs/>
                <w:color w:val="FFFFFF"/>
                <w:sz w:val="18"/>
                <w:szCs w:val="18"/>
              </w:rPr>
              <w:t xml:space="preserve">Question Type</w:t>
            </w:r>
          </w:p>
        </w:tc>
        <w:tc>
          <w:tcPr>
            <w:tcW w:type="dxa" w:w="2200"/>
            <w:shd w:fill="1F3864" w:val="clear"/>
            <w:tcMar>
              <w:top w:type="dxa" w:w="80"/>
              <w:left w:type="dxa" w:w="100"/>
              <w:bottom w:type="dxa" w:w="80"/>
              <w:right w:type="dxa" w:w="100"/>
            </w:tcMar>
          </w:tcPr>
          <w:p>
            <w:r>
              <w:rPr>
                <w:b/>
                <w:bCs/>
                <w:color w:val="FFFFFF"/>
                <w:sz w:val="18"/>
                <w:szCs w:val="18"/>
              </w:rPr>
              <w:t xml:space="preserve">Avg. Time/Item</w:t>
            </w:r>
          </w:p>
        </w:tc>
        <w:tc>
          <w:tcPr>
            <w:tcW w:type="dxa" w:w="4700"/>
            <w:shd w:fill="1F3864" w:val="clear"/>
            <w:tcMar>
              <w:top w:type="dxa" w:w="80"/>
              <w:left w:type="dxa" w:w="100"/>
              <w:bottom w:type="dxa" w:w="80"/>
              <w:right w:type="dxa" w:w="100"/>
            </w:tcMar>
          </w:tcPr>
          <w:p>
            <w:r>
              <w:rPr>
                <w:b/>
                <w:bCs/>
                <w:color w:val="FFFFFF"/>
                <w:sz w:val="18"/>
                <w:szCs w:val="18"/>
              </w:rPr>
              <w:t xml:space="preserve">Notes</w:t>
            </w:r>
          </w:p>
        </w:tc>
      </w:tr>
      <w:tr>
        <w:tc>
          <w:tcPr>
            <w:tcW w:type="dxa" w:w="2600"/>
            <w:tcMar>
              <w:top w:type="dxa" w:w="80"/>
              <w:left w:type="dxa" w:w="100"/>
              <w:bottom w:type="dxa" w:w="80"/>
              <w:right w:type="dxa" w:w="100"/>
            </w:tcMar>
          </w:tcPr>
          <w:p>
            <w:r>
              <w:rPr>
                <w:b w:val="false"/>
                <w:bCs w:val="false"/>
                <w:color w:val="000000"/>
                <w:sz w:val="18"/>
                <w:szCs w:val="18"/>
              </w:rPr>
              <w:t xml:space="preserve">Likert Scale</w:t>
            </w:r>
          </w:p>
        </w:tc>
        <w:tc>
          <w:tcPr>
            <w:tcW w:type="dxa" w:w="2200"/>
            <w:tcMar>
              <w:top w:type="dxa" w:w="80"/>
              <w:left w:type="dxa" w:w="100"/>
              <w:bottom w:type="dxa" w:w="80"/>
              <w:right w:type="dxa" w:w="100"/>
            </w:tcMar>
          </w:tcPr>
          <w:p>
            <w:r>
              <w:rPr>
                <w:b w:val="false"/>
                <w:bCs w:val="false"/>
                <w:color w:val="000000"/>
                <w:sz w:val="18"/>
                <w:szCs w:val="18"/>
              </w:rPr>
              <w:t xml:space="preserve">~15 seconds</w:t>
            </w:r>
          </w:p>
        </w:tc>
        <w:tc>
          <w:tcPr>
            <w:tcW w:type="dxa" w:w="4700"/>
            <w:tcMar>
              <w:top w:type="dxa" w:w="80"/>
              <w:left w:type="dxa" w:w="100"/>
              <w:bottom w:type="dxa" w:w="80"/>
              <w:right w:type="dxa" w:w="100"/>
            </w:tcMar>
          </w:tcPr>
          <w:p>
            <w:r>
              <w:rPr>
                <w:b w:val="false"/>
                <w:bCs w:val="false"/>
                <w:color w:val="000000"/>
                <w:sz w:val="18"/>
                <w:szCs w:val="18"/>
              </w:rPr>
              <w:t xml:space="preserve">Single statement, 5-point agreement scale — fastest format</w:t>
            </w:r>
          </w:p>
        </w:tc>
      </w:tr>
      <w:tr>
        <w:tc>
          <w:tcPr>
            <w:tcW w:type="dxa" w:w="2600"/>
            <w:tcMar>
              <w:top w:type="dxa" w:w="80"/>
              <w:left w:type="dxa" w:w="100"/>
              <w:bottom w:type="dxa" w:w="80"/>
              <w:right w:type="dxa" w:w="100"/>
            </w:tcMar>
          </w:tcPr>
          <w:p>
            <w:r>
              <w:rPr>
                <w:b w:val="false"/>
                <w:bCs w:val="false"/>
                <w:color w:val="000000"/>
                <w:sz w:val="18"/>
                <w:szCs w:val="18"/>
              </w:rPr>
              <w:t xml:space="preserve">MCQ / Situational Judgment (SJT)</w:t>
            </w:r>
          </w:p>
        </w:tc>
        <w:tc>
          <w:tcPr>
            <w:tcW w:type="dxa" w:w="2200"/>
            <w:tcMar>
              <w:top w:type="dxa" w:w="80"/>
              <w:left w:type="dxa" w:w="100"/>
              <w:bottom w:type="dxa" w:w="80"/>
              <w:right w:type="dxa" w:w="100"/>
            </w:tcMar>
          </w:tcPr>
          <w:p>
            <w:r>
              <w:rPr>
                <w:b w:val="false"/>
                <w:bCs w:val="false"/>
                <w:color w:val="000000"/>
                <w:sz w:val="18"/>
                <w:szCs w:val="18"/>
              </w:rPr>
              <w:t xml:space="preserve">~45–60 seconds</w:t>
            </w:r>
          </w:p>
        </w:tc>
        <w:tc>
          <w:tcPr>
            <w:tcW w:type="dxa" w:w="4700"/>
            <w:tcMar>
              <w:top w:type="dxa" w:w="80"/>
              <w:left w:type="dxa" w:w="100"/>
              <w:bottom w:type="dxa" w:w="80"/>
              <w:right w:type="dxa" w:w="100"/>
            </w:tcMar>
          </w:tcPr>
          <w:p>
            <w:r>
              <w:rPr>
                <w:b w:val="false"/>
                <w:bCs w:val="false"/>
                <w:color w:val="000000"/>
                <w:sz w:val="18"/>
                <w:szCs w:val="18"/>
              </w:rPr>
              <w:t xml:space="preserve">Requires reading a short scenario plus weighing 3–4 response options</w:t>
            </w:r>
          </w:p>
        </w:tc>
      </w:tr>
      <w:tr>
        <w:tc>
          <w:tcPr>
            <w:tcW w:type="dxa" w:w="2600"/>
            <w:tcMar>
              <w:top w:type="dxa" w:w="80"/>
              <w:left w:type="dxa" w:w="100"/>
              <w:bottom w:type="dxa" w:w="80"/>
              <w:right w:type="dxa" w:w="100"/>
            </w:tcMar>
          </w:tcPr>
          <w:p>
            <w:r>
              <w:rPr>
                <w:b w:val="false"/>
                <w:bCs w:val="false"/>
                <w:color w:val="000000"/>
                <w:sz w:val="18"/>
                <w:szCs w:val="18"/>
              </w:rPr>
              <w:t xml:space="preserve">Open-Text Response</w:t>
            </w:r>
          </w:p>
        </w:tc>
        <w:tc>
          <w:tcPr>
            <w:tcW w:type="dxa" w:w="2200"/>
            <w:tcMar>
              <w:top w:type="dxa" w:w="80"/>
              <w:left w:type="dxa" w:w="100"/>
              <w:bottom w:type="dxa" w:w="80"/>
              <w:right w:type="dxa" w:w="100"/>
            </w:tcMar>
          </w:tcPr>
          <w:p>
            <w:r>
              <w:rPr>
                <w:b w:val="false"/>
                <w:bCs w:val="false"/>
                <w:color w:val="000000"/>
                <w:sz w:val="18"/>
                <w:szCs w:val="18"/>
              </w:rPr>
              <w:t xml:space="preserve">~90–120 seconds</w:t>
            </w:r>
          </w:p>
        </w:tc>
        <w:tc>
          <w:tcPr>
            <w:tcW w:type="dxa" w:w="4700"/>
            <w:tcMar>
              <w:top w:type="dxa" w:w="80"/>
              <w:left w:type="dxa" w:w="100"/>
              <w:bottom w:type="dxa" w:w="80"/>
              <w:right w:type="dxa" w:w="100"/>
            </w:tcMar>
          </w:tcPr>
          <w:p>
            <w:r>
              <w:rPr>
                <w:b w:val="false"/>
                <w:bCs w:val="false"/>
                <w:color w:val="000000"/>
                <w:sz w:val="18"/>
                <w:szCs w:val="18"/>
              </w:rPr>
              <w:t xml:space="preserve">Requires composing a short written answer; used sparingly due to time cost and fatigue</w:t>
            </w:r>
          </w:p>
        </w:tc>
      </w:tr>
    </w:tbl>
    <w:p>
      <w:pPr>
        <w:pStyle w:val="Heading1"/>
        <w:spacing w:after="160" w:before="360"/>
      </w:pPr>
      <w:r>
        <w:rPr>
          <w:b/>
          <w:bCs/>
          <w:color w:val="1F3864"/>
          <w:sz w:val="28"/>
          <w:szCs w:val="28"/>
        </w:rPr>
        <w:t xml:space="preserve">5. Standard Assessment Blueprint (Methodology)</w:t>
      </w:r>
    </w:p>
    <w:p>
      <w:pPr>
        <w:spacing w:after="160"/>
      </w:pPr>
      <w:r>
        <w:rPr>
          <w:sz w:val="21"/>
          <w:szCs w:val="21"/>
        </w:rPr>
        <w:t xml:space="preserve">For any branch, follow this procedure to derive the question count and expected time — the same procedure used to produce Section 6.</w:t>
      </w:r>
    </w:p>
    <w:p>
      <w:pPr>
        <w:pStyle w:val="ListParagraph"/>
        <w:numPr>
          <w:ilvl w:val="0"/>
          <w:numId w:val="2"/>
        </w:numPr>
        <w:spacing w:after="80"/>
      </w:pPr>
      <w:r>
        <w:rPr>
          <w:sz w:val="21"/>
          <w:szCs w:val="21"/>
        </w:rPr>
        <w:t xml:space="preserve">Step 1 — Assign a weight percentage to each of the 6 core domains plus 2 discipline-specific domains, totaling 100%. Default starting point: Communication 15%, Critical Thinking 15%, Emotional Intelligence 12%, Collaboration 12%, Adaptability 10%, Time Management 8% (= 72% baseline for the 6 core domains), leaving 28% to split across the 2 discipline-specific domains (~14% each).</w:t>
      </w:r>
    </w:p>
    <w:p>
      <w:pPr>
        <w:pStyle w:val="ListParagraph"/>
        <w:numPr>
          <w:ilvl w:val="0"/>
          <w:numId w:val="2"/>
        </w:numPr>
        <w:spacing w:after="80"/>
      </w:pPr>
      <w:r>
        <w:rPr>
          <w:sz w:val="21"/>
          <w:szCs w:val="21"/>
        </w:rPr>
        <w:t xml:space="preserve">Step 2 — Convert each domain's weight into a question count: round(weight% × total target questions). Enforce a floor of 3 questions per domain — fewer than 3 items per domain is not psychometrically reliable.</w:t>
      </w:r>
    </w:p>
    <w:p>
      <w:pPr>
        <w:pStyle w:val="ListParagraph"/>
        <w:numPr>
          <w:ilvl w:val="0"/>
          <w:numId w:val="2"/>
        </w:numPr>
        <w:spacing w:after="80"/>
      </w:pPr>
      <w:r>
        <w:rPr>
          <w:sz w:val="21"/>
          <w:szCs w:val="21"/>
        </w:rPr>
        <w:t xml:space="preserve">Step 3 — Set total target questions: 28 for general academic branches (Arts, Science, Commerce), 30 for professional/technical branches (Engineering, Medicine, Pharmacy, Law) to allow slightly deeper scenario coverage.</w:t>
      </w:r>
    </w:p>
    <w:p>
      <w:pPr>
        <w:pStyle w:val="ListParagraph"/>
        <w:numPr>
          <w:ilvl w:val="0"/>
          <w:numId w:val="2"/>
        </w:numPr>
        <w:spacing w:after="80"/>
      </w:pPr>
      <w:r>
        <w:rPr>
          <w:sz w:val="21"/>
          <w:szCs w:val="21"/>
        </w:rPr>
        <w:t xml:space="preserve">Step 4 — Allocate question types: the large majority as Likert + SJT/MCQ (for deterministic, comparable scoring), and cap open-text items at 2 for general branches / 3 for professional branches — open-text is the most time-expensive and cost-expensive (Gemini scoring) format.</w:t>
      </w:r>
    </w:p>
    <w:p>
      <w:pPr>
        <w:pStyle w:val="ListParagraph"/>
        <w:numPr>
          <w:ilvl w:val="0"/>
          <w:numId w:val="2"/>
        </w:numPr>
        <w:spacing w:after="80"/>
      </w:pPr>
      <w:r>
        <w:rPr>
          <w:sz w:val="21"/>
          <w:szCs w:val="21"/>
        </w:rPr>
        <w:t xml:space="preserve">Step 5 — Compute total time: (Likert count × 15s) + (SJT/MCQ count × 50s avg) + (Open-text count × 100s avg) + 2 minutes for instructions/consent + 1 minute for final review screen. Round up to the nearest 5-minute band for the candidate-facing time estimate.</w:t>
      </w:r>
    </w:p>
    <w:p>
      <w:pPr>
        <w:pStyle w:val="Heading1"/>
        <w:spacing w:after="160" w:before="360"/>
      </w:pPr>
      <w:r>
        <w:rPr>
          <w:b/>
          <w:bCs/>
          <w:color w:val="1F3864"/>
          <w:sz w:val="28"/>
          <w:szCs w:val="28"/>
        </w:rPr>
        <w:t xml:space="preserve">6. Per-Program / Discipline Question &amp; Time Allocation</w:t>
      </w:r>
    </w:p>
    <w:p>
      <w:pPr>
        <w:spacing w:after="160"/>
      </w:pPr>
      <w:r>
        <w:rPr>
          <w:sz w:val="21"/>
          <w:szCs w:val="21"/>
        </w:rPr>
        <w:t xml:space="preserve">These are the launch-ready numbers. "Discipline-Specific Domains" are added on top of the 6 universal domains from Section 3.</w:t>
      </w:r>
    </w:p>
    <w:p>
      <w:pPr>
        <w:pStyle w:val="Heading2"/>
        <w:spacing w:after="120" w:before="240"/>
      </w:pPr>
      <w:r>
        <w:rPr>
          <w:b/>
          <w:bCs/>
          <w:color w:val="2E74B5"/>
          <w:sz w:val="24"/>
          <w:szCs w:val="24"/>
        </w:rPr>
        <w:t xml:space="preserve">6.1 General Academic Branches — 28 Questions, 25–30 Minutes Standard (40 min hard cap)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000"/>
        <w:gridCol w:w="2400"/>
      </w:tblGrid>
      <w:tr>
        <w:tc>
          <w:tcPr>
            <w:tcW w:type="dxa" w:w="1500"/>
            <w:shd w:fill="1F3864" w:val="clear"/>
            <w:tcMar>
              <w:top w:type="dxa" w:w="80"/>
              <w:left w:type="dxa" w:w="100"/>
              <w:bottom w:type="dxa" w:w="80"/>
              <w:right w:type="dxa" w:w="100"/>
            </w:tcMar>
          </w:tcPr>
          <w:p>
            <w:r>
              <w:rPr>
                <w:b/>
                <w:bCs/>
                <w:color w:val="FFFFFF"/>
                <w:sz w:val="18"/>
                <w:szCs w:val="18"/>
              </w:rPr>
              <w:t xml:space="preserve">Program</w:t>
            </w:r>
          </w:p>
        </w:tc>
        <w:tc>
          <w:tcPr>
            <w:tcW w:type="dxa" w:w="2300"/>
            <w:shd w:fill="1F3864" w:val="clear"/>
            <w:tcMar>
              <w:top w:type="dxa" w:w="80"/>
              <w:left w:type="dxa" w:w="100"/>
              <w:bottom w:type="dxa" w:w="80"/>
              <w:right w:type="dxa" w:w="100"/>
            </w:tcMar>
          </w:tcPr>
          <w:p>
            <w:r>
              <w:rPr>
                <w:b/>
                <w:bCs/>
                <w:color w:val="FFFFFF"/>
                <w:sz w:val="18"/>
                <w:szCs w:val="18"/>
              </w:rPr>
              <w:t xml:space="preserve">Discipline</w:t>
            </w:r>
          </w:p>
        </w:tc>
        <w:tc>
          <w:tcPr>
            <w:tcW w:type="dxa" w:w="3000"/>
            <w:shd w:fill="1F3864" w:val="clear"/>
            <w:tcMar>
              <w:top w:type="dxa" w:w="80"/>
              <w:left w:type="dxa" w:w="100"/>
              <w:bottom w:type="dxa" w:w="80"/>
              <w:right w:type="dxa" w:w="100"/>
            </w:tcMar>
          </w:tcPr>
          <w:p>
            <w:r>
              <w:rPr>
                <w:b/>
                <w:bCs/>
                <w:color w:val="FFFFFF"/>
                <w:sz w:val="18"/>
                <w:szCs w:val="18"/>
              </w:rPr>
              <w:t xml:space="preserve">Discipline-Specific Domains Added</w:t>
            </w:r>
          </w:p>
        </w:tc>
        <w:tc>
          <w:tcPr>
            <w:tcW w:type="dxa" w:w="2400"/>
            <w:shd w:fill="1F3864" w:val="clear"/>
            <w:tcMar>
              <w:top w:type="dxa" w:w="80"/>
              <w:left w:type="dxa" w:w="100"/>
              <w:bottom w:type="dxa" w:w="80"/>
              <w:right w:type="dxa" w:w="100"/>
            </w:tcMar>
          </w:tcPr>
          <w:p>
            <w:r>
              <w:rPr>
                <w:b/>
                <w:bCs/>
                <w:color w:val="FFFFFF"/>
                <w:sz w:val="18"/>
                <w:szCs w:val="18"/>
              </w:rPr>
              <w:t xml:space="preserve">Closed / Open-Text Split</w:t>
            </w:r>
          </w:p>
        </w:tc>
      </w:tr>
      <w:tr>
        <w:tc>
          <w:tcPr>
            <w:tcW w:type="dxa" w:w="1500"/>
            <w:tcMar>
              <w:top w:type="dxa" w:w="80"/>
              <w:left w:type="dxa" w:w="100"/>
              <w:bottom w:type="dxa" w:w="80"/>
              <w:right w:type="dxa" w:w="100"/>
            </w:tcMar>
          </w:tcPr>
          <w:p>
            <w:r>
              <w:rPr>
                <w:b w:val="false"/>
                <w:bCs w:val="false"/>
                <w:color w:val="000000"/>
                <w:sz w:val="18"/>
                <w:szCs w:val="18"/>
              </w:rPr>
              <w:t xml:space="preserve">B.A.</w:t>
            </w:r>
          </w:p>
        </w:tc>
        <w:tc>
          <w:tcPr>
            <w:tcW w:type="dxa" w:w="2300"/>
            <w:tcMar>
              <w:top w:type="dxa" w:w="80"/>
              <w:left w:type="dxa" w:w="100"/>
              <w:bottom w:type="dxa" w:w="80"/>
              <w:right w:type="dxa" w:w="100"/>
            </w:tcMar>
          </w:tcPr>
          <w:p>
            <w:r>
              <w:rPr>
                <w:b w:val="false"/>
                <w:bCs w:val="false"/>
                <w:color w:val="000000"/>
                <w:sz w:val="18"/>
                <w:szCs w:val="18"/>
              </w:rPr>
              <w:t xml:space="preserve">Journalism &amp; Mass Communication</w:t>
            </w:r>
          </w:p>
        </w:tc>
        <w:tc>
          <w:tcPr>
            <w:tcW w:type="dxa" w:w="3000"/>
            <w:tcMar>
              <w:top w:type="dxa" w:w="80"/>
              <w:left w:type="dxa" w:w="100"/>
              <w:bottom w:type="dxa" w:w="80"/>
              <w:right w:type="dxa" w:w="100"/>
            </w:tcMar>
          </w:tcPr>
          <w:p>
            <w:r>
              <w:rPr>
                <w:b w:val="false"/>
                <w:bCs w:val="false"/>
                <w:color w:val="000000"/>
                <w:sz w:val="18"/>
                <w:szCs w:val="18"/>
              </w:rPr>
              <w:t xml:space="preserve">Persuasive Storytelling; Research &amp; Verification Mindset</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B.A.</w:t>
            </w:r>
          </w:p>
        </w:tc>
        <w:tc>
          <w:tcPr>
            <w:tcW w:type="dxa" w:w="2300"/>
            <w:tcMar>
              <w:top w:type="dxa" w:w="80"/>
              <w:left w:type="dxa" w:w="100"/>
              <w:bottom w:type="dxa" w:w="80"/>
              <w:right w:type="dxa" w:w="100"/>
            </w:tcMar>
          </w:tcPr>
          <w:p>
            <w:r>
              <w:rPr>
                <w:b w:val="false"/>
                <w:bCs w:val="false"/>
                <w:color w:val="000000"/>
                <w:sz w:val="18"/>
                <w:szCs w:val="18"/>
              </w:rPr>
              <w:t xml:space="preserve">Psychology</w:t>
            </w:r>
          </w:p>
        </w:tc>
        <w:tc>
          <w:tcPr>
            <w:tcW w:type="dxa" w:w="3000"/>
            <w:tcMar>
              <w:top w:type="dxa" w:w="80"/>
              <w:left w:type="dxa" w:w="100"/>
              <w:bottom w:type="dxa" w:w="80"/>
              <w:right w:type="dxa" w:w="100"/>
            </w:tcMar>
          </w:tcPr>
          <w:p>
            <w:r>
              <w:rPr>
                <w:b w:val="false"/>
                <w:bCs w:val="false"/>
                <w:color w:val="000000"/>
                <w:sz w:val="18"/>
                <w:szCs w:val="18"/>
              </w:rPr>
              <w:t xml:space="preserve">Empathy &amp; Active Listening; Ethical Sensitivity</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B.A.</w:t>
            </w:r>
          </w:p>
        </w:tc>
        <w:tc>
          <w:tcPr>
            <w:tcW w:type="dxa" w:w="2300"/>
            <w:tcMar>
              <w:top w:type="dxa" w:w="80"/>
              <w:left w:type="dxa" w:w="100"/>
              <w:bottom w:type="dxa" w:w="80"/>
              <w:right w:type="dxa" w:w="100"/>
            </w:tcMar>
          </w:tcPr>
          <w:p>
            <w:r>
              <w:rPr>
                <w:b w:val="false"/>
                <w:bCs w:val="false"/>
                <w:color w:val="000000"/>
                <w:sz w:val="18"/>
                <w:szCs w:val="18"/>
              </w:rPr>
              <w:t xml:space="preserve">Economics</w:t>
            </w:r>
          </w:p>
        </w:tc>
        <w:tc>
          <w:tcPr>
            <w:tcW w:type="dxa" w:w="3000"/>
            <w:tcMar>
              <w:top w:type="dxa" w:w="80"/>
              <w:left w:type="dxa" w:w="100"/>
              <w:bottom w:type="dxa" w:w="80"/>
              <w:right w:type="dxa" w:w="100"/>
            </w:tcMar>
          </w:tcPr>
          <w:p>
            <w:r>
              <w:rPr>
                <w:b w:val="false"/>
                <w:bCs w:val="false"/>
                <w:color w:val="000000"/>
                <w:sz w:val="18"/>
                <w:szCs w:val="18"/>
              </w:rPr>
              <w:t xml:space="preserve">Analytical/Numerical Reasoning; Data Interpretation</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B.A. / B.Sc.</w:t>
            </w:r>
          </w:p>
        </w:tc>
        <w:tc>
          <w:tcPr>
            <w:tcW w:type="dxa" w:w="2300"/>
            <w:tcMar>
              <w:top w:type="dxa" w:w="80"/>
              <w:left w:type="dxa" w:w="100"/>
              <w:bottom w:type="dxa" w:w="80"/>
              <w:right w:type="dxa" w:w="100"/>
            </w:tcMar>
          </w:tcPr>
          <w:p>
            <w:r>
              <w:rPr>
                <w:b w:val="false"/>
                <w:bCs w:val="false"/>
                <w:color w:val="000000"/>
                <w:sz w:val="18"/>
                <w:szCs w:val="18"/>
              </w:rPr>
              <w:t xml:space="preserve">Life Sciences</w:t>
            </w:r>
          </w:p>
        </w:tc>
        <w:tc>
          <w:tcPr>
            <w:tcW w:type="dxa" w:w="3000"/>
            <w:tcMar>
              <w:top w:type="dxa" w:w="80"/>
              <w:left w:type="dxa" w:w="100"/>
              <w:bottom w:type="dxa" w:w="80"/>
              <w:right w:type="dxa" w:w="100"/>
            </w:tcMar>
          </w:tcPr>
          <w:p>
            <w:r>
              <w:rPr>
                <w:b w:val="false"/>
                <w:bCs w:val="false"/>
                <w:color w:val="000000"/>
                <w:sz w:val="18"/>
                <w:szCs w:val="18"/>
              </w:rPr>
              <w:t xml:space="preserve">Attention to Detail; Analytical Rigor</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B.Sc.</w:t>
            </w:r>
          </w:p>
        </w:tc>
        <w:tc>
          <w:tcPr>
            <w:tcW w:type="dxa" w:w="2300"/>
            <w:tcMar>
              <w:top w:type="dxa" w:w="80"/>
              <w:left w:type="dxa" w:w="100"/>
              <w:bottom w:type="dxa" w:w="80"/>
              <w:right w:type="dxa" w:w="100"/>
            </w:tcMar>
          </w:tcPr>
          <w:p>
            <w:r>
              <w:rPr>
                <w:b w:val="false"/>
                <w:bCs w:val="false"/>
                <w:color w:val="000000"/>
                <w:sz w:val="18"/>
                <w:szCs w:val="18"/>
              </w:rPr>
              <w:t xml:space="preserve">Physics</w:t>
            </w:r>
          </w:p>
        </w:tc>
        <w:tc>
          <w:tcPr>
            <w:tcW w:type="dxa" w:w="3000"/>
            <w:tcMar>
              <w:top w:type="dxa" w:w="80"/>
              <w:left w:type="dxa" w:w="100"/>
              <w:bottom w:type="dxa" w:w="80"/>
              <w:right w:type="dxa" w:w="100"/>
            </w:tcMar>
          </w:tcPr>
          <w:p>
            <w:r>
              <w:rPr>
                <w:b w:val="false"/>
                <w:bCs w:val="false"/>
                <w:color w:val="000000"/>
                <w:sz w:val="18"/>
                <w:szCs w:val="18"/>
              </w:rPr>
              <w:t xml:space="preserve">Analytical Reasoning; Systematic Problem-Solving</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B.Sc.</w:t>
            </w:r>
          </w:p>
        </w:tc>
        <w:tc>
          <w:tcPr>
            <w:tcW w:type="dxa" w:w="2300"/>
            <w:tcMar>
              <w:top w:type="dxa" w:w="80"/>
              <w:left w:type="dxa" w:w="100"/>
              <w:bottom w:type="dxa" w:w="80"/>
              <w:right w:type="dxa" w:w="100"/>
            </w:tcMar>
          </w:tcPr>
          <w:p>
            <w:r>
              <w:rPr>
                <w:b w:val="false"/>
                <w:bCs w:val="false"/>
                <w:color w:val="000000"/>
                <w:sz w:val="18"/>
                <w:szCs w:val="18"/>
              </w:rPr>
              <w:t xml:space="preserve">Computer Science</w:t>
            </w:r>
          </w:p>
        </w:tc>
        <w:tc>
          <w:tcPr>
            <w:tcW w:type="dxa" w:w="3000"/>
            <w:tcMar>
              <w:top w:type="dxa" w:w="80"/>
              <w:left w:type="dxa" w:w="100"/>
              <w:bottom w:type="dxa" w:w="80"/>
              <w:right w:type="dxa" w:w="100"/>
            </w:tcMar>
          </w:tcPr>
          <w:p>
            <w:r>
              <w:rPr>
                <w:b w:val="false"/>
                <w:bCs w:val="false"/>
                <w:color w:val="000000"/>
                <w:sz w:val="18"/>
                <w:szCs w:val="18"/>
              </w:rPr>
              <w:t xml:space="preserve">Logical Problem-Solving; Attention to Detail</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B.Com.</w:t>
            </w:r>
          </w:p>
        </w:tc>
        <w:tc>
          <w:tcPr>
            <w:tcW w:type="dxa" w:w="2300"/>
            <w:tcMar>
              <w:top w:type="dxa" w:w="80"/>
              <w:left w:type="dxa" w:w="100"/>
              <w:bottom w:type="dxa" w:w="80"/>
              <w:right w:type="dxa" w:w="100"/>
            </w:tcMar>
          </w:tcPr>
          <w:p>
            <w:r>
              <w:rPr>
                <w:b w:val="false"/>
                <w:bCs w:val="false"/>
                <w:color w:val="000000"/>
                <w:sz w:val="18"/>
                <w:szCs w:val="18"/>
              </w:rPr>
              <w:t xml:space="preserve">Accounting &amp; Finance</w:t>
            </w:r>
          </w:p>
        </w:tc>
        <w:tc>
          <w:tcPr>
            <w:tcW w:type="dxa" w:w="3000"/>
            <w:tcMar>
              <w:top w:type="dxa" w:w="80"/>
              <w:left w:type="dxa" w:w="100"/>
              <w:bottom w:type="dxa" w:w="80"/>
              <w:right w:type="dxa" w:w="100"/>
            </w:tcMar>
          </w:tcPr>
          <w:p>
            <w:r>
              <w:rPr>
                <w:b w:val="false"/>
                <w:bCs w:val="false"/>
                <w:color w:val="000000"/>
                <w:sz w:val="18"/>
                <w:szCs w:val="18"/>
              </w:rPr>
              <w:t xml:space="preserve">Numerical Reasoning; Ethical Integrity</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B.Com.</w:t>
            </w:r>
          </w:p>
        </w:tc>
        <w:tc>
          <w:tcPr>
            <w:tcW w:type="dxa" w:w="2300"/>
            <w:tcMar>
              <w:top w:type="dxa" w:w="80"/>
              <w:left w:type="dxa" w:w="100"/>
              <w:bottom w:type="dxa" w:w="80"/>
              <w:right w:type="dxa" w:w="100"/>
            </w:tcMar>
          </w:tcPr>
          <w:p>
            <w:r>
              <w:rPr>
                <w:b w:val="false"/>
                <w:bCs w:val="false"/>
                <w:color w:val="000000"/>
                <w:sz w:val="18"/>
                <w:szCs w:val="18"/>
              </w:rPr>
              <w:t xml:space="preserve">Business Analytics</w:t>
            </w:r>
          </w:p>
        </w:tc>
        <w:tc>
          <w:tcPr>
            <w:tcW w:type="dxa" w:w="3000"/>
            <w:tcMar>
              <w:top w:type="dxa" w:w="80"/>
              <w:left w:type="dxa" w:w="100"/>
              <w:bottom w:type="dxa" w:w="80"/>
              <w:right w:type="dxa" w:w="100"/>
            </w:tcMar>
          </w:tcPr>
          <w:p>
            <w:r>
              <w:rPr>
                <w:b w:val="false"/>
                <w:bCs w:val="false"/>
                <w:color w:val="000000"/>
                <w:sz w:val="18"/>
                <w:szCs w:val="18"/>
              </w:rPr>
              <w:t xml:space="preserve">Data-Driven Decision Making; Analytical Reasoning</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r>
        <w:tc>
          <w:tcPr>
            <w:tcW w:type="dxa" w:w="1500"/>
            <w:tcMar>
              <w:top w:type="dxa" w:w="80"/>
              <w:left w:type="dxa" w:w="100"/>
              <w:bottom w:type="dxa" w:w="80"/>
              <w:right w:type="dxa" w:w="100"/>
            </w:tcMar>
          </w:tcPr>
          <w:p>
            <w:r>
              <w:rPr>
                <w:b w:val="false"/>
                <w:bCs w:val="false"/>
                <w:color w:val="000000"/>
                <w:sz w:val="18"/>
                <w:szCs w:val="18"/>
              </w:rPr>
              <w:t xml:space="preserve">BBA</w:t>
            </w:r>
          </w:p>
        </w:tc>
        <w:tc>
          <w:tcPr>
            <w:tcW w:type="dxa" w:w="2300"/>
            <w:tcMar>
              <w:top w:type="dxa" w:w="80"/>
              <w:left w:type="dxa" w:w="100"/>
              <w:bottom w:type="dxa" w:w="80"/>
              <w:right w:type="dxa" w:w="100"/>
            </w:tcMar>
          </w:tcPr>
          <w:p>
            <w:r>
              <w:rPr>
                <w:b w:val="false"/>
                <w:bCs w:val="false"/>
                <w:color w:val="000000"/>
                <w:sz w:val="18"/>
                <w:szCs w:val="18"/>
              </w:rPr>
              <w:t xml:space="preserve">General Management</w:t>
            </w:r>
          </w:p>
        </w:tc>
        <w:tc>
          <w:tcPr>
            <w:tcW w:type="dxa" w:w="3000"/>
            <w:tcMar>
              <w:top w:type="dxa" w:w="80"/>
              <w:left w:type="dxa" w:w="100"/>
              <w:bottom w:type="dxa" w:w="80"/>
              <w:right w:type="dxa" w:w="100"/>
            </w:tcMar>
          </w:tcPr>
          <w:p>
            <w:r>
              <w:rPr>
                <w:b w:val="false"/>
                <w:bCs w:val="false"/>
                <w:color w:val="000000"/>
                <w:sz w:val="18"/>
                <w:szCs w:val="18"/>
              </w:rPr>
              <w:t xml:space="preserve">Leadership Potential; Negotiation &amp; Influence</w:t>
            </w:r>
          </w:p>
        </w:tc>
        <w:tc>
          <w:tcPr>
            <w:tcW w:type="dxa" w:w="2400"/>
            <w:tcMar>
              <w:top w:type="dxa" w:w="80"/>
              <w:left w:type="dxa" w:w="100"/>
              <w:bottom w:type="dxa" w:w="80"/>
              <w:right w:type="dxa" w:w="100"/>
            </w:tcMar>
          </w:tcPr>
          <w:p>
            <w:r>
              <w:rPr>
                <w:b w:val="false"/>
                <w:bCs w:val="false"/>
                <w:color w:val="000000"/>
                <w:sz w:val="18"/>
                <w:szCs w:val="18"/>
              </w:rPr>
              <w:t xml:space="preserve">26 closed, 2 open-text</w:t>
            </w:r>
          </w:p>
        </w:tc>
      </w:tr>
    </w:tbl>
    <w:p>
      <w:pPr>
        <w:pStyle w:val="Heading2"/>
        <w:spacing w:after="120" w:before="240"/>
      </w:pPr>
      <w:r>
        <w:rPr>
          <w:b/>
          <w:bCs/>
          <w:color w:val="2E74B5"/>
          <w:sz w:val="24"/>
          <w:szCs w:val="24"/>
        </w:rPr>
        <w:t xml:space="preserve">6.2 Professional / Technical Branches — 30 Questions, 30–35 Minutes Standard (45 min hard cap)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000"/>
        <w:gridCol w:w="2400"/>
      </w:tblGrid>
      <w:tr>
        <w:tc>
          <w:tcPr>
            <w:tcW w:type="dxa" w:w="1500"/>
            <w:shd w:fill="1F3864" w:val="clear"/>
            <w:tcMar>
              <w:top w:type="dxa" w:w="80"/>
              <w:left w:type="dxa" w:w="100"/>
              <w:bottom w:type="dxa" w:w="80"/>
              <w:right w:type="dxa" w:w="100"/>
            </w:tcMar>
          </w:tcPr>
          <w:p>
            <w:r>
              <w:rPr>
                <w:b/>
                <w:bCs/>
                <w:color w:val="FFFFFF"/>
                <w:sz w:val="18"/>
                <w:szCs w:val="18"/>
              </w:rPr>
              <w:t xml:space="preserve">Program</w:t>
            </w:r>
          </w:p>
        </w:tc>
        <w:tc>
          <w:tcPr>
            <w:tcW w:type="dxa" w:w="2300"/>
            <w:shd w:fill="1F3864" w:val="clear"/>
            <w:tcMar>
              <w:top w:type="dxa" w:w="80"/>
              <w:left w:type="dxa" w:w="100"/>
              <w:bottom w:type="dxa" w:w="80"/>
              <w:right w:type="dxa" w:w="100"/>
            </w:tcMar>
          </w:tcPr>
          <w:p>
            <w:r>
              <w:rPr>
                <w:b/>
                <w:bCs/>
                <w:color w:val="FFFFFF"/>
                <w:sz w:val="18"/>
                <w:szCs w:val="18"/>
              </w:rPr>
              <w:t xml:space="preserve">Discipline</w:t>
            </w:r>
          </w:p>
        </w:tc>
        <w:tc>
          <w:tcPr>
            <w:tcW w:type="dxa" w:w="3000"/>
            <w:shd w:fill="1F3864" w:val="clear"/>
            <w:tcMar>
              <w:top w:type="dxa" w:w="80"/>
              <w:left w:type="dxa" w:w="100"/>
              <w:bottom w:type="dxa" w:w="80"/>
              <w:right w:type="dxa" w:w="100"/>
            </w:tcMar>
          </w:tcPr>
          <w:p>
            <w:r>
              <w:rPr>
                <w:b/>
                <w:bCs/>
                <w:color w:val="FFFFFF"/>
                <w:sz w:val="18"/>
                <w:szCs w:val="18"/>
              </w:rPr>
              <w:t xml:space="preserve">Discipline-Specific Domains Added</w:t>
            </w:r>
          </w:p>
        </w:tc>
        <w:tc>
          <w:tcPr>
            <w:tcW w:type="dxa" w:w="2400"/>
            <w:shd w:fill="1F3864" w:val="clear"/>
            <w:tcMar>
              <w:top w:type="dxa" w:w="80"/>
              <w:left w:type="dxa" w:w="100"/>
              <w:bottom w:type="dxa" w:w="80"/>
              <w:right w:type="dxa" w:w="100"/>
            </w:tcMar>
          </w:tcPr>
          <w:p>
            <w:r>
              <w:rPr>
                <w:b/>
                <w:bCs/>
                <w:color w:val="FFFFFF"/>
                <w:sz w:val="18"/>
                <w:szCs w:val="18"/>
              </w:rPr>
              <w:t xml:space="preserve">Closed / Open-Text Split</w:t>
            </w:r>
          </w:p>
        </w:tc>
      </w:tr>
      <w:tr>
        <w:tc>
          <w:tcPr>
            <w:tcW w:type="dxa" w:w="1500"/>
            <w:tcMar>
              <w:top w:type="dxa" w:w="80"/>
              <w:left w:type="dxa" w:w="100"/>
              <w:bottom w:type="dxa" w:w="80"/>
              <w:right w:type="dxa" w:w="100"/>
            </w:tcMar>
          </w:tcPr>
          <w:p>
            <w:r>
              <w:rPr>
                <w:b w:val="false"/>
                <w:bCs w:val="false"/>
                <w:color w:val="000000"/>
                <w:sz w:val="18"/>
                <w:szCs w:val="18"/>
              </w:rPr>
              <w:t xml:space="preserve">B.Tech / B.E.</w:t>
            </w:r>
          </w:p>
        </w:tc>
        <w:tc>
          <w:tcPr>
            <w:tcW w:type="dxa" w:w="2300"/>
            <w:tcMar>
              <w:top w:type="dxa" w:w="80"/>
              <w:left w:type="dxa" w:w="100"/>
              <w:bottom w:type="dxa" w:w="80"/>
              <w:right w:type="dxa" w:w="100"/>
            </w:tcMar>
          </w:tcPr>
          <w:p>
            <w:r>
              <w:rPr>
                <w:b w:val="false"/>
                <w:bCs w:val="false"/>
                <w:color w:val="000000"/>
                <w:sz w:val="18"/>
                <w:szCs w:val="18"/>
              </w:rPr>
              <w:t xml:space="preserve">Computer Science Engineering</w:t>
            </w:r>
          </w:p>
        </w:tc>
        <w:tc>
          <w:tcPr>
            <w:tcW w:type="dxa" w:w="3000"/>
            <w:tcMar>
              <w:top w:type="dxa" w:w="80"/>
              <w:left w:type="dxa" w:w="100"/>
              <w:bottom w:type="dxa" w:w="80"/>
              <w:right w:type="dxa" w:w="100"/>
            </w:tcMar>
          </w:tcPr>
          <w:p>
            <w:r>
              <w:rPr>
                <w:b w:val="false"/>
                <w:bCs w:val="false"/>
                <w:color w:val="000000"/>
                <w:sz w:val="18"/>
                <w:szCs w:val="18"/>
              </w:rPr>
              <w:t xml:space="preserve">Systematic Problem-Solving; Attention to Detail</w:t>
            </w:r>
          </w:p>
        </w:tc>
        <w:tc>
          <w:tcPr>
            <w:tcW w:type="dxa" w:w="2400"/>
            <w:tcMar>
              <w:top w:type="dxa" w:w="80"/>
              <w:left w:type="dxa" w:w="100"/>
              <w:bottom w:type="dxa" w:w="80"/>
              <w:right w:type="dxa" w:w="100"/>
            </w:tcMar>
          </w:tcPr>
          <w:p>
            <w:r>
              <w:rPr>
                <w:b w:val="false"/>
                <w:bCs w:val="false"/>
                <w:color w:val="000000"/>
                <w:sz w:val="18"/>
                <w:szCs w:val="18"/>
              </w:rPr>
              <w:t xml:space="preserve">27 closed, 3 open-text</w:t>
            </w:r>
          </w:p>
        </w:tc>
      </w:tr>
      <w:tr>
        <w:tc>
          <w:tcPr>
            <w:tcW w:type="dxa" w:w="1500"/>
            <w:tcMar>
              <w:top w:type="dxa" w:w="80"/>
              <w:left w:type="dxa" w:w="100"/>
              <w:bottom w:type="dxa" w:w="80"/>
              <w:right w:type="dxa" w:w="100"/>
            </w:tcMar>
          </w:tcPr>
          <w:p>
            <w:r>
              <w:rPr>
                <w:b w:val="false"/>
                <w:bCs w:val="false"/>
                <w:color w:val="000000"/>
                <w:sz w:val="18"/>
                <w:szCs w:val="18"/>
              </w:rPr>
              <w:t xml:space="preserve">B.Tech / B.E.</w:t>
            </w:r>
          </w:p>
        </w:tc>
        <w:tc>
          <w:tcPr>
            <w:tcW w:type="dxa" w:w="2300"/>
            <w:tcMar>
              <w:top w:type="dxa" w:w="80"/>
              <w:left w:type="dxa" w:w="100"/>
              <w:bottom w:type="dxa" w:w="80"/>
              <w:right w:type="dxa" w:w="100"/>
            </w:tcMar>
          </w:tcPr>
          <w:p>
            <w:r>
              <w:rPr>
                <w:b w:val="false"/>
                <w:bCs w:val="false"/>
                <w:color w:val="000000"/>
                <w:sz w:val="18"/>
                <w:szCs w:val="18"/>
              </w:rPr>
              <w:t xml:space="preserve">Mechanical Engineering</w:t>
            </w:r>
          </w:p>
        </w:tc>
        <w:tc>
          <w:tcPr>
            <w:tcW w:type="dxa" w:w="3000"/>
            <w:tcMar>
              <w:top w:type="dxa" w:w="80"/>
              <w:left w:type="dxa" w:w="100"/>
              <w:bottom w:type="dxa" w:w="80"/>
              <w:right w:type="dxa" w:w="100"/>
            </w:tcMar>
          </w:tcPr>
          <w:p>
            <w:r>
              <w:rPr>
                <w:b w:val="false"/>
                <w:bCs w:val="false"/>
                <w:color w:val="000000"/>
                <w:sz w:val="18"/>
                <w:szCs w:val="18"/>
              </w:rPr>
              <w:t xml:space="preserve">Practical/Applied Reasoning; Systematic Problem-Solving</w:t>
            </w:r>
          </w:p>
        </w:tc>
        <w:tc>
          <w:tcPr>
            <w:tcW w:type="dxa" w:w="2400"/>
            <w:tcMar>
              <w:top w:type="dxa" w:w="80"/>
              <w:left w:type="dxa" w:w="100"/>
              <w:bottom w:type="dxa" w:w="80"/>
              <w:right w:type="dxa" w:w="100"/>
            </w:tcMar>
          </w:tcPr>
          <w:p>
            <w:r>
              <w:rPr>
                <w:b w:val="false"/>
                <w:bCs w:val="false"/>
                <w:color w:val="000000"/>
                <w:sz w:val="18"/>
                <w:szCs w:val="18"/>
              </w:rPr>
              <w:t xml:space="preserve">27 closed, 3 open-text</w:t>
            </w:r>
          </w:p>
        </w:tc>
      </w:tr>
      <w:tr>
        <w:tc>
          <w:tcPr>
            <w:tcW w:type="dxa" w:w="1500"/>
            <w:tcMar>
              <w:top w:type="dxa" w:w="80"/>
              <w:left w:type="dxa" w:w="100"/>
              <w:bottom w:type="dxa" w:w="80"/>
              <w:right w:type="dxa" w:w="100"/>
            </w:tcMar>
          </w:tcPr>
          <w:p>
            <w:r>
              <w:rPr>
                <w:b w:val="false"/>
                <w:bCs w:val="false"/>
                <w:color w:val="000000"/>
                <w:sz w:val="18"/>
                <w:szCs w:val="18"/>
              </w:rPr>
              <w:t xml:space="preserve">B.Tech / B.E.</w:t>
            </w:r>
          </w:p>
        </w:tc>
        <w:tc>
          <w:tcPr>
            <w:tcW w:type="dxa" w:w="2300"/>
            <w:tcMar>
              <w:top w:type="dxa" w:w="80"/>
              <w:left w:type="dxa" w:w="100"/>
              <w:bottom w:type="dxa" w:w="80"/>
              <w:right w:type="dxa" w:w="100"/>
            </w:tcMar>
          </w:tcPr>
          <w:p>
            <w:r>
              <w:rPr>
                <w:b w:val="false"/>
                <w:bCs w:val="false"/>
                <w:color w:val="000000"/>
                <w:sz w:val="18"/>
                <w:szCs w:val="18"/>
              </w:rPr>
              <w:t xml:space="preserve">Civil Engineering</w:t>
            </w:r>
          </w:p>
        </w:tc>
        <w:tc>
          <w:tcPr>
            <w:tcW w:type="dxa" w:w="3000"/>
            <w:tcMar>
              <w:top w:type="dxa" w:w="80"/>
              <w:left w:type="dxa" w:w="100"/>
              <w:bottom w:type="dxa" w:w="80"/>
              <w:right w:type="dxa" w:w="100"/>
            </w:tcMar>
          </w:tcPr>
          <w:p>
            <w:r>
              <w:rPr>
                <w:b w:val="false"/>
                <w:bCs w:val="false"/>
                <w:color w:val="000000"/>
                <w:sz w:val="18"/>
                <w:szCs w:val="18"/>
              </w:rPr>
              <w:t xml:space="preserve">Risk Assessment; Attention to Detail</w:t>
            </w:r>
          </w:p>
        </w:tc>
        <w:tc>
          <w:tcPr>
            <w:tcW w:type="dxa" w:w="2400"/>
            <w:tcMar>
              <w:top w:type="dxa" w:w="80"/>
              <w:left w:type="dxa" w:w="100"/>
              <w:bottom w:type="dxa" w:w="80"/>
              <w:right w:type="dxa" w:w="100"/>
            </w:tcMar>
          </w:tcPr>
          <w:p>
            <w:r>
              <w:rPr>
                <w:b w:val="false"/>
                <w:bCs w:val="false"/>
                <w:color w:val="000000"/>
                <w:sz w:val="18"/>
                <w:szCs w:val="18"/>
              </w:rPr>
              <w:t xml:space="preserve">27 closed, 3 open-text</w:t>
            </w:r>
          </w:p>
        </w:tc>
      </w:tr>
      <w:tr>
        <w:tc>
          <w:tcPr>
            <w:tcW w:type="dxa" w:w="1500"/>
            <w:tcMar>
              <w:top w:type="dxa" w:w="80"/>
              <w:left w:type="dxa" w:w="100"/>
              <w:bottom w:type="dxa" w:w="80"/>
              <w:right w:type="dxa" w:w="100"/>
            </w:tcMar>
          </w:tcPr>
          <w:p>
            <w:r>
              <w:rPr>
                <w:b w:val="false"/>
                <w:bCs w:val="false"/>
                <w:color w:val="000000"/>
                <w:sz w:val="18"/>
                <w:szCs w:val="18"/>
              </w:rPr>
              <w:t xml:space="preserve">MBBS</w:t>
            </w:r>
          </w:p>
        </w:tc>
        <w:tc>
          <w:tcPr>
            <w:tcW w:type="dxa" w:w="2300"/>
            <w:tcMar>
              <w:top w:type="dxa" w:w="80"/>
              <w:left w:type="dxa" w:w="100"/>
              <w:bottom w:type="dxa" w:w="80"/>
              <w:right w:type="dxa" w:w="100"/>
            </w:tcMar>
          </w:tcPr>
          <w:p>
            <w:r>
              <w:rPr>
                <w:b w:val="false"/>
                <w:bCs w:val="false"/>
                <w:color w:val="000000"/>
                <w:sz w:val="18"/>
                <w:szCs w:val="18"/>
              </w:rPr>
              <w:t xml:space="preserve">General Medicine</w:t>
            </w:r>
          </w:p>
        </w:tc>
        <w:tc>
          <w:tcPr>
            <w:tcW w:type="dxa" w:w="3000"/>
            <w:tcMar>
              <w:top w:type="dxa" w:w="80"/>
              <w:left w:type="dxa" w:w="100"/>
              <w:bottom w:type="dxa" w:w="80"/>
              <w:right w:type="dxa" w:w="100"/>
            </w:tcMar>
          </w:tcPr>
          <w:p>
            <w:r>
              <w:rPr>
                <w:b w:val="false"/>
                <w:bCs w:val="false"/>
                <w:color w:val="000000"/>
                <w:sz w:val="18"/>
                <w:szCs w:val="18"/>
              </w:rPr>
              <w:t xml:space="preserve">Empathy &amp; Stress Tolerance; Ethical Reasoning</w:t>
            </w:r>
          </w:p>
        </w:tc>
        <w:tc>
          <w:tcPr>
            <w:tcW w:type="dxa" w:w="2400"/>
            <w:tcMar>
              <w:top w:type="dxa" w:w="80"/>
              <w:left w:type="dxa" w:w="100"/>
              <w:bottom w:type="dxa" w:w="80"/>
              <w:right w:type="dxa" w:w="100"/>
            </w:tcMar>
          </w:tcPr>
          <w:p>
            <w:r>
              <w:rPr>
                <w:b w:val="false"/>
                <w:bCs w:val="false"/>
                <w:color w:val="000000"/>
                <w:sz w:val="18"/>
                <w:szCs w:val="18"/>
              </w:rPr>
              <w:t xml:space="preserve">27 closed, 3 open-text</w:t>
            </w:r>
          </w:p>
        </w:tc>
      </w:tr>
      <w:tr>
        <w:tc>
          <w:tcPr>
            <w:tcW w:type="dxa" w:w="1500"/>
            <w:tcMar>
              <w:top w:type="dxa" w:w="80"/>
              <w:left w:type="dxa" w:w="100"/>
              <w:bottom w:type="dxa" w:w="80"/>
              <w:right w:type="dxa" w:w="100"/>
            </w:tcMar>
          </w:tcPr>
          <w:p>
            <w:r>
              <w:rPr>
                <w:b w:val="false"/>
                <w:bCs w:val="false"/>
                <w:color w:val="000000"/>
                <w:sz w:val="18"/>
                <w:szCs w:val="18"/>
              </w:rPr>
              <w:t xml:space="preserve">B.Pharm</w:t>
            </w:r>
          </w:p>
        </w:tc>
        <w:tc>
          <w:tcPr>
            <w:tcW w:type="dxa" w:w="2300"/>
            <w:tcMar>
              <w:top w:type="dxa" w:w="80"/>
              <w:left w:type="dxa" w:w="100"/>
              <w:bottom w:type="dxa" w:w="80"/>
              <w:right w:type="dxa" w:w="100"/>
            </w:tcMar>
          </w:tcPr>
          <w:p>
            <w:r>
              <w:rPr>
                <w:b w:val="false"/>
                <w:bCs w:val="false"/>
                <w:color w:val="000000"/>
                <w:sz w:val="18"/>
                <w:szCs w:val="18"/>
              </w:rPr>
              <w:t xml:space="preserve">Pharmacy</w:t>
            </w:r>
          </w:p>
        </w:tc>
        <w:tc>
          <w:tcPr>
            <w:tcW w:type="dxa" w:w="3000"/>
            <w:tcMar>
              <w:top w:type="dxa" w:w="80"/>
              <w:left w:type="dxa" w:w="100"/>
              <w:bottom w:type="dxa" w:w="80"/>
              <w:right w:type="dxa" w:w="100"/>
            </w:tcMar>
          </w:tcPr>
          <w:p>
            <w:r>
              <w:rPr>
                <w:b w:val="false"/>
                <w:bCs w:val="false"/>
                <w:color w:val="000000"/>
                <w:sz w:val="18"/>
                <w:szCs w:val="18"/>
              </w:rPr>
              <w:t xml:space="preserve">Precision &amp; Regulatory Compliance Mindset; Attention to Detail</w:t>
            </w:r>
          </w:p>
        </w:tc>
        <w:tc>
          <w:tcPr>
            <w:tcW w:type="dxa" w:w="2400"/>
            <w:tcMar>
              <w:top w:type="dxa" w:w="80"/>
              <w:left w:type="dxa" w:w="100"/>
              <w:bottom w:type="dxa" w:w="80"/>
              <w:right w:type="dxa" w:w="100"/>
            </w:tcMar>
          </w:tcPr>
          <w:p>
            <w:r>
              <w:rPr>
                <w:b w:val="false"/>
                <w:bCs w:val="false"/>
                <w:color w:val="000000"/>
                <w:sz w:val="18"/>
                <w:szCs w:val="18"/>
              </w:rPr>
              <w:t xml:space="preserve">27 closed, 3 open-text</w:t>
            </w:r>
          </w:p>
        </w:tc>
      </w:tr>
      <w:tr>
        <w:tc>
          <w:tcPr>
            <w:tcW w:type="dxa" w:w="1500"/>
            <w:tcMar>
              <w:top w:type="dxa" w:w="80"/>
              <w:left w:type="dxa" w:w="100"/>
              <w:bottom w:type="dxa" w:w="80"/>
              <w:right w:type="dxa" w:w="100"/>
            </w:tcMar>
          </w:tcPr>
          <w:p>
            <w:r>
              <w:rPr>
                <w:b w:val="false"/>
                <w:bCs w:val="false"/>
                <w:color w:val="000000"/>
                <w:sz w:val="18"/>
                <w:szCs w:val="18"/>
              </w:rPr>
              <w:t xml:space="preserve">LLB / BA LLB</w:t>
            </w:r>
          </w:p>
        </w:tc>
        <w:tc>
          <w:tcPr>
            <w:tcW w:type="dxa" w:w="2300"/>
            <w:tcMar>
              <w:top w:type="dxa" w:w="80"/>
              <w:left w:type="dxa" w:w="100"/>
              <w:bottom w:type="dxa" w:w="80"/>
              <w:right w:type="dxa" w:w="100"/>
            </w:tcMar>
          </w:tcPr>
          <w:p>
            <w:r>
              <w:rPr>
                <w:b w:val="false"/>
                <w:bCs w:val="false"/>
                <w:color w:val="000000"/>
                <w:sz w:val="18"/>
                <w:szCs w:val="18"/>
              </w:rPr>
              <w:t xml:space="preserve">Law</w:t>
            </w:r>
          </w:p>
        </w:tc>
        <w:tc>
          <w:tcPr>
            <w:tcW w:type="dxa" w:w="3000"/>
            <w:tcMar>
              <w:top w:type="dxa" w:w="80"/>
              <w:left w:type="dxa" w:w="100"/>
              <w:bottom w:type="dxa" w:w="80"/>
              <w:right w:type="dxa" w:w="100"/>
            </w:tcMar>
          </w:tcPr>
          <w:p>
            <w:r>
              <w:rPr>
                <w:b w:val="false"/>
                <w:bCs w:val="false"/>
                <w:color w:val="000000"/>
                <w:sz w:val="18"/>
                <w:szCs w:val="18"/>
              </w:rPr>
              <w:t xml:space="preserve">Ethical Reasoning &amp; Argumentation; Persuasive Communication</w:t>
            </w:r>
          </w:p>
        </w:tc>
        <w:tc>
          <w:tcPr>
            <w:tcW w:type="dxa" w:w="2400"/>
            <w:tcMar>
              <w:top w:type="dxa" w:w="80"/>
              <w:left w:type="dxa" w:w="100"/>
              <w:bottom w:type="dxa" w:w="80"/>
              <w:right w:type="dxa" w:w="100"/>
            </w:tcMar>
          </w:tcPr>
          <w:p>
            <w:r>
              <w:rPr>
                <w:b w:val="false"/>
                <w:bCs w:val="false"/>
                <w:color w:val="000000"/>
                <w:sz w:val="18"/>
                <w:szCs w:val="18"/>
              </w:rPr>
              <w:t xml:space="preserve">27 closed, 3 open-text</w:t>
            </w:r>
          </w:p>
        </w:tc>
      </w:tr>
    </w:tbl>
    <w:p>
      <w:pPr>
        <w:spacing w:after="160"/>
      </w:pPr>
      <w:r>
        <w:rPr>
          <w:sz w:val="21"/>
          <w:szCs w:val="21"/>
        </w:rPr>
        <w:t xml:space="preserve">These figures are launch defaults for the SME to validate, not immutable constants — but any change to total question count or time standard for a branch already in production should go through the same Section 5 methodology so numbers stay comparable across branches.</w:t>
      </w:r>
    </w:p>
    <w:p>
      <w:pPr>
        <w:pStyle w:val="Heading1"/>
        <w:spacing w:after="160" w:before="360"/>
      </w:pPr>
      <w:r>
        <w:rPr>
          <w:b/>
          <w:bCs/>
          <w:color w:val="1F3864"/>
          <w:sz w:val="28"/>
          <w:szCs w:val="28"/>
        </w:rPr>
        <w:t xml:space="preserve">7. Worked Example: Deriving Numbers for B.A. Journalism</w:t>
      </w:r>
    </w:p>
    <w:p>
      <w:pPr>
        <w:spacing w:after="160"/>
      </w:pPr>
      <w:r>
        <w:rPr>
          <w:sz w:val="21"/>
          <w:szCs w:val="21"/>
        </w:rPr>
        <w:t xml:space="preserve">This shows the Section 5 methodology applied end-to-end, for reference when sizing a new discipline.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700"/>
      </w:tblGrid>
      <w:tr>
        <w:tc>
          <w:tcPr>
            <w:tcW w:type="dxa" w:w="3600"/>
            <w:shd w:fill="1F3864" w:val="clear"/>
            <w:tcMar>
              <w:top w:type="dxa" w:w="80"/>
              <w:left w:type="dxa" w:w="100"/>
              <w:bottom w:type="dxa" w:w="80"/>
              <w:right w:type="dxa" w:w="100"/>
            </w:tcMar>
          </w:tcPr>
          <w:p>
            <w:r>
              <w:rPr>
                <w:b/>
                <w:bCs/>
                <w:color w:val="FFFFFF"/>
                <w:sz w:val="18"/>
                <w:szCs w:val="18"/>
              </w:rPr>
              <w:t xml:space="preserve">Domain</w:t>
            </w:r>
          </w:p>
        </w:tc>
        <w:tc>
          <w:tcPr>
            <w:tcW w:type="dxa" w:w="2600"/>
            <w:shd w:fill="1F3864" w:val="clear"/>
            <w:tcMar>
              <w:top w:type="dxa" w:w="80"/>
              <w:left w:type="dxa" w:w="100"/>
              <w:bottom w:type="dxa" w:w="80"/>
              <w:right w:type="dxa" w:w="100"/>
            </w:tcMar>
          </w:tcPr>
          <w:p>
            <w:r>
              <w:rPr>
                <w:b/>
                <w:bCs/>
                <w:color w:val="FFFFFF"/>
                <w:sz w:val="18"/>
                <w:szCs w:val="18"/>
              </w:rPr>
              <w:t xml:space="preserve">Weight %</w:t>
            </w:r>
          </w:p>
        </w:tc>
        <w:tc>
          <w:tcPr>
            <w:tcW w:type="dxa" w:w="2700"/>
            <w:shd w:fill="1F3864" w:val="clear"/>
            <w:tcMar>
              <w:top w:type="dxa" w:w="80"/>
              <w:left w:type="dxa" w:w="100"/>
              <w:bottom w:type="dxa" w:w="80"/>
              <w:right w:type="dxa" w:w="100"/>
            </w:tcMar>
          </w:tcPr>
          <w:p>
            <w:r>
              <w:rPr>
                <w:b/>
                <w:bCs/>
                <w:color w:val="FFFFFF"/>
                <w:sz w:val="18"/>
                <w:szCs w:val="18"/>
              </w:rPr>
              <w:t xml:space="preserve">Question Count (of 28)</w:t>
            </w:r>
          </w:p>
        </w:tc>
      </w:tr>
      <w:tr>
        <w:tc>
          <w:tcPr>
            <w:tcW w:type="dxa" w:w="3600"/>
            <w:tcMar>
              <w:top w:type="dxa" w:w="80"/>
              <w:left w:type="dxa" w:w="100"/>
              <w:bottom w:type="dxa" w:w="80"/>
              <w:right w:type="dxa" w:w="100"/>
            </w:tcMar>
          </w:tcPr>
          <w:p>
            <w:r>
              <w:rPr>
                <w:b w:val="false"/>
                <w:bCs w:val="false"/>
                <w:color w:val="000000"/>
                <w:sz w:val="18"/>
                <w:szCs w:val="18"/>
              </w:rPr>
              <w:t xml:space="preserve">Communication</w:t>
            </w:r>
          </w:p>
        </w:tc>
        <w:tc>
          <w:tcPr>
            <w:tcW w:type="dxa" w:w="2600"/>
            <w:tcMar>
              <w:top w:type="dxa" w:w="80"/>
              <w:left w:type="dxa" w:w="100"/>
              <w:bottom w:type="dxa" w:w="80"/>
              <w:right w:type="dxa" w:w="100"/>
            </w:tcMar>
          </w:tcPr>
          <w:p>
            <w:r>
              <w:rPr>
                <w:b w:val="false"/>
                <w:bCs w:val="false"/>
                <w:color w:val="000000"/>
                <w:sz w:val="18"/>
                <w:szCs w:val="18"/>
              </w:rPr>
              <w:t xml:space="preserve">15%</w:t>
            </w:r>
          </w:p>
        </w:tc>
        <w:tc>
          <w:tcPr>
            <w:tcW w:type="dxa" w:w="2700"/>
            <w:tcMar>
              <w:top w:type="dxa" w:w="80"/>
              <w:left w:type="dxa" w:w="100"/>
              <w:bottom w:type="dxa" w:w="80"/>
              <w:right w:type="dxa" w:w="100"/>
            </w:tcMar>
          </w:tcPr>
          <w:p>
            <w:r>
              <w:rPr>
                <w:b w:val="false"/>
                <w:bCs w:val="false"/>
                <w:color w:val="000000"/>
                <w:sz w:val="18"/>
                <w:szCs w:val="18"/>
              </w:rPr>
              <w:t xml:space="preserve">4</w:t>
            </w:r>
          </w:p>
        </w:tc>
      </w:tr>
      <w:tr>
        <w:tc>
          <w:tcPr>
            <w:tcW w:type="dxa" w:w="3600"/>
            <w:tcMar>
              <w:top w:type="dxa" w:w="80"/>
              <w:left w:type="dxa" w:w="100"/>
              <w:bottom w:type="dxa" w:w="80"/>
              <w:right w:type="dxa" w:w="100"/>
            </w:tcMar>
          </w:tcPr>
          <w:p>
            <w:r>
              <w:rPr>
                <w:b w:val="false"/>
                <w:bCs w:val="false"/>
                <w:color w:val="000000"/>
                <w:sz w:val="18"/>
                <w:szCs w:val="18"/>
              </w:rPr>
              <w:t xml:space="preserve">Critical Thinking &amp; Problem-Solving</w:t>
            </w:r>
          </w:p>
        </w:tc>
        <w:tc>
          <w:tcPr>
            <w:tcW w:type="dxa" w:w="2600"/>
            <w:tcMar>
              <w:top w:type="dxa" w:w="80"/>
              <w:left w:type="dxa" w:w="100"/>
              <w:bottom w:type="dxa" w:w="80"/>
              <w:right w:type="dxa" w:w="100"/>
            </w:tcMar>
          </w:tcPr>
          <w:p>
            <w:r>
              <w:rPr>
                <w:b w:val="false"/>
                <w:bCs w:val="false"/>
                <w:color w:val="000000"/>
                <w:sz w:val="18"/>
                <w:szCs w:val="18"/>
              </w:rPr>
              <w:t xml:space="preserve">15%</w:t>
            </w:r>
          </w:p>
        </w:tc>
        <w:tc>
          <w:tcPr>
            <w:tcW w:type="dxa" w:w="2700"/>
            <w:tcMar>
              <w:top w:type="dxa" w:w="80"/>
              <w:left w:type="dxa" w:w="100"/>
              <w:bottom w:type="dxa" w:w="80"/>
              <w:right w:type="dxa" w:w="100"/>
            </w:tcMar>
          </w:tcPr>
          <w:p>
            <w:r>
              <w:rPr>
                <w:b w:val="false"/>
                <w:bCs w:val="false"/>
                <w:color w:val="000000"/>
                <w:sz w:val="18"/>
                <w:szCs w:val="18"/>
              </w:rPr>
              <w:t xml:space="preserve">4</w:t>
            </w:r>
          </w:p>
        </w:tc>
      </w:tr>
      <w:tr>
        <w:tc>
          <w:tcPr>
            <w:tcW w:type="dxa" w:w="3600"/>
            <w:tcMar>
              <w:top w:type="dxa" w:w="80"/>
              <w:left w:type="dxa" w:w="100"/>
              <w:bottom w:type="dxa" w:w="80"/>
              <w:right w:type="dxa" w:w="100"/>
            </w:tcMar>
          </w:tcPr>
          <w:p>
            <w:r>
              <w:rPr>
                <w:b w:val="false"/>
                <w:bCs w:val="false"/>
                <w:color w:val="000000"/>
                <w:sz w:val="18"/>
                <w:szCs w:val="18"/>
              </w:rPr>
              <w:t xml:space="preserve">Emotional Intelligence</w:t>
            </w:r>
          </w:p>
        </w:tc>
        <w:tc>
          <w:tcPr>
            <w:tcW w:type="dxa" w:w="2600"/>
            <w:tcMar>
              <w:top w:type="dxa" w:w="80"/>
              <w:left w:type="dxa" w:w="100"/>
              <w:bottom w:type="dxa" w:w="80"/>
              <w:right w:type="dxa" w:w="100"/>
            </w:tcMar>
          </w:tcPr>
          <w:p>
            <w:r>
              <w:rPr>
                <w:b w:val="false"/>
                <w:bCs w:val="false"/>
                <w:color w:val="000000"/>
                <w:sz w:val="18"/>
                <w:szCs w:val="18"/>
              </w:rPr>
              <w:t xml:space="preserve">12%</w:t>
            </w:r>
          </w:p>
        </w:tc>
        <w:tc>
          <w:tcPr>
            <w:tcW w:type="dxa" w:w="2700"/>
            <w:tcMar>
              <w:top w:type="dxa" w:w="80"/>
              <w:left w:type="dxa" w:w="100"/>
              <w:bottom w:type="dxa" w:w="80"/>
              <w:right w:type="dxa" w:w="100"/>
            </w:tcMar>
          </w:tcPr>
          <w:p>
            <w:r>
              <w:rPr>
                <w:b w:val="false"/>
                <w:bCs w:val="false"/>
                <w:color w:val="000000"/>
                <w:sz w:val="18"/>
                <w:szCs w:val="18"/>
              </w:rPr>
              <w:t xml:space="preserve">3</w:t>
            </w:r>
          </w:p>
        </w:tc>
      </w:tr>
      <w:tr>
        <w:tc>
          <w:tcPr>
            <w:tcW w:type="dxa" w:w="3600"/>
            <w:tcMar>
              <w:top w:type="dxa" w:w="80"/>
              <w:left w:type="dxa" w:w="100"/>
              <w:bottom w:type="dxa" w:w="80"/>
              <w:right w:type="dxa" w:w="100"/>
            </w:tcMar>
          </w:tcPr>
          <w:p>
            <w:r>
              <w:rPr>
                <w:b w:val="false"/>
                <w:bCs w:val="false"/>
                <w:color w:val="000000"/>
                <w:sz w:val="18"/>
                <w:szCs w:val="18"/>
              </w:rPr>
              <w:t xml:space="preserve">Collaboration &amp; Teamwork</w:t>
            </w:r>
          </w:p>
        </w:tc>
        <w:tc>
          <w:tcPr>
            <w:tcW w:type="dxa" w:w="2600"/>
            <w:tcMar>
              <w:top w:type="dxa" w:w="80"/>
              <w:left w:type="dxa" w:w="100"/>
              <w:bottom w:type="dxa" w:w="80"/>
              <w:right w:type="dxa" w:w="100"/>
            </w:tcMar>
          </w:tcPr>
          <w:p>
            <w:r>
              <w:rPr>
                <w:b w:val="false"/>
                <w:bCs w:val="false"/>
                <w:color w:val="000000"/>
                <w:sz w:val="18"/>
                <w:szCs w:val="18"/>
              </w:rPr>
              <w:t xml:space="preserve">12%</w:t>
            </w:r>
          </w:p>
        </w:tc>
        <w:tc>
          <w:tcPr>
            <w:tcW w:type="dxa" w:w="2700"/>
            <w:tcMar>
              <w:top w:type="dxa" w:w="80"/>
              <w:left w:type="dxa" w:w="100"/>
              <w:bottom w:type="dxa" w:w="80"/>
              <w:right w:type="dxa" w:w="100"/>
            </w:tcMar>
          </w:tcPr>
          <w:p>
            <w:r>
              <w:rPr>
                <w:b w:val="false"/>
                <w:bCs w:val="false"/>
                <w:color w:val="000000"/>
                <w:sz w:val="18"/>
                <w:szCs w:val="18"/>
              </w:rPr>
              <w:t xml:space="preserve">3</w:t>
            </w:r>
          </w:p>
        </w:tc>
      </w:tr>
      <w:tr>
        <w:tc>
          <w:tcPr>
            <w:tcW w:type="dxa" w:w="3600"/>
            <w:tcMar>
              <w:top w:type="dxa" w:w="80"/>
              <w:left w:type="dxa" w:w="100"/>
              <w:bottom w:type="dxa" w:w="80"/>
              <w:right w:type="dxa" w:w="100"/>
            </w:tcMar>
          </w:tcPr>
          <w:p>
            <w:r>
              <w:rPr>
                <w:b w:val="false"/>
                <w:bCs w:val="false"/>
                <w:color w:val="000000"/>
                <w:sz w:val="18"/>
                <w:szCs w:val="18"/>
              </w:rPr>
              <w:t xml:space="preserve">Adaptability &amp; Resilience</w:t>
            </w:r>
          </w:p>
        </w:tc>
        <w:tc>
          <w:tcPr>
            <w:tcW w:type="dxa" w:w="2600"/>
            <w:tcMar>
              <w:top w:type="dxa" w:w="80"/>
              <w:left w:type="dxa" w:w="100"/>
              <w:bottom w:type="dxa" w:w="80"/>
              <w:right w:type="dxa" w:w="100"/>
            </w:tcMar>
          </w:tcPr>
          <w:p>
            <w:r>
              <w:rPr>
                <w:b w:val="false"/>
                <w:bCs w:val="false"/>
                <w:color w:val="000000"/>
                <w:sz w:val="18"/>
                <w:szCs w:val="18"/>
              </w:rPr>
              <w:t xml:space="preserve">10%</w:t>
            </w:r>
          </w:p>
        </w:tc>
        <w:tc>
          <w:tcPr>
            <w:tcW w:type="dxa" w:w="2700"/>
            <w:tcMar>
              <w:top w:type="dxa" w:w="80"/>
              <w:left w:type="dxa" w:w="100"/>
              <w:bottom w:type="dxa" w:w="80"/>
              <w:right w:type="dxa" w:w="100"/>
            </w:tcMar>
          </w:tcPr>
          <w:p>
            <w:r>
              <w:rPr>
                <w:b w:val="false"/>
                <w:bCs w:val="false"/>
                <w:color w:val="000000"/>
                <w:sz w:val="18"/>
                <w:szCs w:val="18"/>
              </w:rPr>
              <w:t xml:space="preserve">3</w:t>
            </w:r>
          </w:p>
        </w:tc>
      </w:tr>
      <w:tr>
        <w:tc>
          <w:tcPr>
            <w:tcW w:type="dxa" w:w="3600"/>
            <w:tcMar>
              <w:top w:type="dxa" w:w="80"/>
              <w:left w:type="dxa" w:w="100"/>
              <w:bottom w:type="dxa" w:w="80"/>
              <w:right w:type="dxa" w:w="100"/>
            </w:tcMar>
          </w:tcPr>
          <w:p>
            <w:r>
              <w:rPr>
                <w:b w:val="false"/>
                <w:bCs w:val="false"/>
                <w:color w:val="000000"/>
                <w:sz w:val="18"/>
                <w:szCs w:val="18"/>
              </w:rPr>
              <w:t xml:space="preserve">Time Management &amp; Prioritization</w:t>
            </w:r>
          </w:p>
        </w:tc>
        <w:tc>
          <w:tcPr>
            <w:tcW w:type="dxa" w:w="2600"/>
            <w:tcMar>
              <w:top w:type="dxa" w:w="80"/>
              <w:left w:type="dxa" w:w="100"/>
              <w:bottom w:type="dxa" w:w="80"/>
              <w:right w:type="dxa" w:w="100"/>
            </w:tcMar>
          </w:tcPr>
          <w:p>
            <w:r>
              <w:rPr>
                <w:b w:val="false"/>
                <w:bCs w:val="false"/>
                <w:color w:val="000000"/>
                <w:sz w:val="18"/>
                <w:szCs w:val="18"/>
              </w:rPr>
              <w:t xml:space="preserve">8%</w:t>
            </w:r>
          </w:p>
        </w:tc>
        <w:tc>
          <w:tcPr>
            <w:tcW w:type="dxa" w:w="2700"/>
            <w:tcMar>
              <w:top w:type="dxa" w:w="80"/>
              <w:left w:type="dxa" w:w="100"/>
              <w:bottom w:type="dxa" w:w="80"/>
              <w:right w:type="dxa" w:w="100"/>
            </w:tcMar>
          </w:tcPr>
          <w:p>
            <w:r>
              <w:rPr>
                <w:b w:val="false"/>
                <w:bCs w:val="false"/>
                <w:color w:val="000000"/>
                <w:sz w:val="18"/>
                <w:szCs w:val="18"/>
              </w:rPr>
              <w:t xml:space="preserve">2 → raised to 3 (floor rule)</w:t>
            </w:r>
          </w:p>
        </w:tc>
      </w:tr>
      <w:tr>
        <w:tc>
          <w:tcPr>
            <w:tcW w:type="dxa" w:w="3600"/>
            <w:tcMar>
              <w:top w:type="dxa" w:w="80"/>
              <w:left w:type="dxa" w:w="100"/>
              <w:bottom w:type="dxa" w:w="80"/>
              <w:right w:type="dxa" w:w="100"/>
            </w:tcMar>
          </w:tcPr>
          <w:p>
            <w:r>
              <w:rPr>
                <w:b w:val="false"/>
                <w:bCs w:val="false"/>
                <w:color w:val="000000"/>
                <w:sz w:val="18"/>
                <w:szCs w:val="18"/>
              </w:rPr>
              <w:t xml:space="preserve">Persuasive Storytelling (specific)</w:t>
            </w:r>
          </w:p>
        </w:tc>
        <w:tc>
          <w:tcPr>
            <w:tcW w:type="dxa" w:w="2600"/>
            <w:tcMar>
              <w:top w:type="dxa" w:w="80"/>
              <w:left w:type="dxa" w:w="100"/>
              <w:bottom w:type="dxa" w:w="80"/>
              <w:right w:type="dxa" w:w="100"/>
            </w:tcMar>
          </w:tcPr>
          <w:p>
            <w:r>
              <w:rPr>
                <w:b w:val="false"/>
                <w:bCs w:val="false"/>
                <w:color w:val="000000"/>
                <w:sz w:val="18"/>
                <w:szCs w:val="18"/>
              </w:rPr>
              <w:t xml:space="preserve">14%</w:t>
            </w:r>
          </w:p>
        </w:tc>
        <w:tc>
          <w:tcPr>
            <w:tcW w:type="dxa" w:w="2700"/>
            <w:tcMar>
              <w:top w:type="dxa" w:w="80"/>
              <w:left w:type="dxa" w:w="100"/>
              <w:bottom w:type="dxa" w:w="80"/>
              <w:right w:type="dxa" w:w="100"/>
            </w:tcMar>
          </w:tcPr>
          <w:p>
            <w:r>
              <w:rPr>
                <w:b w:val="false"/>
                <w:bCs w:val="false"/>
                <w:color w:val="000000"/>
                <w:sz w:val="18"/>
                <w:szCs w:val="18"/>
              </w:rPr>
              <w:t xml:space="preserve">4</w:t>
            </w:r>
          </w:p>
        </w:tc>
      </w:tr>
      <w:tr>
        <w:tc>
          <w:tcPr>
            <w:tcW w:type="dxa" w:w="3600"/>
            <w:tcMar>
              <w:top w:type="dxa" w:w="80"/>
              <w:left w:type="dxa" w:w="100"/>
              <w:bottom w:type="dxa" w:w="80"/>
              <w:right w:type="dxa" w:w="100"/>
            </w:tcMar>
          </w:tcPr>
          <w:p>
            <w:r>
              <w:rPr>
                <w:b w:val="false"/>
                <w:bCs w:val="false"/>
                <w:color w:val="000000"/>
                <w:sz w:val="18"/>
                <w:szCs w:val="18"/>
              </w:rPr>
              <w:t xml:space="preserve">Research &amp; Verification Mindset (specific)</w:t>
            </w:r>
          </w:p>
        </w:tc>
        <w:tc>
          <w:tcPr>
            <w:tcW w:type="dxa" w:w="2600"/>
            <w:tcMar>
              <w:top w:type="dxa" w:w="80"/>
              <w:left w:type="dxa" w:w="100"/>
              <w:bottom w:type="dxa" w:w="80"/>
              <w:right w:type="dxa" w:w="100"/>
            </w:tcMar>
          </w:tcPr>
          <w:p>
            <w:r>
              <w:rPr>
                <w:b w:val="false"/>
                <w:bCs w:val="false"/>
                <w:color w:val="000000"/>
                <w:sz w:val="18"/>
                <w:szCs w:val="18"/>
              </w:rPr>
              <w:t xml:space="preserve">14%</w:t>
            </w:r>
          </w:p>
        </w:tc>
        <w:tc>
          <w:tcPr>
            <w:tcW w:type="dxa" w:w="2700"/>
            <w:tcMar>
              <w:top w:type="dxa" w:w="80"/>
              <w:left w:type="dxa" w:w="100"/>
              <w:bottom w:type="dxa" w:w="80"/>
              <w:right w:type="dxa" w:w="100"/>
            </w:tcMar>
          </w:tcPr>
          <w:p>
            <w:r>
              <w:rPr>
                <w:b w:val="false"/>
                <w:bCs w:val="false"/>
                <w:color w:val="000000"/>
                <w:sz w:val="18"/>
                <w:szCs w:val="18"/>
              </w:rPr>
              <w:t xml:space="preserve">4</w:t>
            </w:r>
          </w:p>
        </w:tc>
      </w:tr>
    </w:tbl>
    <w:p>
      <w:pPr>
        <w:spacing w:after="160"/>
      </w:pPr>
      <w:r>
        <w:rPr>
          <w:sz w:val="21"/>
          <w:szCs w:val="21"/>
        </w:rPr>
        <w:t xml:space="preserve">Total closed-format items: 26 after rounding (matches Section 6.1). Two of these 26 slots — one from Communication, one from Persuasive Storytelling — are converted to open-text format to capture writing/argument quality directly, giving the final 26 closed / 2 open-text split shown in the table.</w:t>
      </w:r>
    </w:p>
    <w:p>
      <w:pPr>
        <w:spacing w:after="160"/>
      </w:pPr>
      <w:r>
        <w:rPr>
          <w:sz w:val="21"/>
          <w:szCs w:val="21"/>
        </w:rPr>
        <w:t xml:space="preserve">Time check: (24 Likert/SJT-mixed items × ~40s blended avg) + (2 open-text × 100s) + 2 min instructions + 1 min review ≈ 16 min + 3.3 min + 3 min ≈ 22 minutes raw, rounded up to the published candidate-facing estimate of 25–30 minutes to allow for slower readers.</w:t>
      </w:r>
    </w:p>
    <w:p>
      <w:pPr>
        <w:pStyle w:val="Heading1"/>
        <w:spacing w:after="160" w:before="360"/>
      </w:pPr>
      <w:r>
        <w:rPr>
          <w:b/>
          <w:bCs/>
          <w:color w:val="1F3864"/>
          <w:sz w:val="28"/>
          <w:szCs w:val="28"/>
        </w:rPr>
        <w:t xml:space="preserve">8. Open-Text Scoring Rubric Template</w:t>
      </w:r>
    </w:p>
    <w:p>
      <w:pPr>
        <w:spacing w:after="160"/>
      </w:pPr>
      <w:r>
        <w:rPr>
          <w:sz w:val="21"/>
          <w:szCs w:val="21"/>
        </w:rPr>
        <w:t xml:space="preserve">Every open-text item must ship with a rubric in this shape before it enters the question bank — this is what gets passed to the score-open-text Edge Function (see TRD Section 5.2):</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00"/>
      </w:tblGrid>
      <w:tr>
        <w:tc>
          <w:tcPr>
            <w:tcW w:type="dxa" w:w="2200"/>
            <w:shd w:fill="1F3864" w:val="clear"/>
            <w:tcMar>
              <w:top w:type="dxa" w:w="80"/>
              <w:left w:type="dxa" w:w="100"/>
              <w:bottom w:type="dxa" w:w="80"/>
              <w:right w:type="dxa" w:w="100"/>
            </w:tcMar>
          </w:tcPr>
          <w:p>
            <w:r>
              <w:rPr>
                <w:b/>
                <w:bCs/>
                <w:color w:val="FFFFFF"/>
                <w:sz w:val="18"/>
                <w:szCs w:val="18"/>
              </w:rPr>
              <w:t xml:space="preserve">Score Band</w:t>
            </w:r>
          </w:p>
        </w:tc>
        <w:tc>
          <w:tcPr>
            <w:tcW w:type="dxa" w:w="3200"/>
            <w:shd w:fill="1F3864" w:val="clear"/>
            <w:tcMar>
              <w:top w:type="dxa" w:w="80"/>
              <w:left w:type="dxa" w:w="100"/>
              <w:bottom w:type="dxa" w:w="80"/>
              <w:right w:type="dxa" w:w="100"/>
            </w:tcMar>
          </w:tcPr>
          <w:p>
            <w:r>
              <w:rPr>
                <w:b/>
                <w:bCs/>
                <w:color w:val="FFFFFF"/>
                <w:sz w:val="18"/>
                <w:szCs w:val="18"/>
              </w:rPr>
              <w:t xml:space="preserve">Criteria</w:t>
            </w:r>
          </w:p>
        </w:tc>
        <w:tc>
          <w:tcPr>
            <w:tcW w:type="dxa" w:w="3500"/>
            <w:shd w:fill="1F3864" w:val="clear"/>
            <w:tcMar>
              <w:top w:type="dxa" w:w="80"/>
              <w:left w:type="dxa" w:w="100"/>
              <w:bottom w:type="dxa" w:w="80"/>
              <w:right w:type="dxa" w:w="100"/>
            </w:tcMar>
          </w:tcPr>
          <w:p>
            <w:r>
              <w:rPr>
                <w:b/>
                <w:bCs/>
                <w:color w:val="FFFFFF"/>
                <w:sz w:val="18"/>
                <w:szCs w:val="18"/>
              </w:rPr>
              <w:t xml:space="preserve">Example Anchor (generic)</w:t>
            </w:r>
          </w:p>
        </w:tc>
      </w:tr>
      <w:tr>
        <w:tc>
          <w:tcPr>
            <w:tcW w:type="dxa" w:w="2200"/>
            <w:tcMar>
              <w:top w:type="dxa" w:w="80"/>
              <w:left w:type="dxa" w:w="100"/>
              <w:bottom w:type="dxa" w:w="80"/>
              <w:right w:type="dxa" w:w="100"/>
            </w:tcMar>
          </w:tcPr>
          <w:p>
            <w:r>
              <w:rPr>
                <w:b w:val="false"/>
                <w:bCs w:val="false"/>
                <w:color w:val="000000"/>
                <w:sz w:val="18"/>
                <w:szCs w:val="18"/>
              </w:rPr>
              <w:t xml:space="preserve">80–100</w:t>
            </w:r>
          </w:p>
        </w:tc>
        <w:tc>
          <w:tcPr>
            <w:tcW w:type="dxa" w:w="3200"/>
            <w:tcMar>
              <w:top w:type="dxa" w:w="80"/>
              <w:left w:type="dxa" w:w="100"/>
              <w:bottom w:type="dxa" w:w="80"/>
              <w:right w:type="dxa" w:w="100"/>
            </w:tcMar>
          </w:tcPr>
          <w:p>
            <w:r>
              <w:rPr>
                <w:b w:val="false"/>
                <w:bCs w:val="false"/>
                <w:color w:val="000000"/>
                <w:sz w:val="18"/>
                <w:szCs w:val="18"/>
              </w:rPr>
              <w:t xml:space="preserve">Response directly addresses the scenario, shows clear reasoning, and demonstrates the target skill explicitly</w:t>
            </w:r>
          </w:p>
        </w:tc>
        <w:tc>
          <w:tcPr>
            <w:tcW w:type="dxa" w:w="3500"/>
            <w:tcMar>
              <w:top w:type="dxa" w:w="80"/>
              <w:left w:type="dxa" w:w="100"/>
              <w:bottom w:type="dxa" w:w="80"/>
              <w:right w:type="dxa" w:w="100"/>
            </w:tcMar>
          </w:tcPr>
          <w:p>
            <w:r>
              <w:rPr>
                <w:b w:val="false"/>
                <w:bCs w:val="false"/>
                <w:color w:val="000000"/>
                <w:sz w:val="18"/>
                <w:szCs w:val="18"/>
              </w:rPr>
              <w:t xml:space="preserve">Names a specific action and explains why it addresses the core tension in the scenario</w:t>
            </w:r>
          </w:p>
        </w:tc>
      </w:tr>
      <w:tr>
        <w:tc>
          <w:tcPr>
            <w:tcW w:type="dxa" w:w="2200"/>
            <w:tcMar>
              <w:top w:type="dxa" w:w="80"/>
              <w:left w:type="dxa" w:w="100"/>
              <w:bottom w:type="dxa" w:w="80"/>
              <w:right w:type="dxa" w:w="100"/>
            </w:tcMar>
          </w:tcPr>
          <w:p>
            <w:r>
              <w:rPr>
                <w:b w:val="false"/>
                <w:bCs w:val="false"/>
                <w:color w:val="000000"/>
                <w:sz w:val="18"/>
                <w:szCs w:val="18"/>
              </w:rPr>
              <w:t xml:space="preserve">50–79</w:t>
            </w:r>
          </w:p>
        </w:tc>
        <w:tc>
          <w:tcPr>
            <w:tcW w:type="dxa" w:w="3200"/>
            <w:tcMar>
              <w:top w:type="dxa" w:w="80"/>
              <w:left w:type="dxa" w:w="100"/>
              <w:bottom w:type="dxa" w:w="80"/>
              <w:right w:type="dxa" w:w="100"/>
            </w:tcMar>
          </w:tcPr>
          <w:p>
            <w:r>
              <w:rPr>
                <w:b w:val="false"/>
                <w:bCs w:val="false"/>
                <w:color w:val="000000"/>
                <w:sz w:val="18"/>
                <w:szCs w:val="18"/>
              </w:rPr>
              <w:t xml:space="preserve">Response is relevant and shows some reasoning but is generic or incomplete</w:t>
            </w:r>
          </w:p>
        </w:tc>
        <w:tc>
          <w:tcPr>
            <w:tcW w:type="dxa" w:w="3500"/>
            <w:tcMar>
              <w:top w:type="dxa" w:w="80"/>
              <w:left w:type="dxa" w:w="100"/>
              <w:bottom w:type="dxa" w:w="80"/>
              <w:right w:type="dxa" w:w="100"/>
            </w:tcMar>
          </w:tcPr>
          <w:p>
            <w:r>
              <w:rPr>
                <w:b w:val="false"/>
                <w:bCs w:val="false"/>
                <w:color w:val="000000"/>
                <w:sz w:val="18"/>
                <w:szCs w:val="18"/>
              </w:rPr>
              <w:t xml:space="preserve">Gives a reasonable answer but doesn't engage with the specific complication in the scenario</w:t>
            </w:r>
          </w:p>
        </w:tc>
      </w:tr>
      <w:tr>
        <w:tc>
          <w:tcPr>
            <w:tcW w:type="dxa" w:w="2200"/>
            <w:tcMar>
              <w:top w:type="dxa" w:w="80"/>
              <w:left w:type="dxa" w:w="100"/>
              <w:bottom w:type="dxa" w:w="80"/>
              <w:right w:type="dxa" w:w="100"/>
            </w:tcMar>
          </w:tcPr>
          <w:p>
            <w:r>
              <w:rPr>
                <w:b w:val="false"/>
                <w:bCs w:val="false"/>
                <w:color w:val="000000"/>
                <w:sz w:val="18"/>
                <w:szCs w:val="18"/>
              </w:rPr>
              <w:t xml:space="preserve">0–49</w:t>
            </w:r>
          </w:p>
        </w:tc>
        <w:tc>
          <w:tcPr>
            <w:tcW w:type="dxa" w:w="3200"/>
            <w:tcMar>
              <w:top w:type="dxa" w:w="80"/>
              <w:left w:type="dxa" w:w="100"/>
              <w:bottom w:type="dxa" w:w="80"/>
              <w:right w:type="dxa" w:w="100"/>
            </w:tcMar>
          </w:tcPr>
          <w:p>
            <w:r>
              <w:rPr>
                <w:b w:val="false"/>
                <w:bCs w:val="false"/>
                <w:color w:val="000000"/>
                <w:sz w:val="18"/>
                <w:szCs w:val="18"/>
              </w:rPr>
              <w:t xml:space="preserve">Response is off-topic, too brief to evaluate, or does not engage with the scenario</w:t>
            </w:r>
          </w:p>
        </w:tc>
        <w:tc>
          <w:tcPr>
            <w:tcW w:type="dxa" w:w="3500"/>
            <w:tcMar>
              <w:top w:type="dxa" w:w="80"/>
              <w:left w:type="dxa" w:w="100"/>
              <w:bottom w:type="dxa" w:w="80"/>
              <w:right w:type="dxa" w:w="100"/>
            </w:tcMar>
          </w:tcPr>
          <w:p>
            <w:r>
              <w:rPr>
                <w:b w:val="false"/>
                <w:bCs w:val="false"/>
                <w:color w:val="000000"/>
                <w:sz w:val="18"/>
                <w:szCs w:val="18"/>
              </w:rPr>
              <w:t xml:space="preserve">One-word or unrelated answer</w:t>
            </w:r>
          </w:p>
        </w:tc>
      </w:tr>
    </w:tbl>
    <w:p>
      <w:pPr>
        <w:pStyle w:val="ListParagraph"/>
        <w:numPr>
          <w:ilvl w:val="0"/>
          <w:numId w:val="2"/>
        </w:numPr>
        <w:spacing w:after="80"/>
      </w:pPr>
      <w:r>
        <w:rPr>
          <w:sz w:val="21"/>
          <w:szCs w:val="21"/>
        </w:rPr>
        <w:t xml:space="preserve">Each open-text item in the question bank must specify: the skill domain it targets, 2–3 score-band criteria in the shape above, and one worked example response per band for calibration.</w:t>
      </w:r>
    </w:p>
    <w:p>
      <w:pPr>
        <w:pStyle w:val="ListParagraph"/>
        <w:numPr>
          <w:ilvl w:val="0"/>
          <w:numId w:val="2"/>
        </w:numPr>
        <w:spacing w:after="80"/>
      </w:pPr>
      <w:r>
        <w:rPr>
          <w:sz w:val="21"/>
          <w:szCs w:val="21"/>
        </w:rPr>
        <w:t xml:space="preserve">SME reviews and signs off on the rubric before the item goes live — this is a hard gate, not optional.</w:t>
      </w:r>
    </w:p>
    <w:p>
      <w:pPr>
        <w:pStyle w:val="Heading1"/>
        <w:spacing w:after="160" w:before="360"/>
      </w:pPr>
      <w:r>
        <w:rPr>
          <w:b/>
          <w:bCs/>
          <w:color w:val="1F3864"/>
          <w:sz w:val="28"/>
          <w:szCs w:val="28"/>
        </w:rPr>
        <w:t xml:space="preserve">9. Report Tone &amp; Style Guide</w:t>
      </w:r>
    </w:p>
    <w:p>
      <w:pPr>
        <w:spacing w:after="160"/>
      </w:pPr>
      <w:r>
        <w:rPr>
          <w:sz w:val="21"/>
          <w:szCs w:val="21"/>
        </w:rPr>
        <w:t xml:space="preserve">The "always encouraging, never demotivating" requirement needs concrete examples, not just an instruction, so writers and prompt engineers apply it consistently.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600"/>
      </w:tblGrid>
      <w:tr>
        <w:tc>
          <w:tcPr>
            <w:tcW w:type="dxa" w:w="1600"/>
            <w:shd w:fill="1F3864" w:val="clear"/>
            <w:tcMar>
              <w:top w:type="dxa" w:w="80"/>
              <w:left w:type="dxa" w:w="100"/>
              <w:bottom w:type="dxa" w:w="80"/>
              <w:right w:type="dxa" w:w="100"/>
            </w:tcMar>
          </w:tcPr>
          <w:p>
            <w:r>
              <w:rPr>
                <w:b/>
                <w:bCs/>
                <w:color w:val="FFFFFF"/>
                <w:sz w:val="18"/>
                <w:szCs w:val="18"/>
              </w:rPr>
              <w:t xml:space="preserve"/>
            </w:r>
          </w:p>
        </w:tc>
        <w:tc>
          <w:tcPr>
            <w:tcW w:type="dxa" w:w="3700"/>
            <w:shd w:fill="1F3864" w:val="clear"/>
            <w:tcMar>
              <w:top w:type="dxa" w:w="80"/>
              <w:left w:type="dxa" w:w="100"/>
              <w:bottom w:type="dxa" w:w="80"/>
              <w:right w:type="dxa" w:w="100"/>
            </w:tcMar>
          </w:tcPr>
          <w:p>
            <w:r>
              <w:rPr>
                <w:b/>
                <w:bCs/>
                <w:color w:val="FFFFFF"/>
                <w:sz w:val="18"/>
                <w:szCs w:val="18"/>
              </w:rPr>
              <w:t xml:space="preserve">Avoid (Demotivating)</w:t>
            </w:r>
          </w:p>
        </w:tc>
        <w:tc>
          <w:tcPr>
            <w:tcW w:type="dxa" w:w="3600"/>
            <w:shd w:fill="1F3864" w:val="clear"/>
            <w:tcMar>
              <w:top w:type="dxa" w:w="80"/>
              <w:left w:type="dxa" w:w="100"/>
              <w:bottom w:type="dxa" w:w="80"/>
              <w:right w:type="dxa" w:w="100"/>
            </w:tcMar>
          </w:tcPr>
          <w:p>
            <w:r>
              <w:rPr>
                <w:b/>
                <w:bCs/>
                <w:color w:val="FFFFFF"/>
                <w:sz w:val="18"/>
                <w:szCs w:val="18"/>
              </w:rPr>
              <w:t xml:space="preserve">Use Instead (Encouraging, Still Honest)</w:t>
            </w:r>
          </w:p>
        </w:tc>
      </w:tr>
      <w:tr>
        <w:tc>
          <w:tcPr>
            <w:tcW w:type="dxa" w:w="1600"/>
            <w:tcMar>
              <w:top w:type="dxa" w:w="80"/>
              <w:left w:type="dxa" w:w="100"/>
              <w:bottom w:type="dxa" w:w="80"/>
              <w:right w:type="dxa" w:w="100"/>
            </w:tcMar>
          </w:tcPr>
          <w:p>
            <w:r>
              <w:rPr>
                <w:b w:val="false"/>
                <w:bCs w:val="false"/>
                <w:color w:val="000000"/>
                <w:sz w:val="18"/>
                <w:szCs w:val="18"/>
              </w:rPr>
              <w:t xml:space="preserve">Framing a low score</w:t>
            </w:r>
          </w:p>
        </w:tc>
        <w:tc>
          <w:tcPr>
            <w:tcW w:type="dxa" w:w="3700"/>
            <w:tcMar>
              <w:top w:type="dxa" w:w="80"/>
              <w:left w:type="dxa" w:w="100"/>
              <w:bottom w:type="dxa" w:w="80"/>
              <w:right w:type="dxa" w:w="100"/>
            </w:tcMar>
          </w:tcPr>
          <w:p>
            <w:r>
              <w:rPr>
                <w:b w:val="false"/>
                <w:bCs w:val="false"/>
                <w:color w:val="000000"/>
                <w:sz w:val="18"/>
                <w:szCs w:val="18"/>
              </w:rPr>
              <w:t xml:space="preserve">"Your time management skills are weak."</w:t>
            </w:r>
          </w:p>
        </w:tc>
        <w:tc>
          <w:tcPr>
            <w:tcW w:type="dxa" w:w="3600"/>
            <w:tcMar>
              <w:top w:type="dxa" w:w="80"/>
              <w:left w:type="dxa" w:w="100"/>
              <w:bottom w:type="dxa" w:w="80"/>
              <w:right w:type="dxa" w:w="100"/>
            </w:tcMar>
          </w:tcPr>
          <w:p>
            <w:r>
              <w:rPr>
                <w:b w:val="false"/>
                <w:bCs w:val="false"/>
                <w:color w:val="000000"/>
                <w:sz w:val="18"/>
                <w:szCs w:val="18"/>
              </w:rPr>
              <w:t xml:space="preserve">"Time management is an area with strong room to grow — try starting with a simple daily priority list."</w:t>
            </w:r>
          </w:p>
        </w:tc>
      </w:tr>
      <w:tr>
        <w:tc>
          <w:tcPr>
            <w:tcW w:type="dxa" w:w="1600"/>
            <w:tcMar>
              <w:top w:type="dxa" w:w="80"/>
              <w:left w:type="dxa" w:w="100"/>
              <w:bottom w:type="dxa" w:w="80"/>
              <w:right w:type="dxa" w:w="100"/>
            </w:tcMar>
          </w:tcPr>
          <w:p>
            <w:r>
              <w:rPr>
                <w:b w:val="false"/>
                <w:bCs w:val="false"/>
                <w:color w:val="000000"/>
                <w:sz w:val="18"/>
                <w:szCs w:val="18"/>
              </w:rPr>
              <w:t xml:space="preserve">Framing a gap</w:t>
            </w:r>
          </w:p>
        </w:tc>
        <w:tc>
          <w:tcPr>
            <w:tcW w:type="dxa" w:w="3700"/>
            <w:tcMar>
              <w:top w:type="dxa" w:w="80"/>
              <w:left w:type="dxa" w:w="100"/>
              <w:bottom w:type="dxa" w:w="80"/>
              <w:right w:type="dxa" w:w="100"/>
            </w:tcMar>
          </w:tcPr>
          <w:p>
            <w:r>
              <w:rPr>
                <w:b w:val="false"/>
                <w:bCs w:val="false"/>
                <w:color w:val="000000"/>
                <w:sz w:val="18"/>
                <w:szCs w:val="18"/>
              </w:rPr>
              <w:t xml:space="preserve">"You failed to consider the team's perspective."</w:t>
            </w:r>
          </w:p>
        </w:tc>
        <w:tc>
          <w:tcPr>
            <w:tcW w:type="dxa" w:w="3600"/>
            <w:tcMar>
              <w:top w:type="dxa" w:w="80"/>
              <w:left w:type="dxa" w:w="100"/>
              <w:bottom w:type="dxa" w:w="80"/>
              <w:right w:type="dxa" w:w="100"/>
            </w:tcMar>
          </w:tcPr>
          <w:p>
            <w:r>
              <w:rPr>
                <w:b w:val="false"/>
                <w:bCs w:val="false"/>
                <w:color w:val="000000"/>
                <w:sz w:val="18"/>
                <w:szCs w:val="18"/>
              </w:rPr>
              <w:t xml:space="preserve">"Bringing in the team's perspective earlier is a great next step to build on your collaboration skills."</w:t>
            </w:r>
          </w:p>
        </w:tc>
      </w:tr>
      <w:tr>
        <w:tc>
          <w:tcPr>
            <w:tcW w:type="dxa" w:w="1600"/>
            <w:tcMar>
              <w:top w:type="dxa" w:w="80"/>
              <w:left w:type="dxa" w:w="100"/>
              <w:bottom w:type="dxa" w:w="80"/>
              <w:right w:type="dxa" w:w="100"/>
            </w:tcMar>
          </w:tcPr>
          <w:p>
            <w:r>
              <w:rPr>
                <w:b w:val="false"/>
                <w:bCs w:val="false"/>
                <w:color w:val="000000"/>
                <w:sz w:val="18"/>
                <w:szCs w:val="18"/>
              </w:rPr>
              <w:t xml:space="preserve">Comparative language</w:t>
            </w:r>
          </w:p>
        </w:tc>
        <w:tc>
          <w:tcPr>
            <w:tcW w:type="dxa" w:w="3700"/>
            <w:tcMar>
              <w:top w:type="dxa" w:w="80"/>
              <w:left w:type="dxa" w:w="100"/>
              <w:bottom w:type="dxa" w:w="80"/>
              <w:right w:type="dxa" w:w="100"/>
            </w:tcMar>
          </w:tcPr>
          <w:p>
            <w:r>
              <w:rPr>
                <w:b w:val="false"/>
                <w:bCs w:val="false"/>
                <w:color w:val="000000"/>
                <w:sz w:val="18"/>
                <w:szCs w:val="18"/>
              </w:rPr>
              <w:t xml:space="preserve">"You scored below average for your discipline."</w:t>
            </w:r>
          </w:p>
        </w:tc>
        <w:tc>
          <w:tcPr>
            <w:tcW w:type="dxa" w:w="3600"/>
            <w:tcMar>
              <w:top w:type="dxa" w:w="80"/>
              <w:left w:type="dxa" w:w="100"/>
              <w:bottom w:type="dxa" w:w="80"/>
              <w:right w:type="dxa" w:w="100"/>
            </w:tcMar>
          </w:tcPr>
          <w:p>
            <w:r>
              <w:rPr>
                <w:b w:val="false"/>
                <w:bCs w:val="false"/>
                <w:color w:val="000000"/>
                <w:sz w:val="18"/>
                <w:szCs w:val="18"/>
              </w:rPr>
              <w:t xml:space="preserve">(Omit comparisons entirely — report only the candidate's own domain scores and trajectory.)</w:t>
            </w:r>
          </w:p>
        </w:tc>
      </w:tr>
      <w:tr>
        <w:tc>
          <w:tcPr>
            <w:tcW w:type="dxa" w:w="1600"/>
            <w:tcMar>
              <w:top w:type="dxa" w:w="80"/>
              <w:left w:type="dxa" w:w="100"/>
              <w:bottom w:type="dxa" w:w="80"/>
              <w:right w:type="dxa" w:w="100"/>
            </w:tcMar>
          </w:tcPr>
          <w:p>
            <w:r>
              <w:rPr>
                <w:b w:val="false"/>
                <w:bCs w:val="false"/>
                <w:color w:val="000000"/>
                <w:sz w:val="18"/>
                <w:szCs w:val="18"/>
              </w:rPr>
              <w:t xml:space="preserve">Closing line</w:t>
            </w:r>
          </w:p>
        </w:tc>
        <w:tc>
          <w:tcPr>
            <w:tcW w:type="dxa" w:w="3700"/>
            <w:tcMar>
              <w:top w:type="dxa" w:w="80"/>
              <w:left w:type="dxa" w:w="100"/>
              <w:bottom w:type="dxa" w:w="80"/>
              <w:right w:type="dxa" w:w="100"/>
            </w:tcMar>
          </w:tcPr>
          <w:p>
            <w:r>
              <w:rPr>
                <w:b w:val="false"/>
                <w:bCs w:val="false"/>
                <w:color w:val="000000"/>
                <w:sz w:val="18"/>
                <w:szCs w:val="18"/>
              </w:rPr>
              <w:t xml:space="preserve">(No closing framing, report just ends after growth areas.)</w:t>
            </w:r>
          </w:p>
        </w:tc>
        <w:tc>
          <w:tcPr>
            <w:tcW w:type="dxa" w:w="3600"/>
            <w:tcMar>
              <w:top w:type="dxa" w:w="80"/>
              <w:left w:type="dxa" w:w="100"/>
              <w:bottom w:type="dxa" w:w="80"/>
              <w:right w:type="dxa" w:w="100"/>
            </w:tcMar>
          </w:tcPr>
          <w:p>
            <w:r>
              <w:rPr>
                <w:b w:val="false"/>
                <w:bCs w:val="false"/>
                <w:color w:val="000000"/>
                <w:sz w:val="18"/>
                <w:szCs w:val="18"/>
              </w:rPr>
              <w:t xml:space="preserve">"You're bringing real strengths to the table — and every growth area here is simply your next opportunity to build on them."</w:t>
            </w:r>
          </w:p>
        </w:tc>
      </w:tr>
    </w:tbl>
    <w:p>
      <w:pPr>
        <w:pStyle w:val="ListParagraph"/>
        <w:numPr>
          <w:ilvl w:val="0"/>
          <w:numId w:val="2"/>
        </w:numPr>
        <w:spacing w:after="80"/>
      </w:pPr>
      <w:r>
        <w:rPr>
          <w:sz w:val="21"/>
          <w:szCs w:val="21"/>
        </w:rPr>
        <w:t xml:space="preserve">Every report's growth-area section must pair each observation with one concrete, actionable suggestion.</w:t>
      </w:r>
    </w:p>
    <w:p>
      <w:pPr>
        <w:pStyle w:val="ListParagraph"/>
        <w:numPr>
          <w:ilvl w:val="0"/>
          <w:numId w:val="2"/>
        </w:numPr>
        <w:spacing w:after="80"/>
      </w:pPr>
      <w:r>
        <w:rPr>
          <w:sz w:val="21"/>
          <w:szCs w:val="21"/>
        </w:rPr>
        <w:t xml:space="preserve">Banned-word list enforced by prompt + automated post-check: weak, poor, fail(ed), below average, deficient, lacking, inadequate.</w:t>
      </w:r>
    </w:p>
    <w:p>
      <w:pPr>
        <w:pStyle w:val="ListParagraph"/>
        <w:numPr>
          <w:ilvl w:val="0"/>
          <w:numId w:val="2"/>
        </w:numPr>
        <w:spacing w:after="80"/>
      </w:pPr>
      <w:r>
        <w:rPr>
          <w:sz w:val="21"/>
          <w:szCs w:val="21"/>
        </w:rPr>
        <w:t xml:space="preserve">Every report must end on a forward-looking, encouraging sentence — this is checked in the prompt regression test suite (TRD Section 13).</w:t>
      </w:r>
    </w:p>
    <w:p>
      <w:pPr>
        <w:pStyle w:val="Heading1"/>
        <w:spacing w:after="160" w:before="360"/>
      </w:pPr>
      <w:r>
        <w:rPr>
          <w:b/>
          <w:bCs/>
          <w:color w:val="1F3864"/>
          <w:sz w:val="28"/>
          <w:szCs w:val="28"/>
        </w:rPr>
        <w:t xml:space="preserve">10. SME Review Checklist for New Disciplines</w:t>
      </w:r>
    </w:p>
    <w:p>
      <w:pPr>
        <w:pStyle w:val="ListParagraph"/>
        <w:numPr>
          <w:ilvl w:val="0"/>
          <w:numId w:val="2"/>
        </w:numPr>
        <w:spacing w:after="80"/>
      </w:pPr>
      <w:r>
        <w:rPr>
          <w:sz w:val="21"/>
          <w:szCs w:val="21"/>
        </w:rPr>
        <w:t xml:space="preserve">Discipline-specific domains selected and weighted (Section 5, Step 1) — reviewed by SME, not auto-approved from the Gemini proposal alone.</w:t>
      </w:r>
    </w:p>
    <w:p>
      <w:pPr>
        <w:pStyle w:val="ListParagraph"/>
        <w:numPr>
          <w:ilvl w:val="0"/>
          <w:numId w:val="2"/>
        </w:numPr>
        <w:spacing w:after="80"/>
      </w:pPr>
      <w:r>
        <w:rPr>
          <w:sz w:val="21"/>
          <w:szCs w:val="21"/>
        </w:rPr>
        <w:t xml:space="preserve">Question count and time budget computed using Section 5 methodology and matches the appropriate band (28/25–30min or 30/30–35min).</w:t>
      </w:r>
    </w:p>
    <w:p>
      <w:pPr>
        <w:pStyle w:val="ListParagraph"/>
        <w:numPr>
          <w:ilvl w:val="0"/>
          <w:numId w:val="2"/>
        </w:numPr>
        <w:spacing w:after="80"/>
      </w:pPr>
      <w:r>
        <w:rPr>
          <w:sz w:val="21"/>
          <w:szCs w:val="21"/>
        </w:rPr>
        <w:t xml:space="preserve">Every open-text item has a complete rubric per Section 8 template.</w:t>
      </w:r>
    </w:p>
    <w:p>
      <w:pPr>
        <w:pStyle w:val="ListParagraph"/>
        <w:numPr>
          <w:ilvl w:val="0"/>
          <w:numId w:val="2"/>
        </w:numPr>
        <w:spacing w:after="80"/>
      </w:pPr>
      <w:r>
        <w:rPr>
          <w:sz w:val="21"/>
          <w:szCs w:val="21"/>
        </w:rPr>
        <w:t xml:space="preserve">A sample of 3–5 generated reports for the new discipline reviewed against the Section 9 tone guide before the discipline is set to "active".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Content &amp; Psychometric Validation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2026-07-26T11:49:32.627Z</dcterms:created>
  <dcterms:modified xsi:type="dcterms:W3CDTF">2026-07-26T11:49:32.641Z</dcterms:modified>
</cp:coreProperties>
</file>

<file path=docProps/custom.xml><?xml version="1.0" encoding="utf-8"?>
<Properties xmlns="http://schemas.openxmlformats.org/officeDocument/2006/custom-properties" xmlns:vt="http://schemas.openxmlformats.org/officeDocument/2006/docPropsVTypes"/>
</file>