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executive with two decades of experience architecting large-scale digital transformation and infrastructure modernization programs. Expert in aligning complex technical ecosystems with business objectives to accelerate innovation and operational efficiency across global markets. Proven track record of scaling engineering organizations and leveraging AI-driven automation to enhance performance and service reliability. Highly adept at navigating enterprise-scale stakeholder environments to solve complex strategic challenges. Positioned to drive technology strategy, cloud-native transformation, and human-centric innovation as a Director for Technology Strategy &amp; Transformation at EY.</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Technology Strategy, Digital Transformation, Platform Engineering, AI-Driven Automation, Cloud Architecture, Product Management, DevOps &amp; SRE, Enterprise Governance, Stakeholder Management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Advise enterprise BFSI and healthcare clients on strategic IT roadmaps aligned with regulatory frameworks and NIST/ITIL standards.</w:t>
      </w:r>
    </w:p>
    <w:p>
      <w:pPr>
        <w:pStyle w:val="ListParagraph"/>
        <w:numPr>
          <w:ilvl w:val="0"/>
          <w:numId w:val="1"/>
        </w:numPr>
        <w:spacing w:after="60"/>
      </w:pPr>
      <w:r>
        <w:t xml:space="preserve">Develop AI-integrated automation frameworks to optimize service reliability and mitigate systemic technical debt.</w:t>
      </w:r>
    </w:p>
    <w:p>
      <w:pPr>
        <w:pStyle w:val="ListParagraph"/>
        <w:numPr>
          <w:ilvl w:val="0"/>
          <w:numId w:val="1"/>
        </w:numPr>
        <w:spacing w:after="60"/>
      </w:pPr>
      <w:r>
        <w:t xml:space="preserve">Architect hybrid-cloud financial models and cost-optimization accelerators for enterprise-scale engagements.</w:t>
      </w:r>
    </w:p>
    <w:p>
      <w:pPr>
        <w:pStyle w:val="ListParagraph"/>
        <w:numPr>
          <w:ilvl w:val="0"/>
          <w:numId w:val="1"/>
        </w:numPr>
        <w:spacing w:after="60"/>
      </w:pPr>
      <w:r>
        <w:t xml:space="preserve">Coordinate cross-regional leadership to execute large-scale platform modernization strategies.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Directed global technology delivery for mission-critical infrastructure, focusing on capacity management and system availability.</w:t>
      </w:r>
    </w:p>
    <w:p>
      <w:pPr>
        <w:pStyle w:val="ListParagraph"/>
        <w:numPr>
          <w:ilvl w:val="0"/>
          <w:numId w:val="1"/>
        </w:numPr>
        <w:spacing w:after="60"/>
      </w:pPr>
      <w:r>
        <w:t xml:space="preserve">Executed a major vendor displacement program, insourcing core infrastructure capabilities to improve organizational agility.</w:t>
      </w:r>
    </w:p>
    <w:p>
      <w:pPr>
        <w:pStyle w:val="ListParagraph"/>
        <w:numPr>
          <w:ilvl w:val="0"/>
          <w:numId w:val="1"/>
        </w:numPr>
        <w:spacing w:after="60"/>
      </w:pPr>
      <w:r>
        <w:t xml:space="preserve">Orchestrated full-scale AWS migrations and the deployment of Agentic AI for autonomous AIOps monitoring.</w:t>
      </w:r>
    </w:p>
    <w:p>
      <w:pPr>
        <w:pStyle w:val="ListParagraph"/>
        <w:numPr>
          <w:ilvl w:val="0"/>
          <w:numId w:val="1"/>
        </w:numPr>
        <w:spacing w:after="60"/>
      </w:pPr>
      <w:r>
        <w:t xml:space="preserve">Managed end-to-end performance and governance for massive physical and virtual IT asset inventories.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substantial annual OPEX budgets, delivering high-margin savings through vendor renegotiation and automated license management.</w:t>
      </w:r>
    </w:p>
    <w:p>
      <w:pPr>
        <w:pStyle w:val="ListParagraph"/>
        <w:numPr>
          <w:ilvl w:val="0"/>
          <w:numId w:val="1"/>
        </w:numPr>
        <w:spacing w:after="60"/>
      </w:pPr>
      <w:r>
        <w:t xml:space="preserve">Scaled a global Capacity Management Center of Excellence from 10 to 250 practitioners across five countries.</w:t>
      </w:r>
    </w:p>
    <w:p>
      <w:pPr>
        <w:pStyle w:val="ListParagraph"/>
        <w:numPr>
          <w:ilvl w:val="0"/>
          <w:numId w:val="1"/>
        </w:numPr>
        <w:spacing w:after="60"/>
      </w:pPr>
      <w:r>
        <w:t xml:space="preserve">Implemented AI-driven diagnostic tools to modernize contact center operations and decrease mean-time-to-resolution.</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advanced ITSM consulting and automation strategies for global telecom and BFSI clients.</w:t>
      </w:r>
    </w:p>
    <w:p>
      <w:pPr>
        <w:pStyle w:val="ListParagraph"/>
        <w:numPr>
          <w:ilvl w:val="0"/>
          <w:numId w:val="1"/>
        </w:numPr>
        <w:spacing w:after="60"/>
      </w:pPr>
      <w:r>
        <w:t xml:space="preserve">Instituted governance standards for Problem and Change Management, including chairing Change Advisory Boards.</w:t>
      </w:r>
    </w:p>
    <w:p>
      <w:pPr>
        <w:pStyle w:val="ListParagraph"/>
        <w:numPr>
          <w:ilvl w:val="0"/>
          <w:numId w:val="1"/>
        </w:numPr>
        <w:spacing w:after="60"/>
      </w:pPr>
      <w:r>
        <w:t xml:space="preserve">Conducted comprehensive ITIL assessments to enhance operational compliance and delivery velocity.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enterprise-grade monitoring and telemetry solutions for global telecommunications and healthcare platforms.</w:t>
      </w:r>
    </w:p>
    <w:p>
      <w:pPr>
        <w:pStyle w:val="ListParagraph"/>
        <w:numPr>
          <w:ilvl w:val="0"/>
          <w:numId w:val="1"/>
        </w:numPr>
        <w:spacing w:after="60"/>
      </w:pPr>
      <w:r>
        <w:t xml:space="preserve">Managed large-scale release deployments, ensuring zero-disruption transitions for critical production environments.</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Resolved high-impact escalations within mission-critical telecom systems.</w:t>
      </w:r>
    </w:p>
    <w:p>
      <w:pPr>
        <w:pStyle w:val="ListParagraph"/>
        <w:numPr>
          <w:ilvl w:val="0"/>
          <w:numId w:val="1"/>
        </w:numPr>
        <w:spacing w:after="60"/>
      </w:pPr>
      <w:r>
        <w:t xml:space="preserve">Developed technical training programs and standard operating procedures for engineering support teams.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Infrastructure: Azure, AWS, Hybrid-Cloud Orchestration, VMware Tanzu</w:t>
      </w:r>
    </w:p>
    <w:p>
      <w:r>
        <w:rPr>
          <w:sz w:val="22"/>
          <w:szCs w:val="22"/>
          <w:rFonts w:ascii="Calibri" w:cs="Calibri" w:eastAsia="Calibri" w:hAnsi="Calibri"/>
        </w:rPr>
        <w:t xml:space="preserve">Engineering &amp; DevOps: API-Driven Automation, CI/CD Pipelines, GitHub Actions, Infrastructure-as-Code</w:t>
      </w:r>
    </w:p>
    <w:p>
      <w:r>
        <w:rPr>
          <w:sz w:val="22"/>
          <w:szCs w:val="22"/>
          <w:rFonts w:ascii="Calibri" w:cs="Calibri" w:eastAsia="Calibri" w:hAnsi="Calibri"/>
        </w:rPr>
        <w:t xml:space="preserve">Observability &amp; SRE: Datadog, Prometheus, ScienceLogic, New Relic, SLO/SLI Management</w:t>
      </w:r>
    </w:p>
    <w:p>
      <w:r>
        <w:rPr>
          <w:sz w:val="22"/>
          <w:szCs w:val="22"/>
          <w:rFonts w:ascii="Calibri" w:cs="Calibri" w:eastAsia="Calibri" w:hAnsi="Calibri"/>
        </w:rPr>
        <w:t xml:space="preserve">ITSM &amp; Governance: ServiceNow, Jira Service Management, COBIT, ITIL v3</w:t>
      </w:r>
    </w:p>
    <w:p>
      <w:r>
        <w:rPr>
          <w:sz w:val="22"/>
          <w:szCs w:val="22"/>
          <w:rFonts w:ascii="Calibri" w:cs="Calibri" w:eastAsia="Calibri" w:hAnsi="Calibri"/>
        </w:rPr>
        <w:t xml:space="preserve">Data &amp; Analytics: Power BI, Predictive Modeling</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AWS Certified Cloud Practitioner, FinOps Certified Practitioner, Google Digital Leader, ITIL v3,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2026-05-30T13:46:55.728Z</dcterms:created>
  <dcterms:modified xsi:type="dcterms:W3CDTF">2026-05-30T13:46:55.728Z</dcterms:modified>
</cp:coreProperties>
</file>

<file path=docProps/custom.xml><?xml version="1.0" encoding="utf-8"?>
<Properties xmlns="http://schemas.openxmlformats.org/officeDocument/2006/custom-properties" xmlns:vt="http://schemas.openxmlformats.org/officeDocument/2006/docPropsVTypes"/>
</file>