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8"/>
          <w:szCs w:val="38"/>
          <w:rFonts w:ascii="Calibri" w:cs="Calibri" w:eastAsia="Calibri" w:hAnsi="Calibri"/>
        </w:rPr>
        <w:t xml:space="preserve">Keshav Karn</w:t>
      </w:r>
    </w:p>
    <w:p>
      <w:r>
        <w:rPr>
          <w:sz w:val="22"/>
          <w:szCs w:val="22"/>
          <w:rFonts w:ascii="Calibri" w:cs="Calibri" w:eastAsia="Calibri" w:hAnsi="Calibri"/>
        </w:rPr>
        <w:t xml:space="preserve">Hyderabad, India | 8520977573 | keshav.karn@gmail.com</w:t>
      </w:r>
    </w:p>
    <w:p>
      <w:pPr>
        <w:spacing w:after="40"/>
      </w:pPr>
      <w:r>
        <w:rPr>
          <w:sz w:val="22"/>
          <w:szCs w:val="22"/>
          <w:rFonts w:ascii="Calibri" w:cs="Calibri" w:eastAsia="Calibri" w:hAnsi="Calibri"/>
        </w:rPr>
        <w:t xml:space="preserve">LinkedIn: https://www.linkedin.com/in/keshavkarn/ | Credly: https://www.credly.com/users/keshav-karn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EXECUTIVE SUMMARY</w:t>
      </w:r>
    </w:p>
    <w:p>
      <w:pPr>
        <w:spacing w:after="80"/>
      </w:pPr>
      <w:r>
        <w:rPr>
          <w:sz w:val="22"/>
          <w:szCs w:val="22"/>
          <w:rFonts w:ascii="Calibri" w:cs="Calibri" w:eastAsia="Calibri" w:hAnsi="Calibri"/>
        </w:rPr>
        <w:t xml:space="preserve">Strategic technology executive with two decades of experience leading global infrastructure, platform operations, and enterprise service delivery. Proven expertise in orchestrating large-scale digital transformation programs, managing multi-million dollar portfolios, and scaling high-performing cross-functional organizations across regulated sectors. Architect of enterprise-wide automation and AI-driven frameworks that harmonize technical operations with business objectives. Adept at navigating complex governance environments to enhance service reliability, mitigate risk, and accelerate productivity. Positioned to drive unified enablement, platform-centric innovation, and AI-first strategy as a VP at Infosys.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CORE STRENGTHS</w:t>
      </w:r>
    </w:p>
    <w:p>
      <w:r>
        <w:rPr>
          <w:sz w:val="22"/>
          <w:szCs w:val="22"/>
          <w:rFonts w:ascii="Calibri" w:cs="Calibri" w:eastAsia="Calibri" w:hAnsi="Calibri"/>
        </w:rPr>
        <w:t xml:space="preserve">Enterprise Strategy &amp; Operations | Global Service Delivery | Platform Modernization | AI/GenAI Adoption | Financial Governance &amp; FinOps | Risk, Cyber, &amp; Regulatory Compliance | Cross-Functional Leadership | Digital Transformation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EXPERIENCE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PwC — Senior Manager (Sep 2024 – Present)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Advise enterprise clients on strategic ITSM frameworks, ensuring alignment with NIST and ITIL standards for complex financial and healthcare ecosystems.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Architect automation frameworks that reduce system latency and failure rates for mission-critical services.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Spearhead hybrid-cloud governance and budgetary optimization initiatives.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Align technical roadmaps with executive business objectives across global footprints.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Kyndryl Solutions Pvt. Ltd. — Associate Director (Sep 2021 – Aug 2024)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global technology service delivery for large-scale data center portfolios, prioritizing performance and capacity management.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Executed vendor displacement programs to insource infrastructure, increasing operational agility.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Orchestrated the deployment of agentic AI and DevOps ecosystems to transition toward autonomous incident response.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Governed the operational health and lifecycle of mission-critical IT assets.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IBM India Pvt. Ltd. — Global Process Owner (Jan 2014 – Aug 2021)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multi-million dollar OPEX budgets, driving significant value through license optimization and process automation.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Oversaw global service engagements, ensuring operational consistency across disparate geographical centers.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Scaled a Capacity Management Center of Excellence into a 250+ professional global organization.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Led enterprise contact center modernization via intelligence-driven service response models.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Wipro Technologies — Senior Consultant (Jun 2010 – Nov 2013)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Delivered advanced automation strategies for global telecom and financial institutions.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Standardized operational procedures and performance telemetry to improve delivery velocity.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Directed Change Advisory Boards (CAB) and Root Cause Analysis (RCA) to maintain compliance and risk mitigation.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Tech Mahindra Ltd. — Senior Technical Associate (Oct 2006 – May 2010)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Deployed monitoring solutions to enhance visibility into complex, large-scale infrastructure environments.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global release deployments to minimize service disruption for telecommunications clients.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Provided high-availability support for enterprise healthcare platforms.</w:t>
      </w:r>
    </w:p>
    <w:p>
      <w:pPr>
        <w:spacing w:before="12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Company: Mainstay Teleservices — Sr. 2nd Line Specialist (Mar 2003 – Oct 2006)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Managed complex technical escalations for mission-critical telecommunications infrastructure.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Accelerated time-to-resolution through refined troubleshooting and infrastructure stabilization leadership.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PORTFOLIO 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AI-Enabled Academic Strategy &amp; Institutional Intelligence Leadership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Founder &amp; Executive Architect — AI-Driven Education Platforms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Platform vision, scalability, monetization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AI-powered dashboards and decision intelligence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End-to-end leadership and measurable ROI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TECHNICAL LEADERSHIP SKILLS</w:t>
      </w:r>
    </w:p>
    <w:p>
      <w:r>
        <w:rPr>
          <w:sz w:val="22"/>
          <w:szCs w:val="22"/>
          <w:rFonts w:ascii="Calibri" w:cs="Calibri" w:eastAsia="Calibri" w:hAnsi="Calibri"/>
        </w:rPr>
        <w:t xml:space="preserve">Cloud &amp; Engineering: Azure/AWS Cloud-native architecture, Distributed systems reliability, CI/CD orchestration, Infrastructure-as-Code (IaC), API integration.</w:t>
      </w:r>
    </w:p>
    <w:p>
      <w:r>
        <w:rPr>
          <w:sz w:val="22"/>
          <w:szCs w:val="22"/>
          <w:rFonts w:ascii="Calibri" w:cs="Calibri" w:eastAsia="Calibri" w:hAnsi="Calibri"/>
        </w:rPr>
        <w:t xml:space="preserve">Observability &amp; Telemetry: Real-time correlation, Datadog, New Relic, Prometheus, ScienceLogic, Tanzu, Enterprise monitoring suites.</w:t>
      </w:r>
    </w:p>
    <w:p>
      <w:r>
        <w:rPr>
          <w:sz w:val="22"/>
          <w:szCs w:val="22"/>
          <w:rFonts w:ascii="Calibri" w:cs="Calibri" w:eastAsia="Calibri" w:hAnsi="Calibri"/>
        </w:rPr>
        <w:t xml:space="preserve">Governance &amp; Standards: ServiceNow, Jira Service Management, Remedy, COBIT, ITIL v3, Regulatory/Cyber compliance models.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Microsoft Azure Solutions Architect Expert | AWS Certified Cloud Practitioner | FinOps Certified Practitioner | Google Digital Leader | IBM Architect &amp; Consulting Badges | ITIL v3 | COBIT 4.1</w:t>
      </w:r>
    </w:p>
    <w:p>
      <w:pPr>
        <w:spacing w:before="200" w:after="100"/>
      </w:pPr>
      <w:r>
        <w:rPr>
          <w:b/>
          <w:bCs/>
          <w:sz w:val="26"/>
          <w:szCs w:val="26"/>
          <w:caps/>
          <w:rFonts w:ascii="Calibri" w:cs="Calibri" w:eastAsia="Calibri" w:hAnsi="Calibri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 Graduate Programme in Project Management – IIT Roorkee,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Master’s in Information Technology – Manipal Academy of Higher Education, 2002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Bachelor of Science – Anugrah Narayan College, Patna University, 1999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2026-07-19T06:50:21.146Z</dcterms:created>
  <dcterms:modified xsi:type="dcterms:W3CDTF">2026-07-19T06:50:21.146Z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