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21+ years of experience orchestrating enterprise-grade delivery, global portfolios, and AI-led digital transformation. Proven expertise in navigating complex stakeholder environments across BFSI, Healthcare, and Telecom to align technical architecture with P&amp;L objectives. Specialist in scaling high-performance engineering cultures and driving cost optimization through automation, cloud modernization, and Agentic AI adoption. Strategically adept at managing multi-million dollar portfolios and navigating high-pressure delivery transitions. Poised to leverage deep operational governance and AI program leadership as a Delivery Management Leader – AI productivity solutions at TARGET_COMPANY.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Strategic Portfolio Governance, P&amp;L Accountability &amp; Margin Optimization, Executive Stakeholder Engagement, Cross-Functional Delivery Leadership, Enterprise AI/ML Roadmap Strategy, Operational Change Management, Business Development &amp; Growth.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 strategic IT governance frameworks for healthcare and BFSI clients to accelerate digital modernization.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 cost-optimization initiatives via FinOps-aligned hybrid-cloud dashboards, improving transparency and budget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end-to-end delivery roadmaps for complex, large-scale enterprise transformations.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technology service delivery, overseeing critical infrastructure and portfolio KPIs.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a $30M+ vendor displacement program, significantly reducing operational dependency and increasing delivery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end-to-end deployment of Agentic AI systems to autonomously resolve AIOps incidents.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$25M annual OPEX, capturing $8M in savings through strategic vendor renegotiation and automated resource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global Capacity Management Center of Excellence from 10 to 250 personnel across five international sites.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AI-driven analytics to improve service response times and delivery productivity.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comprehensive automation strategies for telecom and BFSI engagements to accelerate time-to-market.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Chaired Change Advisory Boards (CAB) to oversee risk-mitigation strategies for enterprise-level deployments.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major release deployments for British Telecom, ensuring high availability and minimal service disruption.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critical application support for large-scale NHS UK healthcare platforms.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for mission-critical telecom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L1/L2 engineering workflows through the creation of technical SOPs and training programs.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AI &amp; Automation: Agentic AI, LLMs, RAG, RPA (UiPath, Blue Prism), CI/CD.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Observability: AWS/Azure, Prometheus, Datadog, Distributed Tracing, SLOs.</w:t>
      </w:r>
    </w:p>
    <w:p>
      <w:r>
        <w:rPr>
          <w:sz w:val="22"/>
          <w:szCs w:val="22"/>
          <w:rFonts w:ascii="Calibri" w:cs="Calibri" w:eastAsia="Calibri" w:hAnsi="Calibri"/>
        </w:rPr>
        <w:t xml:space="preserve">Data &amp; Governance: SQL, BigQuery, Power BI, Tableau, ITIL/ITSM, FinOps, COBIT.</w:t>
      </w:r>
    </w:p>
    <w:p>
      <w:r>
        <w:rPr>
          <w:sz w:val="22"/>
          <w:szCs w:val="22"/>
          <w:rFonts w:ascii="Calibri" w:cs="Calibri" w:eastAsia="Calibri" w:hAnsi="Calibri"/>
        </w:rPr>
        <w:t xml:space="preserve">Methodologies: Agile (Scrum/SAFe), Waterfall, Enterprise Project Management.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2026-07-01T15:52:09.587Z</dcterms:created>
  <dcterms:modified xsi:type="dcterms:W3CDTF">2026-07-01T15:52:09.587Z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