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two decades of experience in global delivery leadership, enterprise transformation, and operational scale. Proven ability to bridge the gap between complex engineering architectures and business-centric AI productivity solutions within regulated, multinational environments. Expert in navigating ambiguity to drive large-scale, cross-functional programs from conceptualization to operational excellence. Recognized for building high-performing, distributed engineering organizations that consistently exceed quality and financial targets. Ideally positioned to accelerate EPAM Systems’ AI-driven delivery capabilities as a Delivery Management Leader.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Strategic Portfolio Governance | Enterprise AI/LLM Integration | Financial Operations &amp; Margin Management | Cross-functional Team Leadership | Agile &amp; SAFe Transformation | Program Risk Mitigation | C-Suite Stakeholder Engagement | Global Delivery Operations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AI-driven automation frameworks to optimize service reliability and reduce operational failure 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enterprise clients on hybrid-cloud cost governance and budgetary forecasting.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Aligned NIST and ITIL-based delivery frameworks with emerging technological standards for BFSI and healthcare sectors.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mission-critical infrastructure service delivery and large-scale global vendor displacement programs.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Cloud and DevOps enablement, integrating Agentic AI systems to autonomously drive AIOps and observability.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end-to-end performance and availability for extensive physical and virtual IT asset portfolios.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multi-million dollar OPEX budgets, driving margin improvement through resource optimization and license lifecycle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Capacity Management Center of Excellence, expanding reach across five countries to standardize service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legacy contact center operations through the deployment of AI-driven decision intelligence.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automated delivery dashboards to enhance throughput and quality metrics for international telecommunications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complex Problem and Change Management governance, overseeing CAB proceedings and risk-controlled production releases.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enterprise-grade monitoring and release orchestration pipelines for global healthcare and telecom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Executed high-availability support strategies to ensure strict adherence to SLA/OLA targets.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complex system escalations and led technical troubleshooting for critical infrastructure components.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AI &amp; Automation: Agentic AI, LLM Integration, RAG Pipelines, Automated Diagnostics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Infrastructure: Azure, AWS, GCP, Hybrid Cloud, FinOps, SRE Frameworks</w:t>
      </w:r>
    </w:p>
    <w:p>
      <w:r>
        <w:rPr>
          <w:sz w:val="22"/>
          <w:szCs w:val="22"/>
          <w:rFonts w:ascii="Calibri" w:cs="Calibri" w:eastAsia="Calibri" w:hAnsi="Calibri"/>
        </w:rPr>
        <w:t xml:space="preserve">Software &amp; CI/CD: API-driven Orchestration, Python, GitHub Actions, Automated Workflows</w:t>
      </w:r>
    </w:p>
    <w:p>
      <w:r>
        <w:rPr>
          <w:sz w:val="22"/>
          <w:szCs w:val="22"/>
          <w:rFonts w:ascii="Calibri" w:cs="Calibri" w:eastAsia="Calibri" w:hAnsi="Calibri"/>
        </w:rPr>
        <w:t xml:space="preserve">Observability &amp; Analytics: Datadog, Prometheus, Power BI, Advanced Telemetry</w:t>
      </w:r>
    </w:p>
    <w:p>
      <w:r>
        <w:rPr>
          <w:sz w:val="22"/>
          <w:szCs w:val="22"/>
          <w:rFonts w:ascii="Calibri" w:cs="Calibri" w:eastAsia="Calibri" w:hAnsi="Calibri"/>
        </w:rPr>
        <w:t xml:space="preserve">Governance: ITIL/ITSM, SAFe, Agile, Scrum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2026-06-24T13:51:01.139Z</dcterms:created>
  <dcterms:modified xsi:type="dcterms:W3CDTF">2026-06-24T13:51:01.139Z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